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E9A" w:rsidRDefault="006F073E">
      <w:pPr>
        <w:pStyle w:val="Heading1"/>
        <w:spacing w:before="24" w:line="237" w:lineRule="auto"/>
        <w:ind w:left="748" w:right="161" w:hanging="568"/>
      </w:pPr>
      <w:r>
        <w:pict>
          <v:group id="_x0000_s1026" style="position:absolute;left:0;text-align:left;margin-left:0;margin-top:0;width:317.5pt;height:566.95pt;z-index:-251658240;mso-position-horizontal-relative:page;mso-position-vertical-relative:page" coordsize="6350,11339">
            <v:rect id="_x0000_s1029" style="position:absolute;top:10522;width:6350;height:807" fillcolor="#d1d3d4" stroked="f"/>
            <v:rect id="_x0000_s1028" style="position:absolute;width:6350;height:930" fillcolor="black" stroked="f"/>
            <v:rect id="_x0000_s1027" style="position:absolute;left:10;top:10;width:6330;height:11319" filled="f" strokecolor="#231f20" strokeweight="1pt"/>
            <w10:wrap anchorx="page" anchory="page"/>
          </v:group>
        </w:pict>
      </w:r>
      <w:r>
        <w:rPr>
          <w:color w:val="FFFFFF"/>
        </w:rPr>
        <w:t>Component #2 Grid Reinforcement “Supply and Installation of 500 kV HVAC Transmission Line “Rogun-Sangtuda” in Tajikistan associated</w:t>
      </w:r>
    </w:p>
    <w:p w:rsidR="002D3E9A" w:rsidRDefault="006F073E">
      <w:pPr>
        <w:spacing w:line="237" w:lineRule="auto"/>
        <w:ind w:left="1475" w:right="1455" w:firstLine="753"/>
        <w:rPr>
          <w:b/>
          <w:sz w:val="14"/>
        </w:rPr>
      </w:pPr>
      <w:r>
        <w:rPr>
          <w:b/>
          <w:color w:val="FFFFFF"/>
          <w:sz w:val="14"/>
        </w:rPr>
        <w:t>with CASA-1000 Project (INTERNATIONAL COMPETITIVE BIDDING)</w:t>
      </w:r>
    </w:p>
    <w:p w:rsidR="002D3E9A" w:rsidRDefault="006F073E">
      <w:pPr>
        <w:spacing w:line="168" w:lineRule="exact"/>
        <w:ind w:left="814"/>
        <w:rPr>
          <w:b/>
          <w:sz w:val="14"/>
        </w:rPr>
      </w:pPr>
      <w:r>
        <w:rPr>
          <w:b/>
          <w:color w:val="FFFFFF"/>
          <w:sz w:val="14"/>
        </w:rPr>
        <w:t>IFP No.: PQ/ CASA1000/TL/#02 Dated: 15 December, 2019</w:t>
      </w:r>
    </w:p>
    <w:p w:rsidR="002D3E9A" w:rsidRDefault="006F073E">
      <w:pPr>
        <w:pStyle w:val="BodyText"/>
        <w:spacing w:before="70" w:line="237" w:lineRule="auto"/>
        <w:ind w:right="53"/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invita</w:t>
      </w:r>
      <w:r>
        <w:rPr>
          <w:color w:val="231F20"/>
        </w:rPr>
        <w:t>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prequalification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project that appeared on the Islamic Development Bank (IsDB) website and the Ministry of Energy and Water Resources of the Republic of Tajikistan (MEWR) website and in the Financial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newspaper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22,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2015.</w:t>
      </w:r>
    </w:p>
    <w:p w:rsidR="002D3E9A" w:rsidRDefault="006F073E">
      <w:pPr>
        <w:pStyle w:val="BodyText"/>
        <w:spacing w:line="237" w:lineRule="auto"/>
        <w:ind w:right="51"/>
      </w:pPr>
      <w:r>
        <w:rPr>
          <w:color w:val="231F20"/>
        </w:rPr>
        <w:t>The countries of Pakistan, Afghanistan, Tajikistan and Kyrgyz Republic together have decided to develop cross-border transmission interconnection amongst these four countries to facilitate transfer of surplus hydropower in</w:t>
      </w:r>
      <w:r>
        <w:rPr>
          <w:color w:val="231F20"/>
        </w:rPr>
        <w:t xml:space="preserve"> the Kyrgyz Republic and Tajikistan in summer to energy deficit Pakistan and Afghanistan. The proposed CASA- 1000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infrastructure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1000MW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Pakistan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further 300MW 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Afghanistan.</w:t>
      </w:r>
    </w:p>
    <w:p w:rsidR="002D3E9A" w:rsidRDefault="006F073E">
      <w:pPr>
        <w:pStyle w:val="BodyText"/>
        <w:spacing w:before="54" w:line="237" w:lineRule="auto"/>
        <w:ind w:right="51"/>
      </w:pPr>
      <w:r>
        <w:rPr>
          <w:color w:val="231F20"/>
        </w:rPr>
        <w:t>The Republic of Tajikistan received financing from the Islamic Development Bank (IsDB) toward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Installation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HVAC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“Rogun- </w:t>
      </w:r>
      <w:r>
        <w:rPr>
          <w:color w:val="231F20"/>
          <w:spacing w:val="-3"/>
        </w:rPr>
        <w:t>Sangtuda”.</w:t>
      </w:r>
    </w:p>
    <w:p w:rsidR="002D3E9A" w:rsidRDefault="006F073E">
      <w:pPr>
        <w:pStyle w:val="BodyText"/>
        <w:spacing w:line="237" w:lineRule="auto"/>
        <w:ind w:right="51"/>
      </w:pPr>
      <w:r>
        <w:rPr>
          <w:color w:val="231F20"/>
        </w:rPr>
        <w:t>The Republic of Tajikistan intends to apply part of the financing from</w:t>
      </w:r>
      <w:r>
        <w:rPr>
          <w:color w:val="231F20"/>
        </w:rPr>
        <w:t xml:space="preserve"> IsDB to payments under the contract for “the Supply and Installation of 500 kV HVAC Transmission Line “Rogun-Sangtuda”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Project).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MEWR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intends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prequalify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contractors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firms 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engineering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manufacturing, testing, supply, installation, testing and commissioning but not limited to 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following:</w:t>
      </w:r>
    </w:p>
    <w:p w:rsidR="002D3E9A" w:rsidRDefault="006F073E">
      <w:pPr>
        <w:pStyle w:val="ListParagraph"/>
        <w:numPr>
          <w:ilvl w:val="0"/>
          <w:numId w:val="1"/>
        </w:numPr>
        <w:tabs>
          <w:tab w:val="left" w:pos="454"/>
        </w:tabs>
        <w:spacing w:line="237" w:lineRule="auto"/>
        <w:ind w:right="52" w:hanging="133"/>
        <w:rPr>
          <w:sz w:val="14"/>
        </w:rPr>
      </w:pPr>
      <w:r>
        <w:rPr>
          <w:color w:val="231F20"/>
          <w:sz w:val="14"/>
        </w:rPr>
        <w:t>500kV AC transmission line from 500kV Substation of Rogun to Sangtuda HVDC Convertor Substation (approximately</w:t>
      </w:r>
      <w:r>
        <w:rPr>
          <w:color w:val="231F20"/>
          <w:spacing w:val="14"/>
          <w:sz w:val="14"/>
        </w:rPr>
        <w:t xml:space="preserve"> </w:t>
      </w:r>
      <w:r>
        <w:rPr>
          <w:color w:val="231F20"/>
          <w:sz w:val="14"/>
        </w:rPr>
        <w:t>118km);</w:t>
      </w:r>
    </w:p>
    <w:p w:rsidR="002D3E9A" w:rsidRDefault="006F073E">
      <w:pPr>
        <w:pStyle w:val="ListParagraph"/>
        <w:numPr>
          <w:ilvl w:val="0"/>
          <w:numId w:val="1"/>
        </w:numPr>
        <w:tabs>
          <w:tab w:val="left" w:pos="454"/>
        </w:tabs>
        <w:spacing w:before="55"/>
        <w:ind w:hanging="133"/>
        <w:rPr>
          <w:sz w:val="14"/>
        </w:rPr>
      </w:pPr>
      <w:r>
        <w:rPr>
          <w:color w:val="231F20"/>
          <w:sz w:val="14"/>
        </w:rPr>
        <w:t>expansion of Sangtuda convertor substation via installation 500kV line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pacing w:val="-4"/>
          <w:sz w:val="14"/>
        </w:rPr>
        <w:t>bay.</w:t>
      </w:r>
    </w:p>
    <w:p w:rsidR="002D3E9A" w:rsidRDefault="006F073E">
      <w:pPr>
        <w:pStyle w:val="BodyText"/>
        <w:spacing w:before="56" w:line="237" w:lineRule="auto"/>
        <w:ind w:right="54"/>
      </w:pPr>
      <w:r>
        <w:rPr>
          <w:color w:val="231F20"/>
        </w:rPr>
        <w:t>Prequalification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specifi</w:t>
      </w:r>
      <w:r>
        <w:rPr>
          <w:color w:val="231F20"/>
        </w:rPr>
        <w:t>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Islamic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Development Bank’s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Guidelines: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Goo</w:t>
      </w:r>
      <w:bookmarkStart w:id="0" w:name="_GoBack"/>
      <w:bookmarkEnd w:id="0"/>
      <w:r>
        <w:rPr>
          <w:color w:val="231F20"/>
        </w:rPr>
        <w:t>ds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Works,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2009,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bidders from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countries,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guidelines.</w:t>
      </w:r>
    </w:p>
    <w:p w:rsidR="002D3E9A" w:rsidRDefault="006F073E">
      <w:pPr>
        <w:pStyle w:val="BodyText"/>
        <w:spacing w:line="237" w:lineRule="auto"/>
        <w:ind w:right="53"/>
      </w:pPr>
      <w:r>
        <w:rPr>
          <w:color w:val="231F20"/>
        </w:rPr>
        <w:t>Interested eligible Applicants may obtain further information from and inspect the prequalification document at the MEWR (address below) from 09.00 to 16.00 pm. A complete set of the prequalification document in in English may be purchased by interested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</w:t>
      </w:r>
      <w:r>
        <w:rPr>
          <w:color w:val="231F20"/>
        </w:rPr>
        <w:t>plicants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submission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 upon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nonrefundable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(three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hundred)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payment</w:t>
      </w:r>
    </w:p>
    <w:p w:rsidR="002D3E9A" w:rsidRDefault="006F073E">
      <w:pPr>
        <w:pStyle w:val="BodyText"/>
        <w:spacing w:before="20"/>
      </w:pPr>
      <w:r>
        <w:rPr>
          <w:color w:val="231F20"/>
        </w:rPr>
        <w:t>will be money transaction at the following bank account:</w:t>
      </w:r>
    </w:p>
    <w:p w:rsidR="002D3E9A" w:rsidRDefault="002D3E9A">
      <w:pPr>
        <w:pStyle w:val="BodyText"/>
        <w:spacing w:before="10" w:after="1"/>
        <w:ind w:left="0"/>
        <w:jc w:val="left"/>
        <w:rPr>
          <w:sz w:val="8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4650"/>
      </w:tblGrid>
      <w:tr w:rsidR="002D3E9A">
        <w:trPr>
          <w:trHeight w:val="210"/>
        </w:trPr>
        <w:tc>
          <w:tcPr>
            <w:tcW w:w="6109" w:type="dxa"/>
            <w:gridSpan w:val="2"/>
            <w:shd w:val="clear" w:color="auto" w:fill="000000"/>
          </w:tcPr>
          <w:p w:rsidR="002D3E9A" w:rsidRDefault="006F073E">
            <w:pPr>
              <w:pStyle w:val="TableParagraph"/>
              <w:spacing w:before="18"/>
              <w:ind w:left="2329" w:right="231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The Bank Account</w:t>
            </w:r>
          </w:p>
        </w:tc>
      </w:tr>
      <w:tr w:rsidR="002D3E9A">
        <w:trPr>
          <w:trHeight w:val="378"/>
        </w:trPr>
        <w:tc>
          <w:tcPr>
            <w:tcW w:w="1459" w:type="dxa"/>
          </w:tcPr>
          <w:p w:rsidR="002D3E9A" w:rsidRDefault="006F073E">
            <w:pPr>
              <w:pStyle w:val="TableParagraph"/>
              <w:spacing w:line="237" w:lineRule="auto"/>
              <w:ind w:left="108" w:right="403"/>
              <w:rPr>
                <w:sz w:val="14"/>
              </w:rPr>
            </w:pPr>
            <w:r>
              <w:rPr>
                <w:color w:val="231F20"/>
                <w:sz w:val="14"/>
              </w:rPr>
              <w:t>Intermediary Bank:</w:t>
            </w:r>
          </w:p>
        </w:tc>
        <w:tc>
          <w:tcPr>
            <w:tcW w:w="4650" w:type="dxa"/>
          </w:tcPr>
          <w:p w:rsidR="002D3E9A" w:rsidRDefault="006F073E">
            <w:pPr>
              <w:pStyle w:val="TableParagraph"/>
              <w:spacing w:before="10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JP Morgan Chase Bank N.A. Swift: CHASUS33</w:t>
            </w:r>
          </w:p>
        </w:tc>
      </w:tr>
      <w:tr w:rsidR="002D3E9A">
        <w:trPr>
          <w:trHeight w:val="546"/>
        </w:trPr>
        <w:tc>
          <w:tcPr>
            <w:tcW w:w="1459" w:type="dxa"/>
          </w:tcPr>
          <w:p w:rsidR="002D3E9A" w:rsidRDefault="006F073E">
            <w:pPr>
              <w:pStyle w:val="TableParagraph"/>
              <w:spacing w:before="103" w:line="237" w:lineRule="auto"/>
              <w:ind w:left="108" w:right="287"/>
              <w:rPr>
                <w:sz w:val="14"/>
              </w:rPr>
            </w:pPr>
            <w:r>
              <w:rPr>
                <w:color w:val="231F20"/>
                <w:sz w:val="14"/>
              </w:rPr>
              <w:t>Correspondent Bank:</w:t>
            </w:r>
          </w:p>
        </w:tc>
        <w:tc>
          <w:tcPr>
            <w:tcW w:w="4650" w:type="dxa"/>
          </w:tcPr>
          <w:p w:rsidR="002D3E9A" w:rsidRDefault="006F073E">
            <w:pPr>
              <w:pStyle w:val="TableParagraph"/>
              <w:spacing w:line="237" w:lineRule="auto"/>
              <w:ind w:right="54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National Bank for Foreign Economic Activity of the Republic of Uzbekistan</w:t>
            </w:r>
          </w:p>
          <w:p w:rsidR="002D3E9A" w:rsidRDefault="006F073E">
            <w:pPr>
              <w:pStyle w:val="TableParagraph"/>
              <w:spacing w:before="0" w:line="168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Swift: NBFAUZ2X</w:t>
            </w:r>
          </w:p>
        </w:tc>
      </w:tr>
      <w:tr w:rsidR="002D3E9A">
        <w:trPr>
          <w:trHeight w:val="714"/>
        </w:trPr>
        <w:tc>
          <w:tcPr>
            <w:tcW w:w="1459" w:type="dxa"/>
          </w:tcPr>
          <w:p w:rsidR="002D3E9A" w:rsidRDefault="002D3E9A">
            <w:pPr>
              <w:pStyle w:val="TableParagraph"/>
              <w:spacing w:before="2"/>
              <w:ind w:left="0"/>
            </w:pPr>
          </w:p>
          <w:p w:rsidR="002D3E9A" w:rsidRDefault="006F073E">
            <w:pPr>
              <w:pStyle w:val="TableParagraph"/>
              <w:spacing w:before="0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Beneficiary Bank:</w:t>
            </w:r>
          </w:p>
        </w:tc>
        <w:tc>
          <w:tcPr>
            <w:tcW w:w="4650" w:type="dxa"/>
          </w:tcPr>
          <w:p w:rsidR="002D3E9A" w:rsidRDefault="006F073E">
            <w:pPr>
              <w:pStyle w:val="TableParagraph"/>
              <w:spacing w:line="237" w:lineRule="auto"/>
              <w:ind w:right="76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State Savings Bank of Tajikistan “Amonatbonk” Dushanbe, Tajikistan</w:t>
            </w:r>
          </w:p>
          <w:p w:rsidR="002D3E9A" w:rsidRDefault="006F073E">
            <w:pPr>
              <w:pStyle w:val="TableParagraph"/>
              <w:spacing w:before="0" w:line="237" w:lineRule="auto"/>
              <w:ind w:right="178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Account: 21002840600000450004 Swift: ASSETJ22</w:t>
            </w:r>
          </w:p>
        </w:tc>
      </w:tr>
      <w:tr w:rsidR="002D3E9A">
        <w:trPr>
          <w:trHeight w:val="378"/>
        </w:trPr>
        <w:tc>
          <w:tcPr>
            <w:tcW w:w="1459" w:type="dxa"/>
          </w:tcPr>
          <w:p w:rsidR="002D3E9A" w:rsidRDefault="006F073E">
            <w:pPr>
              <w:pStyle w:val="TableParagraph"/>
              <w:spacing w:line="237" w:lineRule="auto"/>
              <w:ind w:left="108" w:right="492"/>
              <w:rPr>
                <w:sz w:val="14"/>
              </w:rPr>
            </w:pPr>
            <w:r>
              <w:rPr>
                <w:color w:val="231F20"/>
                <w:sz w:val="14"/>
              </w:rPr>
              <w:t>Remittance Information</w:t>
            </w:r>
          </w:p>
        </w:tc>
        <w:tc>
          <w:tcPr>
            <w:tcW w:w="4650" w:type="dxa"/>
          </w:tcPr>
          <w:p w:rsidR="002D3E9A" w:rsidRDefault="006F073E">
            <w:pPr>
              <w:pStyle w:val="TableParagraph"/>
              <w:spacing w:line="237" w:lineRule="auto"/>
              <w:ind w:right="12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Ministry of Energy and Water Resources of the Republic of Tajikistan 20206840001254101000</w:t>
            </w:r>
          </w:p>
        </w:tc>
      </w:tr>
    </w:tbl>
    <w:p w:rsidR="002D3E9A" w:rsidRDefault="006F073E">
      <w:pPr>
        <w:pStyle w:val="BodyText"/>
        <w:spacing w:before="140" w:line="237" w:lineRule="auto"/>
        <w:ind w:right="52"/>
      </w:pPr>
      <w:r>
        <w:rPr>
          <w:color w:val="231F20"/>
        </w:rPr>
        <w:t>Applications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prequalification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sealed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envelopes,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delivered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 address below by February 14, 2020 (15:00 hours Dushanbe local time), and be clearly marked “Application to Prequalify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for:</w:t>
      </w:r>
    </w:p>
    <w:p w:rsidR="002D3E9A" w:rsidRDefault="006F073E">
      <w:pPr>
        <w:pStyle w:val="ListParagraph"/>
        <w:numPr>
          <w:ilvl w:val="1"/>
          <w:numId w:val="1"/>
        </w:numPr>
        <w:tabs>
          <w:tab w:val="left" w:pos="624"/>
        </w:tabs>
        <w:spacing w:before="56" w:line="237" w:lineRule="auto"/>
        <w:ind w:right="54"/>
        <w:rPr>
          <w:sz w:val="14"/>
        </w:rPr>
      </w:pPr>
      <w:r>
        <w:rPr>
          <w:color w:val="231F20"/>
          <w:sz w:val="14"/>
        </w:rPr>
        <w:t xml:space="preserve">Component #2 Grid Reinforcement “Supply and Installation </w:t>
      </w:r>
      <w:r>
        <w:rPr>
          <w:color w:val="231F20"/>
          <w:sz w:val="14"/>
        </w:rPr>
        <w:t>of 500 kV HVAC Transmission Line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“Rogun-Sangtuda”</w:t>
      </w:r>
    </w:p>
    <w:p w:rsidR="002D3E9A" w:rsidRDefault="006F073E">
      <w:pPr>
        <w:pStyle w:val="BodyText"/>
        <w:spacing w:before="54"/>
      </w:pPr>
      <w:r>
        <w:rPr>
          <w:color w:val="231F20"/>
        </w:rPr>
        <w:t>Electronic submission of applications is not permitted. Late applications will be rejected.</w:t>
      </w:r>
    </w:p>
    <w:p w:rsidR="002D3E9A" w:rsidRDefault="006F073E">
      <w:pPr>
        <w:pStyle w:val="Heading1"/>
        <w:spacing w:before="56" w:line="237" w:lineRule="auto"/>
        <w:ind w:right="3118"/>
      </w:pPr>
      <w:r>
        <w:rPr>
          <w:color w:val="231F20"/>
        </w:rPr>
        <w:t>Ministry of Energy and Water Resources of the Republic of Tajikistan</w:t>
      </w:r>
    </w:p>
    <w:p w:rsidR="002D3E9A" w:rsidRDefault="006F073E">
      <w:pPr>
        <w:spacing w:before="113" w:line="237" w:lineRule="auto"/>
        <w:ind w:left="170" w:right="3397"/>
        <w:rPr>
          <w:b/>
          <w:sz w:val="14"/>
        </w:rPr>
      </w:pPr>
      <w:r>
        <w:rPr>
          <w:color w:val="231F20"/>
          <w:sz w:val="14"/>
        </w:rPr>
        <w:t xml:space="preserve">Attention: </w:t>
      </w:r>
      <w:r>
        <w:rPr>
          <w:b/>
          <w:color w:val="231F20"/>
          <w:sz w:val="14"/>
        </w:rPr>
        <w:t xml:space="preserve">Mr. Manuchehr Safarzoda </w:t>
      </w:r>
      <w:r>
        <w:rPr>
          <w:color w:val="231F20"/>
          <w:sz w:val="14"/>
        </w:rPr>
        <w:t xml:space="preserve">Address: </w:t>
      </w:r>
      <w:r>
        <w:rPr>
          <w:b/>
          <w:color w:val="231F20"/>
          <w:sz w:val="14"/>
        </w:rPr>
        <w:t>S</w:t>
      </w:r>
      <w:r>
        <w:rPr>
          <w:b/>
          <w:color w:val="231F20"/>
          <w:sz w:val="14"/>
        </w:rPr>
        <w:t>hamsi 5/1, Dushanbe 734064, Republic of Tajikistan</w:t>
      </w:r>
    </w:p>
    <w:p w:rsidR="002D3E9A" w:rsidRDefault="006F073E">
      <w:pPr>
        <w:spacing w:line="167" w:lineRule="exact"/>
        <w:ind w:left="170"/>
        <w:rPr>
          <w:b/>
          <w:sz w:val="14"/>
        </w:rPr>
      </w:pPr>
      <w:r>
        <w:rPr>
          <w:color w:val="231F20"/>
          <w:sz w:val="14"/>
        </w:rPr>
        <w:t xml:space="preserve">Tel number: </w:t>
      </w:r>
      <w:r>
        <w:rPr>
          <w:b/>
          <w:color w:val="231F20"/>
          <w:sz w:val="14"/>
        </w:rPr>
        <w:t xml:space="preserve">+992 372 35 97 78 </w:t>
      </w:r>
      <w:r>
        <w:rPr>
          <w:color w:val="231F20"/>
          <w:sz w:val="14"/>
        </w:rPr>
        <w:t xml:space="preserve">E-mail address: </w:t>
      </w:r>
      <w:hyperlink r:id="rId5">
        <w:r>
          <w:rPr>
            <w:b/>
            <w:color w:val="231F20"/>
            <w:sz w:val="14"/>
          </w:rPr>
          <w:t>mewrinvest@gmail.com</w:t>
        </w:r>
      </w:hyperlink>
    </w:p>
    <w:sectPr w:rsidR="002D3E9A">
      <w:type w:val="continuous"/>
      <w:pgSz w:w="6350" w:h="113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92885"/>
    <w:multiLevelType w:val="hybridMultilevel"/>
    <w:tmpl w:val="78A0118E"/>
    <w:lvl w:ilvl="0" w:tplc="D0B6977C">
      <w:numFmt w:val="bullet"/>
      <w:lvlText w:val="•"/>
      <w:lvlJc w:val="left"/>
      <w:pPr>
        <w:ind w:left="453" w:hanging="134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ar-SA" w:eastAsia="ar-SA" w:bidi="ar-SA"/>
      </w:rPr>
    </w:lvl>
    <w:lvl w:ilvl="1" w:tplc="EDEE6562">
      <w:numFmt w:val="bullet"/>
      <w:lvlText w:val="•"/>
      <w:lvlJc w:val="left"/>
      <w:pPr>
        <w:ind w:left="623" w:hanging="190"/>
      </w:pPr>
      <w:rPr>
        <w:rFonts w:ascii="Verdana" w:eastAsia="Verdana" w:hAnsi="Verdana" w:cs="Verdana" w:hint="default"/>
        <w:color w:val="231F20"/>
        <w:spacing w:val="-21"/>
        <w:w w:val="100"/>
        <w:sz w:val="14"/>
        <w:szCs w:val="14"/>
        <w:lang w:val="ar-SA" w:eastAsia="ar-SA" w:bidi="ar-SA"/>
      </w:rPr>
    </w:lvl>
    <w:lvl w:ilvl="2" w:tplc="FF9816A0">
      <w:numFmt w:val="bullet"/>
      <w:lvlText w:val="•"/>
      <w:lvlJc w:val="left"/>
      <w:pPr>
        <w:ind w:left="1256" w:hanging="190"/>
      </w:pPr>
      <w:rPr>
        <w:rFonts w:hint="default"/>
        <w:lang w:val="ar-SA" w:eastAsia="ar-SA" w:bidi="ar-SA"/>
      </w:rPr>
    </w:lvl>
    <w:lvl w:ilvl="3" w:tplc="7A0CA3DE">
      <w:numFmt w:val="bullet"/>
      <w:lvlText w:val="•"/>
      <w:lvlJc w:val="left"/>
      <w:pPr>
        <w:ind w:left="1893" w:hanging="190"/>
      </w:pPr>
      <w:rPr>
        <w:rFonts w:hint="default"/>
        <w:lang w:val="ar-SA" w:eastAsia="ar-SA" w:bidi="ar-SA"/>
      </w:rPr>
    </w:lvl>
    <w:lvl w:ilvl="4" w:tplc="01B01382">
      <w:numFmt w:val="bullet"/>
      <w:lvlText w:val="•"/>
      <w:lvlJc w:val="left"/>
      <w:pPr>
        <w:ind w:left="2529" w:hanging="190"/>
      </w:pPr>
      <w:rPr>
        <w:rFonts w:hint="default"/>
        <w:lang w:val="ar-SA" w:eastAsia="ar-SA" w:bidi="ar-SA"/>
      </w:rPr>
    </w:lvl>
    <w:lvl w:ilvl="5" w:tplc="AB601D74">
      <w:numFmt w:val="bullet"/>
      <w:lvlText w:val="•"/>
      <w:lvlJc w:val="left"/>
      <w:pPr>
        <w:ind w:left="3166" w:hanging="190"/>
      </w:pPr>
      <w:rPr>
        <w:rFonts w:hint="default"/>
        <w:lang w:val="ar-SA" w:eastAsia="ar-SA" w:bidi="ar-SA"/>
      </w:rPr>
    </w:lvl>
    <w:lvl w:ilvl="6" w:tplc="662AB94A">
      <w:numFmt w:val="bullet"/>
      <w:lvlText w:val="•"/>
      <w:lvlJc w:val="left"/>
      <w:pPr>
        <w:ind w:left="3803" w:hanging="190"/>
      </w:pPr>
      <w:rPr>
        <w:rFonts w:hint="default"/>
        <w:lang w:val="ar-SA" w:eastAsia="ar-SA" w:bidi="ar-SA"/>
      </w:rPr>
    </w:lvl>
    <w:lvl w:ilvl="7" w:tplc="C06C620C">
      <w:numFmt w:val="bullet"/>
      <w:lvlText w:val="•"/>
      <w:lvlJc w:val="left"/>
      <w:pPr>
        <w:ind w:left="4439" w:hanging="190"/>
      </w:pPr>
      <w:rPr>
        <w:rFonts w:hint="default"/>
        <w:lang w:val="ar-SA" w:eastAsia="ar-SA" w:bidi="ar-SA"/>
      </w:rPr>
    </w:lvl>
    <w:lvl w:ilvl="8" w:tplc="D3807828">
      <w:numFmt w:val="bullet"/>
      <w:lvlText w:val="•"/>
      <w:lvlJc w:val="left"/>
      <w:pPr>
        <w:ind w:left="5076" w:hanging="190"/>
      </w:pPr>
      <w:rPr>
        <w:rFonts w:hint="default"/>
        <w:lang w:val="ar-SA" w:eastAsia="ar-SA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E9A"/>
    <w:rsid w:val="002D3E9A"/>
    <w:rsid w:val="006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BB89BAD1-67C7-45FD-97ED-C4181864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ar-SA" w:eastAsia="ar-SA"/>
    </w:rPr>
  </w:style>
  <w:style w:type="paragraph" w:styleId="Heading1">
    <w:name w:val="heading 1"/>
    <w:basedOn w:val="Normal"/>
    <w:uiPriority w:val="9"/>
    <w:qFormat/>
    <w:pPr>
      <w:ind w:left="56"/>
      <w:outlineLvl w:val="0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56"/>
      <w:jc w:val="both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54"/>
      <w:ind w:left="453" w:hanging="133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wrinv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Daniyar Abylkhanov</cp:lastModifiedBy>
  <cp:revision>2</cp:revision>
  <dcterms:created xsi:type="dcterms:W3CDTF">2019-12-26T05:38:00Z</dcterms:created>
  <dcterms:modified xsi:type="dcterms:W3CDTF">2019-12-26T05:38:00Z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2019-12-26T00:00:00Z</vt:filetime>
  </property>
</Properties>
</file>