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12" w:rsidRDefault="006F6612" w:rsidP="006F6612">
      <w:pPr>
        <w:ind w:right="72"/>
        <w:rPr>
          <w:b/>
          <w:bCs/>
          <w:iCs/>
          <w:lang w:val="fr-FR"/>
        </w:rPr>
      </w:pPr>
      <w:r w:rsidRPr="00FD0972">
        <w:rPr>
          <w:b/>
          <w:noProof/>
          <w:sz w:val="22"/>
          <w:szCs w:val="22"/>
          <w:lang w:val="fr-FR" w:eastAsia="fr-FR"/>
        </w:rPr>
        <w:drawing>
          <wp:inline distT="0" distB="0" distL="0" distR="0" wp14:anchorId="478F53AE" wp14:editId="608A2309">
            <wp:extent cx="628642" cy="590550"/>
            <wp:effectExtent l="0" t="0" r="0" b="0"/>
            <wp:docPr id="10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679011" cy="637867"/>
                    </a:xfrm>
                    <a:prstGeom prst="rect">
                      <a:avLst/>
                    </a:prstGeom>
                  </pic:spPr>
                </pic:pic>
              </a:graphicData>
            </a:graphic>
          </wp:inline>
        </w:drawing>
      </w:r>
      <w:r>
        <w:rPr>
          <w:b/>
          <w:bCs/>
          <w:iCs/>
          <w:lang w:val="fr-FR"/>
        </w:rPr>
        <w:t xml:space="preserve">                                                                                                  </w:t>
      </w:r>
      <w:r w:rsidRPr="00FD0972">
        <w:rPr>
          <w:b/>
          <w:noProof/>
          <w:sz w:val="22"/>
          <w:szCs w:val="22"/>
          <w:lang w:val="fr-FR" w:eastAsia="fr-FR"/>
        </w:rPr>
        <w:drawing>
          <wp:inline distT="0" distB="0" distL="0" distR="0" wp14:anchorId="4EDF7068" wp14:editId="6CE82A1C">
            <wp:extent cx="498276" cy="428219"/>
            <wp:effectExtent l="19050" t="0" r="0" b="0"/>
            <wp:docPr id="10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01789" cy="431238"/>
                    </a:xfrm>
                    <a:prstGeom prst="rect">
                      <a:avLst/>
                    </a:prstGeom>
                  </pic:spPr>
                </pic:pic>
              </a:graphicData>
            </a:graphic>
          </wp:inline>
        </w:drawing>
      </w:r>
    </w:p>
    <w:p w:rsidR="00AC575E" w:rsidRDefault="00AC575E" w:rsidP="006F6612">
      <w:pPr>
        <w:ind w:right="72"/>
        <w:rPr>
          <w:b/>
          <w:bCs/>
          <w:iCs/>
          <w:lang w:val="fr-FR"/>
        </w:rPr>
      </w:pPr>
    </w:p>
    <w:p w:rsidR="00034D26" w:rsidRDefault="00034D26" w:rsidP="00034D26">
      <w:pPr>
        <w:ind w:right="72"/>
        <w:jc w:val="center"/>
        <w:rPr>
          <w:b/>
          <w:bCs/>
          <w:iCs/>
          <w:lang w:val="fr-FR"/>
        </w:rPr>
      </w:pPr>
      <w:r w:rsidRPr="00034D26">
        <w:rPr>
          <w:b/>
          <w:bCs/>
          <w:iCs/>
          <w:lang w:val="fr-FR"/>
        </w:rPr>
        <w:t>REPUBLIQUE DU TCHAD</w:t>
      </w:r>
    </w:p>
    <w:p w:rsidR="004D45AE" w:rsidRDefault="00AC575E" w:rsidP="00034D26">
      <w:pPr>
        <w:ind w:right="72"/>
        <w:jc w:val="center"/>
        <w:rPr>
          <w:b/>
          <w:bCs/>
          <w:iCs/>
          <w:lang w:val="fr-FR"/>
        </w:rPr>
      </w:pPr>
      <w:r>
        <w:rPr>
          <w:b/>
          <w:bCs/>
          <w:iCs/>
          <w:lang w:val="fr-FR"/>
        </w:rPr>
        <w:t>MINISTERE DE L’E</w:t>
      </w:r>
      <w:r w:rsidR="004D45AE">
        <w:rPr>
          <w:b/>
          <w:bCs/>
          <w:iCs/>
          <w:lang w:val="fr-FR"/>
        </w:rPr>
        <w:t>NVIRONNEMENT DE L’EAU ET DE LA PECHE</w:t>
      </w:r>
    </w:p>
    <w:p w:rsidR="004D45AE" w:rsidRDefault="004D45AE" w:rsidP="00034D26">
      <w:pPr>
        <w:ind w:right="72"/>
        <w:jc w:val="center"/>
        <w:rPr>
          <w:b/>
          <w:bCs/>
          <w:iCs/>
          <w:lang w:val="fr-FR"/>
        </w:rPr>
      </w:pPr>
      <w:r>
        <w:rPr>
          <w:b/>
          <w:bCs/>
          <w:iCs/>
          <w:lang w:val="fr-FR"/>
        </w:rPr>
        <w:t>DIRECTION GENERALE DU MINISTERE</w:t>
      </w:r>
    </w:p>
    <w:p w:rsidR="004D45AE" w:rsidRPr="00034D26" w:rsidRDefault="004D45AE" w:rsidP="00034D26">
      <w:pPr>
        <w:ind w:right="72"/>
        <w:jc w:val="center"/>
        <w:rPr>
          <w:b/>
          <w:bCs/>
          <w:iCs/>
          <w:lang w:val="fr-FR"/>
        </w:rPr>
      </w:pPr>
      <w:r>
        <w:rPr>
          <w:b/>
          <w:bCs/>
          <w:iCs/>
          <w:lang w:val="fr-FR"/>
        </w:rPr>
        <w:t>DIRECTION GENERALE TECHNIQUE DE L’HYDRAULIQUE ET DE L’ASSAINISSEMENT</w:t>
      </w:r>
    </w:p>
    <w:p w:rsidR="004D45AE" w:rsidRDefault="004D45AE" w:rsidP="00034D26">
      <w:pPr>
        <w:ind w:right="72"/>
        <w:jc w:val="center"/>
        <w:rPr>
          <w:i/>
          <w:sz w:val="22"/>
          <w:szCs w:val="22"/>
          <w:lang w:val="fr-FR"/>
        </w:rPr>
      </w:pPr>
    </w:p>
    <w:p w:rsidR="00034D26" w:rsidRDefault="00034D26" w:rsidP="00034D26">
      <w:pPr>
        <w:ind w:right="72"/>
        <w:jc w:val="center"/>
        <w:rPr>
          <w:i/>
          <w:sz w:val="22"/>
          <w:szCs w:val="22"/>
          <w:lang w:val="fr-FR"/>
        </w:rPr>
      </w:pPr>
      <w:r w:rsidRPr="005A559E">
        <w:rPr>
          <w:i/>
          <w:sz w:val="22"/>
          <w:szCs w:val="22"/>
          <w:lang w:val="fr-FR"/>
        </w:rPr>
        <w:t>Projet d’Infrastructures d’Eau Rurale dans les Régions de l’Ennedi Est et de Wadi-Fira</w:t>
      </w:r>
    </w:p>
    <w:p w:rsidR="00034D26" w:rsidRDefault="00034D26" w:rsidP="00034D26">
      <w:pPr>
        <w:ind w:right="72"/>
        <w:jc w:val="center"/>
        <w:rPr>
          <w:sz w:val="22"/>
          <w:szCs w:val="22"/>
          <w:lang w:val="fr-FR"/>
        </w:rPr>
      </w:pPr>
      <w:r>
        <w:rPr>
          <w:i/>
          <w:sz w:val="22"/>
          <w:szCs w:val="22"/>
          <w:lang w:val="fr-FR"/>
        </w:rPr>
        <w:t xml:space="preserve">Accord de Prêt N° </w:t>
      </w:r>
      <w:r w:rsidRPr="005A559E">
        <w:rPr>
          <w:sz w:val="22"/>
          <w:szCs w:val="22"/>
          <w:lang w:val="fr-FR"/>
        </w:rPr>
        <w:t>TCD-1010</w:t>
      </w:r>
      <w:r w:rsidR="008E5E4F">
        <w:rPr>
          <w:sz w:val="22"/>
          <w:szCs w:val="22"/>
          <w:lang w:val="fr-FR"/>
        </w:rPr>
        <w:t xml:space="preserve"> du 19 juin 2018 </w:t>
      </w:r>
    </w:p>
    <w:p w:rsidR="00FD0972" w:rsidRDefault="00FD0972" w:rsidP="00034D26">
      <w:pPr>
        <w:ind w:right="72"/>
        <w:rPr>
          <w:b/>
          <w:sz w:val="22"/>
          <w:szCs w:val="22"/>
          <w:lang w:val="fr-FR"/>
        </w:rPr>
      </w:pPr>
      <w:r>
        <w:rPr>
          <w:b/>
          <w:sz w:val="22"/>
          <w:szCs w:val="22"/>
          <w:lang w:val="fr-FR"/>
        </w:rPr>
        <w:t xml:space="preserve">                                                                                       </w:t>
      </w:r>
      <w:r w:rsidR="00E6395D">
        <w:rPr>
          <w:b/>
          <w:sz w:val="22"/>
          <w:szCs w:val="22"/>
          <w:lang w:val="fr-FR"/>
        </w:rPr>
        <w:t xml:space="preserve">                                      </w:t>
      </w:r>
      <w:r>
        <w:rPr>
          <w:b/>
          <w:sz w:val="22"/>
          <w:szCs w:val="22"/>
          <w:lang w:val="fr-FR"/>
        </w:rPr>
        <w:t xml:space="preserve">  </w:t>
      </w:r>
    </w:p>
    <w:p w:rsidR="00E662AE" w:rsidRPr="00344160" w:rsidRDefault="00E662AE" w:rsidP="00E662AE">
      <w:pPr>
        <w:ind w:right="72"/>
        <w:jc w:val="center"/>
        <w:rPr>
          <w:szCs w:val="22"/>
          <w:lang w:val="fr-FR"/>
        </w:rPr>
      </w:pPr>
      <w:r w:rsidRPr="00344160">
        <w:rPr>
          <w:b/>
          <w:szCs w:val="22"/>
          <w:lang w:val="fr-FR"/>
        </w:rPr>
        <w:t>AVIS GENERAL DE PASSATION DES MARCHES (AGPM)</w:t>
      </w:r>
    </w:p>
    <w:p w:rsidR="00E662AE" w:rsidRPr="00344160" w:rsidRDefault="00E662AE" w:rsidP="00E662AE">
      <w:pPr>
        <w:ind w:right="72"/>
        <w:jc w:val="center"/>
        <w:rPr>
          <w:i/>
          <w:szCs w:val="22"/>
          <w:lang w:val="fr-FR"/>
        </w:rPr>
      </w:pPr>
    </w:p>
    <w:p w:rsidR="00E662AE" w:rsidRPr="00034D26" w:rsidRDefault="00E662AE" w:rsidP="00E662AE">
      <w:pPr>
        <w:ind w:right="72"/>
        <w:jc w:val="both"/>
        <w:rPr>
          <w:i/>
          <w:sz w:val="20"/>
          <w:szCs w:val="20"/>
          <w:lang w:val="fr-FR"/>
        </w:rPr>
      </w:pPr>
      <w:r w:rsidRPr="00034D26">
        <w:rPr>
          <w:sz w:val="20"/>
          <w:szCs w:val="20"/>
          <w:lang w:val="fr-FR"/>
        </w:rPr>
        <w:t xml:space="preserve">La </w:t>
      </w:r>
      <w:r w:rsidRPr="00034D26">
        <w:rPr>
          <w:b/>
          <w:sz w:val="20"/>
          <w:szCs w:val="20"/>
          <w:lang w:val="fr-FR"/>
        </w:rPr>
        <w:t>République du Tchad</w:t>
      </w:r>
      <w:r w:rsidRPr="00034D26">
        <w:rPr>
          <w:sz w:val="20"/>
          <w:szCs w:val="20"/>
          <w:lang w:val="fr-FR"/>
        </w:rPr>
        <w:t xml:space="preserve"> a demandé et obtenu un fonds sous forme de prêt de la Banque Islamique de Développement (BID) </w:t>
      </w:r>
      <w:r w:rsidRPr="00034D26">
        <w:rPr>
          <w:spacing w:val="-2"/>
          <w:sz w:val="20"/>
          <w:szCs w:val="20"/>
          <w:lang w:val="fr-FR"/>
        </w:rPr>
        <w:t xml:space="preserve">afin de couvrir le coût </w:t>
      </w:r>
      <w:r w:rsidRPr="00034D26">
        <w:rPr>
          <w:i/>
          <w:spacing w:val="-2"/>
          <w:sz w:val="20"/>
          <w:szCs w:val="20"/>
          <w:lang w:val="fr-FR"/>
        </w:rPr>
        <w:t xml:space="preserve">du </w:t>
      </w:r>
      <w:r w:rsidRPr="00034D26">
        <w:rPr>
          <w:b/>
          <w:i/>
          <w:spacing w:val="-2"/>
          <w:sz w:val="20"/>
          <w:szCs w:val="20"/>
          <w:lang w:val="fr-FR"/>
        </w:rPr>
        <w:t>Projet d’Infrastructures d’Eau Rurale dans l</w:t>
      </w:r>
      <w:r w:rsidR="008E5E4F">
        <w:rPr>
          <w:b/>
          <w:i/>
          <w:spacing w:val="-2"/>
          <w:sz w:val="20"/>
          <w:szCs w:val="20"/>
          <w:lang w:val="fr-FR"/>
        </w:rPr>
        <w:t>es Régions de l’Ennedi Est et de</w:t>
      </w:r>
      <w:r w:rsidRPr="00034D26">
        <w:rPr>
          <w:b/>
          <w:i/>
          <w:spacing w:val="-2"/>
          <w:sz w:val="20"/>
          <w:szCs w:val="20"/>
          <w:lang w:val="fr-FR"/>
        </w:rPr>
        <w:t xml:space="preserve"> </w:t>
      </w:r>
      <w:proofErr w:type="spellStart"/>
      <w:r w:rsidRPr="00034D26">
        <w:rPr>
          <w:b/>
          <w:i/>
          <w:spacing w:val="-2"/>
          <w:sz w:val="20"/>
          <w:szCs w:val="20"/>
          <w:lang w:val="fr-FR"/>
        </w:rPr>
        <w:t>Wadi</w:t>
      </w:r>
      <w:proofErr w:type="spellEnd"/>
      <w:r w:rsidRPr="00034D26">
        <w:rPr>
          <w:b/>
          <w:i/>
          <w:spacing w:val="-2"/>
          <w:sz w:val="20"/>
          <w:szCs w:val="20"/>
          <w:lang w:val="fr-FR"/>
        </w:rPr>
        <w:t xml:space="preserve"> </w:t>
      </w:r>
      <w:proofErr w:type="spellStart"/>
      <w:r w:rsidRPr="00034D26">
        <w:rPr>
          <w:b/>
          <w:i/>
          <w:spacing w:val="-2"/>
          <w:sz w:val="20"/>
          <w:szCs w:val="20"/>
          <w:lang w:val="fr-FR"/>
        </w:rPr>
        <w:t>Fira</w:t>
      </w:r>
      <w:proofErr w:type="spellEnd"/>
      <w:r w:rsidRPr="00034D26">
        <w:rPr>
          <w:spacing w:val="-2"/>
          <w:sz w:val="20"/>
          <w:szCs w:val="20"/>
          <w:lang w:val="fr-FR"/>
        </w:rPr>
        <w:t>, et a l’intention d’utiliser une partie des sommes accordées pour financer un certain nombre d’activités.</w:t>
      </w:r>
    </w:p>
    <w:p w:rsidR="00E662AE" w:rsidRPr="00034D26" w:rsidRDefault="00E662AE" w:rsidP="00E662AE">
      <w:pPr>
        <w:spacing w:after="120"/>
        <w:ind w:right="72"/>
        <w:jc w:val="both"/>
        <w:rPr>
          <w:color w:val="000000"/>
          <w:spacing w:val="-4"/>
          <w:sz w:val="20"/>
          <w:szCs w:val="20"/>
          <w:lang w:val="fr-FR"/>
        </w:rPr>
      </w:pPr>
      <w:r w:rsidRPr="00034D26">
        <w:rPr>
          <w:color w:val="000000"/>
          <w:spacing w:val="-5"/>
          <w:sz w:val="20"/>
          <w:szCs w:val="20"/>
          <w:lang w:val="fr-FR"/>
        </w:rPr>
        <w:t xml:space="preserve">Le projet a pour objectif global d'améliorer les conditions de vie socio-économiques et sanitaires </w:t>
      </w:r>
      <w:r w:rsidRPr="00034D26">
        <w:rPr>
          <w:color w:val="000000"/>
          <w:spacing w:val="-2"/>
          <w:sz w:val="20"/>
          <w:szCs w:val="20"/>
          <w:lang w:val="fr-FR"/>
        </w:rPr>
        <w:t xml:space="preserve">des populations par la sécurisation de l'approvisionnement en eau potable, de l'abreuvement du </w:t>
      </w:r>
      <w:r w:rsidRPr="00034D26">
        <w:rPr>
          <w:color w:val="000000"/>
          <w:spacing w:val="-4"/>
          <w:sz w:val="20"/>
          <w:szCs w:val="20"/>
          <w:lang w:val="fr-FR"/>
        </w:rPr>
        <w:t>cheptel, et</w:t>
      </w:r>
      <w:r w:rsidR="00485DF7">
        <w:rPr>
          <w:color w:val="000000"/>
          <w:spacing w:val="-4"/>
          <w:sz w:val="20"/>
          <w:szCs w:val="20"/>
          <w:lang w:val="fr-FR"/>
        </w:rPr>
        <w:t xml:space="preserve"> de l'assainissement des provinces</w:t>
      </w:r>
      <w:r w:rsidRPr="00034D26">
        <w:rPr>
          <w:color w:val="000000"/>
          <w:spacing w:val="-4"/>
          <w:sz w:val="20"/>
          <w:szCs w:val="20"/>
          <w:lang w:val="fr-FR"/>
        </w:rPr>
        <w:t xml:space="preserve"> concernées</w:t>
      </w:r>
    </w:p>
    <w:p w:rsidR="00E662AE" w:rsidRPr="00034D26" w:rsidRDefault="00E662AE" w:rsidP="00E662AE">
      <w:pPr>
        <w:jc w:val="both"/>
        <w:rPr>
          <w:sz w:val="20"/>
          <w:szCs w:val="20"/>
          <w:lang w:val="fr-FR"/>
        </w:rPr>
      </w:pPr>
      <w:r w:rsidRPr="00034D26">
        <w:rPr>
          <w:sz w:val="20"/>
          <w:szCs w:val="20"/>
          <w:lang w:val="fr-FR"/>
        </w:rPr>
        <w:t>Les objectifs spécifiques du projet sont :</w:t>
      </w:r>
    </w:p>
    <w:p w:rsidR="00E662AE" w:rsidRPr="00034D26" w:rsidRDefault="00E662AE" w:rsidP="00E662AE">
      <w:pPr>
        <w:jc w:val="both"/>
        <w:rPr>
          <w:sz w:val="20"/>
          <w:szCs w:val="20"/>
          <w:lang w:val="fr-FR"/>
        </w:rPr>
      </w:pPr>
      <w:r w:rsidRPr="00034D26">
        <w:rPr>
          <w:b/>
          <w:sz w:val="20"/>
          <w:szCs w:val="20"/>
          <w:lang w:val="fr-FR"/>
        </w:rPr>
        <w:t>(i)</w:t>
      </w:r>
      <w:r w:rsidRPr="00034D26">
        <w:rPr>
          <w:sz w:val="20"/>
          <w:szCs w:val="20"/>
          <w:lang w:val="fr-FR"/>
        </w:rPr>
        <w:t xml:space="preserve"> l’augmentation du taux de desserte en eau potable pour atteindre un taux de 57% à l’Ennedi Est (actuellement 11%) et 46, 03% à Wadi-Fira (actuellement (22,4%).</w:t>
      </w:r>
    </w:p>
    <w:p w:rsidR="00E662AE" w:rsidRPr="00034D26" w:rsidRDefault="00E662AE" w:rsidP="00E662AE">
      <w:pPr>
        <w:jc w:val="both"/>
        <w:rPr>
          <w:sz w:val="20"/>
          <w:szCs w:val="20"/>
          <w:lang w:val="fr-FR"/>
        </w:rPr>
      </w:pPr>
      <w:r w:rsidRPr="00034D26">
        <w:rPr>
          <w:b/>
          <w:sz w:val="20"/>
          <w:szCs w:val="20"/>
          <w:lang w:val="fr-FR"/>
        </w:rPr>
        <w:t>(ii)</w:t>
      </w:r>
      <w:r w:rsidRPr="00034D26">
        <w:rPr>
          <w:sz w:val="20"/>
          <w:szCs w:val="20"/>
          <w:lang w:val="fr-FR"/>
        </w:rPr>
        <w:t xml:space="preserve"> en fin du projet, une population additionnelle de 2</w:t>
      </w:r>
      <w:r w:rsidR="00F130AA">
        <w:rPr>
          <w:sz w:val="20"/>
          <w:szCs w:val="20"/>
          <w:lang w:val="fr-FR"/>
        </w:rPr>
        <w:t>80 000 habitants bénéficiera</w:t>
      </w:r>
      <w:r w:rsidRPr="00034D26">
        <w:rPr>
          <w:sz w:val="20"/>
          <w:szCs w:val="20"/>
          <w:lang w:val="fr-FR"/>
        </w:rPr>
        <w:t xml:space="preserve"> de l’accès à l’eau potable et 88 200 habitants bénéficieront de l’accès à l’assainissement, </w:t>
      </w:r>
    </w:p>
    <w:p w:rsidR="00E662AE" w:rsidRPr="00034D26" w:rsidRDefault="00E662AE" w:rsidP="00E662AE">
      <w:pPr>
        <w:jc w:val="both"/>
        <w:rPr>
          <w:sz w:val="20"/>
          <w:szCs w:val="20"/>
          <w:lang w:val="fr-FR"/>
        </w:rPr>
      </w:pPr>
      <w:r w:rsidRPr="00034D26">
        <w:rPr>
          <w:b/>
          <w:sz w:val="20"/>
          <w:szCs w:val="20"/>
          <w:lang w:val="fr-FR"/>
        </w:rPr>
        <w:t>(iii)</w:t>
      </w:r>
      <w:r w:rsidRPr="00034D26">
        <w:rPr>
          <w:sz w:val="20"/>
          <w:szCs w:val="20"/>
          <w:lang w:val="fr-FR"/>
        </w:rPr>
        <w:t xml:space="preserve"> la création des points d’eau dans les zones de pâturage pour alimenter environ 163 000 unités de bétail ainsi que les éleveurs et les villages riverains </w:t>
      </w:r>
    </w:p>
    <w:p w:rsidR="00E662AE" w:rsidRPr="00034D26" w:rsidRDefault="00E662AE" w:rsidP="00E662AE">
      <w:pPr>
        <w:jc w:val="both"/>
        <w:rPr>
          <w:sz w:val="20"/>
          <w:szCs w:val="20"/>
          <w:lang w:val="fr-FR"/>
        </w:rPr>
      </w:pPr>
      <w:r w:rsidRPr="00034D26">
        <w:rPr>
          <w:b/>
          <w:sz w:val="20"/>
          <w:szCs w:val="20"/>
          <w:lang w:val="fr-FR"/>
        </w:rPr>
        <w:t xml:space="preserve"> (iv) </w:t>
      </w:r>
      <w:r w:rsidRPr="00034D26">
        <w:rPr>
          <w:sz w:val="20"/>
          <w:szCs w:val="20"/>
          <w:lang w:val="fr-FR"/>
        </w:rPr>
        <w:t>la contribution à l’amélioration de la santé des populations par la réduction des maladies d’origine hydrique en fournissant une eau de qualité et de quantité suffisante.</w:t>
      </w:r>
    </w:p>
    <w:p w:rsidR="00E662AE" w:rsidRPr="00034D26" w:rsidRDefault="00E662AE" w:rsidP="00E662AE">
      <w:pPr>
        <w:ind w:right="72"/>
        <w:jc w:val="both"/>
        <w:rPr>
          <w:sz w:val="20"/>
          <w:szCs w:val="20"/>
          <w:lang w:val="fr-FR"/>
        </w:rPr>
      </w:pPr>
    </w:p>
    <w:p w:rsidR="00E662AE" w:rsidRPr="00034D26" w:rsidRDefault="00E662AE" w:rsidP="00E662AE">
      <w:pPr>
        <w:ind w:right="72"/>
        <w:jc w:val="both"/>
        <w:rPr>
          <w:sz w:val="20"/>
          <w:szCs w:val="20"/>
          <w:lang w:val="fr-FR"/>
        </w:rPr>
      </w:pPr>
      <w:r w:rsidRPr="00034D26">
        <w:rPr>
          <w:sz w:val="20"/>
          <w:szCs w:val="20"/>
          <w:lang w:val="fr-FR"/>
        </w:rPr>
        <w:t>Le projet comprendra les composantes suivantes :</w:t>
      </w:r>
    </w:p>
    <w:p w:rsidR="00E662AE" w:rsidRPr="00034D26" w:rsidRDefault="00E662AE" w:rsidP="00E662AE">
      <w:pPr>
        <w:pStyle w:val="Paragraphedeliste"/>
        <w:numPr>
          <w:ilvl w:val="0"/>
          <w:numId w:val="1"/>
        </w:numPr>
        <w:spacing w:after="120"/>
        <w:ind w:right="72"/>
        <w:jc w:val="both"/>
        <w:rPr>
          <w:sz w:val="20"/>
          <w:szCs w:val="20"/>
          <w:lang w:val="fr-FR"/>
        </w:rPr>
      </w:pPr>
      <w:r w:rsidRPr="00034D26">
        <w:rPr>
          <w:sz w:val="20"/>
          <w:szCs w:val="20"/>
          <w:lang w:val="fr-FR"/>
        </w:rPr>
        <w:t>Infrastructures d’hydraulique rurale ;</w:t>
      </w:r>
    </w:p>
    <w:p w:rsidR="00E662AE" w:rsidRPr="00034D26" w:rsidRDefault="00E662AE" w:rsidP="00E662AE">
      <w:pPr>
        <w:pStyle w:val="Paragraphedeliste"/>
        <w:numPr>
          <w:ilvl w:val="0"/>
          <w:numId w:val="1"/>
        </w:numPr>
        <w:spacing w:after="120"/>
        <w:ind w:right="72"/>
        <w:jc w:val="both"/>
        <w:rPr>
          <w:sz w:val="20"/>
          <w:szCs w:val="20"/>
          <w:lang w:val="fr-FR"/>
        </w:rPr>
      </w:pPr>
      <w:r w:rsidRPr="00034D26">
        <w:rPr>
          <w:sz w:val="20"/>
          <w:szCs w:val="20"/>
          <w:lang w:val="fr-FR"/>
        </w:rPr>
        <w:t>Renforcement des capacités du Ministère de l’Environnement de l’Eau et de la Pêche ;</w:t>
      </w:r>
    </w:p>
    <w:p w:rsidR="00E662AE" w:rsidRPr="00034D26" w:rsidRDefault="00E662AE" w:rsidP="00E662AE">
      <w:pPr>
        <w:pStyle w:val="Paragraphedeliste"/>
        <w:numPr>
          <w:ilvl w:val="0"/>
          <w:numId w:val="1"/>
        </w:numPr>
        <w:spacing w:after="120"/>
        <w:ind w:right="72"/>
        <w:jc w:val="both"/>
        <w:rPr>
          <w:sz w:val="20"/>
          <w:szCs w:val="20"/>
          <w:lang w:val="fr-FR"/>
        </w:rPr>
      </w:pPr>
      <w:r w:rsidRPr="00034D26">
        <w:rPr>
          <w:sz w:val="20"/>
          <w:szCs w:val="20"/>
          <w:lang w:val="fr-FR"/>
        </w:rPr>
        <w:t>Services Conseils ;</w:t>
      </w:r>
    </w:p>
    <w:p w:rsidR="00E662AE" w:rsidRPr="00034D26" w:rsidRDefault="00E662AE" w:rsidP="00E662AE">
      <w:pPr>
        <w:pStyle w:val="Paragraphedeliste"/>
        <w:numPr>
          <w:ilvl w:val="0"/>
          <w:numId w:val="1"/>
        </w:numPr>
        <w:spacing w:after="120"/>
        <w:ind w:right="72"/>
        <w:jc w:val="both"/>
        <w:rPr>
          <w:sz w:val="20"/>
          <w:szCs w:val="20"/>
          <w:lang w:val="fr-FR"/>
        </w:rPr>
      </w:pPr>
      <w:r w:rsidRPr="00034D26">
        <w:rPr>
          <w:sz w:val="20"/>
          <w:szCs w:val="20"/>
          <w:lang w:val="fr-FR"/>
        </w:rPr>
        <w:t>Unité de gestion du projet ;</w:t>
      </w:r>
    </w:p>
    <w:p w:rsidR="00E662AE" w:rsidRPr="00034D26" w:rsidRDefault="00E662AE" w:rsidP="00E662AE">
      <w:pPr>
        <w:pStyle w:val="Paragraphedeliste"/>
        <w:numPr>
          <w:ilvl w:val="0"/>
          <w:numId w:val="1"/>
        </w:numPr>
        <w:spacing w:after="120"/>
        <w:ind w:right="72"/>
        <w:jc w:val="both"/>
        <w:rPr>
          <w:sz w:val="20"/>
          <w:szCs w:val="20"/>
          <w:lang w:val="fr-FR"/>
        </w:rPr>
      </w:pPr>
      <w:r w:rsidRPr="00034D26">
        <w:rPr>
          <w:sz w:val="20"/>
          <w:szCs w:val="20"/>
          <w:lang w:val="fr-FR"/>
        </w:rPr>
        <w:t>Audit financier du projet ;</w:t>
      </w:r>
    </w:p>
    <w:p w:rsidR="00E662AE" w:rsidRPr="00034D26" w:rsidRDefault="00E662AE" w:rsidP="00E662AE">
      <w:pPr>
        <w:pStyle w:val="Paragraphedeliste"/>
        <w:numPr>
          <w:ilvl w:val="0"/>
          <w:numId w:val="1"/>
        </w:numPr>
        <w:spacing w:after="120"/>
        <w:ind w:right="72"/>
        <w:jc w:val="both"/>
        <w:rPr>
          <w:sz w:val="20"/>
          <w:szCs w:val="20"/>
          <w:lang w:val="fr-FR"/>
        </w:rPr>
      </w:pPr>
      <w:r w:rsidRPr="00034D26">
        <w:rPr>
          <w:sz w:val="20"/>
          <w:szCs w:val="20"/>
          <w:lang w:val="fr-FR"/>
        </w:rPr>
        <w:t>Ateliers de lancement, du suivi du projet et visite de familiarisation.</w:t>
      </w:r>
    </w:p>
    <w:p w:rsidR="007F147F" w:rsidRDefault="007F147F" w:rsidP="00E662AE">
      <w:pPr>
        <w:spacing w:after="120"/>
        <w:ind w:right="72"/>
        <w:jc w:val="both"/>
        <w:rPr>
          <w:sz w:val="20"/>
          <w:szCs w:val="20"/>
          <w:lang w:val="fr-FR"/>
        </w:rPr>
      </w:pPr>
      <w:r>
        <w:rPr>
          <w:sz w:val="20"/>
          <w:szCs w:val="20"/>
          <w:lang w:val="fr-FR"/>
        </w:rPr>
        <w:t xml:space="preserve">Les acquisitions de </w:t>
      </w:r>
      <w:r w:rsidR="00295503">
        <w:rPr>
          <w:sz w:val="20"/>
          <w:szCs w:val="20"/>
          <w:lang w:val="fr-FR"/>
        </w:rPr>
        <w:t>Biens,</w:t>
      </w:r>
      <w:r>
        <w:rPr>
          <w:sz w:val="20"/>
          <w:szCs w:val="20"/>
          <w:lang w:val="fr-FR"/>
        </w:rPr>
        <w:t xml:space="preserve"> </w:t>
      </w:r>
      <w:r w:rsidR="00E662AE" w:rsidRPr="00034D26">
        <w:rPr>
          <w:sz w:val="20"/>
          <w:szCs w:val="20"/>
          <w:lang w:val="fr-FR"/>
        </w:rPr>
        <w:t xml:space="preserve">Travaux </w:t>
      </w:r>
      <w:r>
        <w:rPr>
          <w:sz w:val="20"/>
          <w:szCs w:val="20"/>
          <w:lang w:val="fr-FR"/>
        </w:rPr>
        <w:t>et services de</w:t>
      </w:r>
      <w:r w:rsidR="00F130AA">
        <w:rPr>
          <w:sz w:val="20"/>
          <w:szCs w:val="20"/>
          <w:lang w:val="fr-FR"/>
        </w:rPr>
        <w:t>s</w:t>
      </w:r>
      <w:r>
        <w:rPr>
          <w:sz w:val="20"/>
          <w:szCs w:val="20"/>
          <w:lang w:val="fr-FR"/>
        </w:rPr>
        <w:t xml:space="preserve"> consultants </w:t>
      </w:r>
      <w:r w:rsidR="00E662AE" w:rsidRPr="00034D26">
        <w:rPr>
          <w:sz w:val="20"/>
          <w:szCs w:val="20"/>
          <w:lang w:val="fr-FR"/>
        </w:rPr>
        <w:t xml:space="preserve">seront effectuées conformément aux Directives pour la Passation des marchés financés par la Banque Islamique de Développement (édition de mai 2009 révisée en février 2012). </w:t>
      </w:r>
    </w:p>
    <w:p w:rsidR="00E662AE" w:rsidRPr="00034D26" w:rsidRDefault="00E662AE" w:rsidP="00E662AE">
      <w:pPr>
        <w:spacing w:after="120"/>
        <w:ind w:right="72"/>
        <w:jc w:val="both"/>
        <w:rPr>
          <w:sz w:val="20"/>
          <w:szCs w:val="20"/>
          <w:lang w:val="fr-FR"/>
        </w:rPr>
      </w:pPr>
      <w:r w:rsidRPr="00034D26">
        <w:rPr>
          <w:b/>
          <w:sz w:val="20"/>
          <w:szCs w:val="20"/>
          <w:lang w:val="fr-FR"/>
        </w:rPr>
        <w:t>Marchés de Biens</w:t>
      </w:r>
      <w:r w:rsidRPr="00034D26">
        <w:rPr>
          <w:sz w:val="20"/>
          <w:szCs w:val="20"/>
          <w:lang w:val="fr-FR"/>
        </w:rPr>
        <w:t xml:space="preserve"> : </w:t>
      </w:r>
    </w:p>
    <w:tbl>
      <w:tblPr>
        <w:tblStyle w:val="Grilledutableau"/>
        <w:tblW w:w="9322" w:type="dxa"/>
        <w:tblLook w:val="04A0" w:firstRow="1" w:lastRow="0" w:firstColumn="1" w:lastColumn="0" w:noHBand="0" w:noVBand="1"/>
      </w:tblPr>
      <w:tblGrid>
        <w:gridCol w:w="675"/>
        <w:gridCol w:w="3119"/>
        <w:gridCol w:w="5528"/>
      </w:tblGrid>
      <w:tr w:rsidR="00E662AE" w:rsidRPr="00034D26" w:rsidTr="00034D26">
        <w:tc>
          <w:tcPr>
            <w:tcW w:w="675" w:type="dxa"/>
          </w:tcPr>
          <w:p w:rsidR="00E662AE" w:rsidRPr="00034D26" w:rsidRDefault="00E662AE" w:rsidP="005E0252">
            <w:pPr>
              <w:spacing w:after="120"/>
              <w:ind w:right="72"/>
              <w:jc w:val="both"/>
              <w:rPr>
                <w:b/>
                <w:sz w:val="20"/>
                <w:szCs w:val="20"/>
                <w:lang w:val="fr-FR"/>
              </w:rPr>
            </w:pPr>
            <w:r w:rsidRPr="00034D26">
              <w:rPr>
                <w:b/>
                <w:sz w:val="20"/>
                <w:szCs w:val="20"/>
                <w:lang w:val="fr-FR"/>
              </w:rPr>
              <w:t>N°</w:t>
            </w:r>
          </w:p>
        </w:tc>
        <w:tc>
          <w:tcPr>
            <w:tcW w:w="3119" w:type="dxa"/>
          </w:tcPr>
          <w:p w:rsidR="00E662AE" w:rsidRPr="00034D26" w:rsidRDefault="00E662AE" w:rsidP="005E0252">
            <w:pPr>
              <w:spacing w:after="120"/>
              <w:ind w:right="72"/>
              <w:jc w:val="both"/>
              <w:rPr>
                <w:b/>
                <w:sz w:val="20"/>
                <w:szCs w:val="20"/>
                <w:lang w:val="fr-FR"/>
              </w:rPr>
            </w:pPr>
            <w:r w:rsidRPr="00034D26">
              <w:rPr>
                <w:b/>
                <w:sz w:val="20"/>
                <w:szCs w:val="20"/>
                <w:lang w:val="fr-FR"/>
              </w:rPr>
              <w:t>Nature des biens</w:t>
            </w:r>
          </w:p>
        </w:tc>
        <w:tc>
          <w:tcPr>
            <w:tcW w:w="5528" w:type="dxa"/>
          </w:tcPr>
          <w:p w:rsidR="00E662AE" w:rsidRPr="00034D26" w:rsidRDefault="00E662AE" w:rsidP="005E0252">
            <w:pPr>
              <w:spacing w:after="120"/>
              <w:ind w:right="72"/>
              <w:jc w:val="both"/>
              <w:rPr>
                <w:b/>
                <w:sz w:val="20"/>
                <w:szCs w:val="20"/>
                <w:lang w:val="fr-FR"/>
              </w:rPr>
            </w:pPr>
            <w:r w:rsidRPr="00034D26">
              <w:rPr>
                <w:b/>
                <w:sz w:val="20"/>
                <w:szCs w:val="20"/>
                <w:lang w:val="fr-FR"/>
              </w:rPr>
              <w:t>Mode de passation</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1</w:t>
            </w:r>
          </w:p>
        </w:tc>
        <w:tc>
          <w:tcPr>
            <w:tcW w:w="3119" w:type="dxa"/>
          </w:tcPr>
          <w:p w:rsidR="00E662AE" w:rsidRPr="00034D26" w:rsidRDefault="00E662AE" w:rsidP="005E0252">
            <w:pPr>
              <w:spacing w:after="120"/>
              <w:ind w:right="72"/>
              <w:jc w:val="both"/>
              <w:rPr>
                <w:sz w:val="20"/>
                <w:szCs w:val="20"/>
                <w:lang w:val="fr-FR"/>
              </w:rPr>
            </w:pPr>
            <w:r w:rsidRPr="00034D26">
              <w:rPr>
                <w:sz w:val="20"/>
                <w:szCs w:val="20"/>
                <w:lang w:val="fr-FR"/>
              </w:rPr>
              <w:t>Matériels roulants</w:t>
            </w:r>
          </w:p>
        </w:tc>
        <w:tc>
          <w:tcPr>
            <w:tcW w:w="5528" w:type="dxa"/>
          </w:tcPr>
          <w:p w:rsidR="00E662AE" w:rsidRPr="00034D26" w:rsidRDefault="00E662AE" w:rsidP="005E0252">
            <w:pPr>
              <w:spacing w:after="120"/>
              <w:ind w:right="72"/>
              <w:jc w:val="both"/>
              <w:rPr>
                <w:sz w:val="20"/>
                <w:szCs w:val="20"/>
                <w:lang w:val="fr-FR"/>
              </w:rPr>
            </w:pPr>
            <w:r w:rsidRPr="00034D26">
              <w:rPr>
                <w:sz w:val="20"/>
                <w:szCs w:val="20"/>
                <w:lang w:val="fr-FR"/>
              </w:rPr>
              <w:t>CFN : Consultation des Fournisseurs à l’échelle Nationale</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2</w:t>
            </w:r>
          </w:p>
        </w:tc>
        <w:tc>
          <w:tcPr>
            <w:tcW w:w="3119" w:type="dxa"/>
          </w:tcPr>
          <w:p w:rsidR="00E662AE" w:rsidRPr="00034D26" w:rsidRDefault="00E662AE" w:rsidP="005E0252">
            <w:pPr>
              <w:spacing w:after="120"/>
              <w:ind w:right="72"/>
              <w:jc w:val="both"/>
              <w:rPr>
                <w:sz w:val="20"/>
                <w:szCs w:val="20"/>
                <w:lang w:val="fr-FR"/>
              </w:rPr>
            </w:pPr>
            <w:r w:rsidRPr="00034D26">
              <w:rPr>
                <w:sz w:val="20"/>
                <w:szCs w:val="20"/>
                <w:lang w:val="fr-FR"/>
              </w:rPr>
              <w:t>Equipements scientifiques</w:t>
            </w:r>
          </w:p>
        </w:tc>
        <w:tc>
          <w:tcPr>
            <w:tcW w:w="5528" w:type="dxa"/>
          </w:tcPr>
          <w:p w:rsidR="00E662AE" w:rsidRPr="00034D26" w:rsidRDefault="00E662AE" w:rsidP="005E0252">
            <w:pPr>
              <w:spacing w:after="120"/>
              <w:ind w:right="72"/>
              <w:jc w:val="both"/>
              <w:rPr>
                <w:sz w:val="20"/>
                <w:szCs w:val="20"/>
                <w:lang w:val="fr-FR"/>
              </w:rPr>
            </w:pPr>
            <w:r w:rsidRPr="00034D26">
              <w:rPr>
                <w:sz w:val="20"/>
                <w:szCs w:val="20"/>
                <w:lang w:val="fr-FR"/>
              </w:rPr>
              <w:t>CFI : Consultation des Fournisseurs à l’échelle Internationale</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3</w:t>
            </w:r>
          </w:p>
        </w:tc>
        <w:tc>
          <w:tcPr>
            <w:tcW w:w="3119" w:type="dxa"/>
          </w:tcPr>
          <w:p w:rsidR="00E662AE" w:rsidRPr="00034D26" w:rsidRDefault="00E662AE" w:rsidP="005E0252">
            <w:pPr>
              <w:spacing w:after="120"/>
              <w:ind w:right="72"/>
              <w:jc w:val="both"/>
              <w:rPr>
                <w:sz w:val="20"/>
                <w:szCs w:val="20"/>
                <w:lang w:val="fr-FR"/>
              </w:rPr>
            </w:pPr>
            <w:r w:rsidRPr="00034D26">
              <w:rPr>
                <w:sz w:val="20"/>
                <w:szCs w:val="20"/>
                <w:lang w:val="fr-FR"/>
              </w:rPr>
              <w:t>Matériels informatiques et équipements de bureau</w:t>
            </w:r>
          </w:p>
        </w:tc>
        <w:tc>
          <w:tcPr>
            <w:tcW w:w="5528" w:type="dxa"/>
          </w:tcPr>
          <w:p w:rsidR="00E662AE" w:rsidRPr="00034D26" w:rsidRDefault="00E662AE" w:rsidP="005E0252">
            <w:pPr>
              <w:spacing w:after="120"/>
              <w:ind w:right="72"/>
              <w:jc w:val="both"/>
              <w:rPr>
                <w:sz w:val="20"/>
                <w:szCs w:val="20"/>
                <w:lang w:val="fr-FR"/>
              </w:rPr>
            </w:pPr>
            <w:r w:rsidRPr="00034D26">
              <w:rPr>
                <w:sz w:val="20"/>
                <w:szCs w:val="20"/>
                <w:lang w:val="fr-FR"/>
              </w:rPr>
              <w:t>CFN : Consultation des Fournisseurs à l’échelle Nationale</w:t>
            </w:r>
          </w:p>
        </w:tc>
      </w:tr>
    </w:tbl>
    <w:p w:rsidR="008977A2" w:rsidRDefault="008977A2" w:rsidP="00E662AE">
      <w:pPr>
        <w:spacing w:after="120"/>
        <w:ind w:right="72"/>
        <w:jc w:val="both"/>
        <w:rPr>
          <w:b/>
          <w:sz w:val="20"/>
          <w:szCs w:val="20"/>
          <w:lang w:val="fr-FR"/>
        </w:rPr>
      </w:pPr>
    </w:p>
    <w:p w:rsidR="00BB39F5" w:rsidRDefault="00BB39F5" w:rsidP="00E662AE">
      <w:pPr>
        <w:spacing w:after="120"/>
        <w:ind w:right="72"/>
        <w:jc w:val="both"/>
        <w:rPr>
          <w:b/>
          <w:sz w:val="20"/>
          <w:szCs w:val="20"/>
          <w:lang w:val="fr-FR"/>
        </w:rPr>
      </w:pPr>
    </w:p>
    <w:p w:rsidR="00E662AE" w:rsidRPr="00034D26" w:rsidRDefault="00E662AE" w:rsidP="00E662AE">
      <w:pPr>
        <w:spacing w:after="120"/>
        <w:ind w:right="72"/>
        <w:jc w:val="both"/>
        <w:rPr>
          <w:sz w:val="20"/>
          <w:szCs w:val="20"/>
          <w:lang w:val="fr-FR"/>
        </w:rPr>
      </w:pPr>
      <w:r w:rsidRPr="00034D26">
        <w:rPr>
          <w:b/>
          <w:sz w:val="20"/>
          <w:szCs w:val="20"/>
          <w:lang w:val="fr-FR"/>
        </w:rPr>
        <w:lastRenderedPageBreak/>
        <w:t>Marchés de Travaux</w:t>
      </w:r>
      <w:r w:rsidRPr="00034D26">
        <w:rPr>
          <w:sz w:val="20"/>
          <w:szCs w:val="20"/>
          <w:lang w:val="fr-FR"/>
        </w:rPr>
        <w:t xml:space="preserve"> : </w:t>
      </w:r>
    </w:p>
    <w:tbl>
      <w:tblPr>
        <w:tblStyle w:val="Grilledutableau"/>
        <w:tblW w:w="9322" w:type="dxa"/>
        <w:tblLook w:val="04A0" w:firstRow="1" w:lastRow="0" w:firstColumn="1" w:lastColumn="0" w:noHBand="0" w:noVBand="1"/>
      </w:tblPr>
      <w:tblGrid>
        <w:gridCol w:w="675"/>
        <w:gridCol w:w="2977"/>
        <w:gridCol w:w="5670"/>
      </w:tblGrid>
      <w:tr w:rsidR="00E662AE" w:rsidRPr="00034D26" w:rsidTr="00034D26">
        <w:tc>
          <w:tcPr>
            <w:tcW w:w="675" w:type="dxa"/>
          </w:tcPr>
          <w:p w:rsidR="00E662AE" w:rsidRPr="00034D26" w:rsidRDefault="00E662AE" w:rsidP="005E0252">
            <w:pPr>
              <w:spacing w:after="120"/>
              <w:ind w:right="72"/>
              <w:jc w:val="both"/>
              <w:rPr>
                <w:b/>
                <w:sz w:val="20"/>
                <w:szCs w:val="20"/>
                <w:lang w:val="fr-FR"/>
              </w:rPr>
            </w:pPr>
            <w:r w:rsidRPr="00034D26">
              <w:rPr>
                <w:b/>
                <w:sz w:val="20"/>
                <w:szCs w:val="20"/>
                <w:lang w:val="fr-FR"/>
              </w:rPr>
              <w:t>N°</w:t>
            </w:r>
          </w:p>
        </w:tc>
        <w:tc>
          <w:tcPr>
            <w:tcW w:w="2977" w:type="dxa"/>
          </w:tcPr>
          <w:p w:rsidR="00E662AE" w:rsidRPr="00034D26" w:rsidRDefault="00E662AE" w:rsidP="005E0252">
            <w:pPr>
              <w:spacing w:after="120"/>
              <w:ind w:right="72"/>
              <w:jc w:val="both"/>
              <w:rPr>
                <w:b/>
                <w:sz w:val="20"/>
                <w:szCs w:val="20"/>
                <w:lang w:val="fr-FR"/>
              </w:rPr>
            </w:pPr>
            <w:r w:rsidRPr="00034D26">
              <w:rPr>
                <w:b/>
                <w:sz w:val="20"/>
                <w:szCs w:val="20"/>
                <w:lang w:val="fr-FR"/>
              </w:rPr>
              <w:t>Nature des travaux</w:t>
            </w:r>
          </w:p>
        </w:tc>
        <w:tc>
          <w:tcPr>
            <w:tcW w:w="5670" w:type="dxa"/>
          </w:tcPr>
          <w:p w:rsidR="00E662AE" w:rsidRPr="00034D26" w:rsidRDefault="00E662AE" w:rsidP="005E0252">
            <w:pPr>
              <w:spacing w:after="120"/>
              <w:ind w:right="72"/>
              <w:jc w:val="both"/>
              <w:rPr>
                <w:b/>
                <w:sz w:val="20"/>
                <w:szCs w:val="20"/>
                <w:lang w:val="fr-FR"/>
              </w:rPr>
            </w:pPr>
            <w:r w:rsidRPr="00034D26">
              <w:rPr>
                <w:b/>
                <w:sz w:val="20"/>
                <w:szCs w:val="20"/>
                <w:lang w:val="fr-FR"/>
              </w:rPr>
              <w:t>Mode de passation</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1</w:t>
            </w:r>
          </w:p>
        </w:tc>
        <w:tc>
          <w:tcPr>
            <w:tcW w:w="2977" w:type="dxa"/>
          </w:tcPr>
          <w:p w:rsidR="00E662AE" w:rsidRPr="00034D26" w:rsidRDefault="00E662AE" w:rsidP="005E0252">
            <w:pPr>
              <w:spacing w:after="120"/>
              <w:ind w:right="72"/>
              <w:jc w:val="both"/>
              <w:rPr>
                <w:sz w:val="20"/>
                <w:szCs w:val="20"/>
                <w:lang w:val="fr-FR"/>
              </w:rPr>
            </w:pPr>
            <w:r w:rsidRPr="00034D26">
              <w:rPr>
                <w:sz w:val="20"/>
                <w:szCs w:val="20"/>
                <w:lang w:val="fr-FR"/>
              </w:rPr>
              <w:t>Forages + pompes</w:t>
            </w:r>
          </w:p>
        </w:tc>
        <w:tc>
          <w:tcPr>
            <w:tcW w:w="5670" w:type="dxa"/>
          </w:tcPr>
          <w:p w:rsidR="00E662AE" w:rsidRPr="00034D26" w:rsidRDefault="00E662AE" w:rsidP="005E0252">
            <w:pPr>
              <w:spacing w:after="120"/>
              <w:ind w:right="72"/>
              <w:jc w:val="both"/>
              <w:rPr>
                <w:sz w:val="20"/>
                <w:szCs w:val="20"/>
                <w:lang w:val="fr-FR"/>
              </w:rPr>
            </w:pPr>
            <w:r w:rsidRPr="00034D26">
              <w:rPr>
                <w:sz w:val="20"/>
                <w:szCs w:val="20"/>
                <w:lang w:val="fr-FR"/>
              </w:rPr>
              <w:t>AOI/PM : Appel d’Offres International provenant des Pays membres de la BID</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2</w:t>
            </w:r>
          </w:p>
        </w:tc>
        <w:tc>
          <w:tcPr>
            <w:tcW w:w="2977" w:type="dxa"/>
          </w:tcPr>
          <w:p w:rsidR="00E662AE" w:rsidRPr="00034D26" w:rsidRDefault="00E662AE" w:rsidP="005E0252">
            <w:pPr>
              <w:spacing w:after="120"/>
              <w:ind w:right="72"/>
              <w:jc w:val="both"/>
              <w:rPr>
                <w:sz w:val="20"/>
                <w:szCs w:val="20"/>
                <w:lang w:val="fr-FR"/>
              </w:rPr>
            </w:pPr>
            <w:r w:rsidRPr="00034D26">
              <w:rPr>
                <w:sz w:val="20"/>
                <w:szCs w:val="20"/>
                <w:lang w:val="fr-FR"/>
              </w:rPr>
              <w:t>AEP Semi Urbain</w:t>
            </w:r>
          </w:p>
        </w:tc>
        <w:tc>
          <w:tcPr>
            <w:tcW w:w="5670" w:type="dxa"/>
          </w:tcPr>
          <w:p w:rsidR="00E662AE" w:rsidRPr="00034D26" w:rsidRDefault="00E662AE" w:rsidP="005E0252">
            <w:pPr>
              <w:spacing w:after="120"/>
              <w:ind w:right="72"/>
              <w:jc w:val="both"/>
              <w:rPr>
                <w:sz w:val="20"/>
                <w:szCs w:val="20"/>
                <w:lang w:val="fr-FR"/>
              </w:rPr>
            </w:pPr>
            <w:r w:rsidRPr="00034D26">
              <w:rPr>
                <w:sz w:val="20"/>
                <w:szCs w:val="20"/>
                <w:lang w:val="fr-FR"/>
              </w:rPr>
              <w:t>AOI/PM : Appel d’Offres International provenant des Pays membres de la BID</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3</w:t>
            </w:r>
          </w:p>
        </w:tc>
        <w:tc>
          <w:tcPr>
            <w:tcW w:w="2977" w:type="dxa"/>
          </w:tcPr>
          <w:p w:rsidR="00E662AE" w:rsidRPr="00034D26" w:rsidRDefault="00E662AE" w:rsidP="005E0252">
            <w:pPr>
              <w:spacing w:after="120"/>
              <w:ind w:right="72"/>
              <w:jc w:val="both"/>
              <w:rPr>
                <w:sz w:val="20"/>
                <w:szCs w:val="20"/>
                <w:lang w:val="fr-FR"/>
              </w:rPr>
            </w:pPr>
            <w:r w:rsidRPr="00034D26">
              <w:rPr>
                <w:sz w:val="20"/>
                <w:szCs w:val="20"/>
                <w:lang w:val="fr-FR"/>
              </w:rPr>
              <w:t>Puits pastoraux</w:t>
            </w:r>
          </w:p>
        </w:tc>
        <w:tc>
          <w:tcPr>
            <w:tcW w:w="5670" w:type="dxa"/>
          </w:tcPr>
          <w:p w:rsidR="00E662AE" w:rsidRPr="00034D26" w:rsidRDefault="00E662AE" w:rsidP="005E0252">
            <w:pPr>
              <w:spacing w:after="120"/>
              <w:ind w:right="72"/>
              <w:jc w:val="both"/>
              <w:rPr>
                <w:sz w:val="20"/>
                <w:szCs w:val="20"/>
                <w:lang w:val="fr-FR"/>
              </w:rPr>
            </w:pPr>
            <w:r w:rsidRPr="00034D26">
              <w:rPr>
                <w:sz w:val="20"/>
                <w:szCs w:val="20"/>
                <w:lang w:val="fr-FR"/>
              </w:rPr>
              <w:t>AON : Appel d’Offres National</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4</w:t>
            </w:r>
          </w:p>
        </w:tc>
        <w:tc>
          <w:tcPr>
            <w:tcW w:w="2977" w:type="dxa"/>
          </w:tcPr>
          <w:p w:rsidR="00E662AE" w:rsidRPr="00034D26" w:rsidRDefault="00E662AE" w:rsidP="005E0252">
            <w:pPr>
              <w:spacing w:after="120"/>
              <w:ind w:right="72"/>
              <w:jc w:val="both"/>
              <w:rPr>
                <w:sz w:val="20"/>
                <w:szCs w:val="20"/>
                <w:lang w:val="fr-FR"/>
              </w:rPr>
            </w:pPr>
            <w:r w:rsidRPr="00034D26">
              <w:rPr>
                <w:sz w:val="20"/>
                <w:szCs w:val="20"/>
                <w:lang w:val="fr-FR"/>
              </w:rPr>
              <w:t>Petites stations</w:t>
            </w:r>
          </w:p>
        </w:tc>
        <w:tc>
          <w:tcPr>
            <w:tcW w:w="5670" w:type="dxa"/>
          </w:tcPr>
          <w:p w:rsidR="00E662AE" w:rsidRPr="00034D26" w:rsidRDefault="00E662AE" w:rsidP="005E0252">
            <w:pPr>
              <w:spacing w:after="120"/>
              <w:ind w:right="72"/>
              <w:jc w:val="both"/>
              <w:rPr>
                <w:sz w:val="20"/>
                <w:szCs w:val="20"/>
                <w:lang w:val="fr-FR"/>
              </w:rPr>
            </w:pPr>
            <w:r w:rsidRPr="00034D26">
              <w:rPr>
                <w:sz w:val="20"/>
                <w:szCs w:val="20"/>
                <w:lang w:val="fr-FR"/>
              </w:rPr>
              <w:t>AON : Appel d’Offres National</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5</w:t>
            </w:r>
          </w:p>
        </w:tc>
        <w:tc>
          <w:tcPr>
            <w:tcW w:w="2977" w:type="dxa"/>
          </w:tcPr>
          <w:p w:rsidR="00E662AE" w:rsidRPr="00034D26" w:rsidRDefault="00E662AE" w:rsidP="005E0252">
            <w:pPr>
              <w:spacing w:after="120"/>
              <w:ind w:right="72"/>
              <w:jc w:val="both"/>
              <w:rPr>
                <w:sz w:val="20"/>
                <w:szCs w:val="20"/>
                <w:lang w:val="fr-FR"/>
              </w:rPr>
            </w:pPr>
            <w:r w:rsidRPr="00034D26">
              <w:rPr>
                <w:sz w:val="20"/>
                <w:szCs w:val="20"/>
                <w:lang w:val="fr-FR"/>
              </w:rPr>
              <w:t>Seuil d’épandage</w:t>
            </w:r>
          </w:p>
        </w:tc>
        <w:tc>
          <w:tcPr>
            <w:tcW w:w="5670" w:type="dxa"/>
          </w:tcPr>
          <w:p w:rsidR="00E662AE" w:rsidRPr="00034D26" w:rsidRDefault="00E662AE" w:rsidP="005E0252">
            <w:pPr>
              <w:spacing w:after="120"/>
              <w:ind w:right="72"/>
              <w:jc w:val="both"/>
              <w:rPr>
                <w:sz w:val="20"/>
                <w:szCs w:val="20"/>
                <w:lang w:val="fr-FR"/>
              </w:rPr>
            </w:pPr>
            <w:r w:rsidRPr="00034D26">
              <w:rPr>
                <w:sz w:val="20"/>
                <w:szCs w:val="20"/>
                <w:lang w:val="fr-FR"/>
              </w:rPr>
              <w:t>AON : Appel d’Offres National</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6</w:t>
            </w:r>
          </w:p>
        </w:tc>
        <w:tc>
          <w:tcPr>
            <w:tcW w:w="2977" w:type="dxa"/>
          </w:tcPr>
          <w:p w:rsidR="00E662AE" w:rsidRPr="00034D26" w:rsidRDefault="00E662AE" w:rsidP="005E0252">
            <w:pPr>
              <w:spacing w:after="120"/>
              <w:ind w:right="72"/>
              <w:jc w:val="both"/>
              <w:rPr>
                <w:sz w:val="20"/>
                <w:szCs w:val="20"/>
                <w:lang w:val="fr-FR"/>
              </w:rPr>
            </w:pPr>
            <w:r w:rsidRPr="00034D26">
              <w:rPr>
                <w:sz w:val="20"/>
                <w:szCs w:val="20"/>
                <w:lang w:val="fr-FR"/>
              </w:rPr>
              <w:t>Construction des barrages</w:t>
            </w:r>
          </w:p>
        </w:tc>
        <w:tc>
          <w:tcPr>
            <w:tcW w:w="5670" w:type="dxa"/>
          </w:tcPr>
          <w:p w:rsidR="00E662AE" w:rsidRPr="00034D26" w:rsidRDefault="00E662AE" w:rsidP="005E0252">
            <w:pPr>
              <w:spacing w:after="120"/>
              <w:ind w:right="72"/>
              <w:jc w:val="both"/>
              <w:rPr>
                <w:sz w:val="20"/>
                <w:szCs w:val="20"/>
                <w:lang w:val="fr-FR"/>
              </w:rPr>
            </w:pPr>
            <w:r w:rsidRPr="00034D26">
              <w:rPr>
                <w:sz w:val="20"/>
                <w:szCs w:val="20"/>
                <w:lang w:val="fr-FR"/>
              </w:rPr>
              <w:t>AON : Appel d’Offres National</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7</w:t>
            </w:r>
          </w:p>
        </w:tc>
        <w:tc>
          <w:tcPr>
            <w:tcW w:w="2977" w:type="dxa"/>
          </w:tcPr>
          <w:p w:rsidR="00E662AE" w:rsidRPr="00034D26" w:rsidRDefault="00E662AE" w:rsidP="005E0252">
            <w:pPr>
              <w:spacing w:after="120"/>
              <w:ind w:right="72"/>
              <w:jc w:val="both"/>
              <w:rPr>
                <w:sz w:val="20"/>
                <w:szCs w:val="20"/>
                <w:lang w:val="fr-FR"/>
              </w:rPr>
            </w:pPr>
            <w:r w:rsidRPr="00034D26">
              <w:rPr>
                <w:sz w:val="20"/>
                <w:szCs w:val="20"/>
                <w:lang w:val="fr-FR"/>
              </w:rPr>
              <w:t>Mares</w:t>
            </w:r>
          </w:p>
        </w:tc>
        <w:tc>
          <w:tcPr>
            <w:tcW w:w="5670" w:type="dxa"/>
          </w:tcPr>
          <w:p w:rsidR="00E662AE" w:rsidRPr="00034D26" w:rsidRDefault="00E662AE" w:rsidP="005E0252">
            <w:pPr>
              <w:spacing w:after="120"/>
              <w:ind w:right="72"/>
              <w:jc w:val="both"/>
              <w:rPr>
                <w:sz w:val="20"/>
                <w:szCs w:val="20"/>
                <w:lang w:val="fr-FR"/>
              </w:rPr>
            </w:pPr>
            <w:r w:rsidRPr="00034D26">
              <w:rPr>
                <w:sz w:val="20"/>
                <w:szCs w:val="20"/>
                <w:lang w:val="fr-FR"/>
              </w:rPr>
              <w:t>AON : Appel d’Offres National</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8</w:t>
            </w:r>
          </w:p>
        </w:tc>
        <w:tc>
          <w:tcPr>
            <w:tcW w:w="2977" w:type="dxa"/>
          </w:tcPr>
          <w:p w:rsidR="00E662AE" w:rsidRPr="00034D26" w:rsidRDefault="00EE29FA" w:rsidP="005E0252">
            <w:pPr>
              <w:spacing w:after="120"/>
              <w:ind w:right="72"/>
              <w:jc w:val="both"/>
              <w:rPr>
                <w:sz w:val="20"/>
                <w:szCs w:val="20"/>
                <w:lang w:val="fr-FR"/>
              </w:rPr>
            </w:pPr>
            <w:r>
              <w:rPr>
                <w:sz w:val="20"/>
                <w:szCs w:val="20"/>
                <w:lang w:val="fr-FR"/>
              </w:rPr>
              <w:t>Latrines</w:t>
            </w:r>
            <w:r w:rsidR="00E662AE" w:rsidRPr="00034D26">
              <w:rPr>
                <w:sz w:val="20"/>
                <w:szCs w:val="20"/>
                <w:lang w:val="fr-FR"/>
              </w:rPr>
              <w:t xml:space="preserve"> communautaires</w:t>
            </w:r>
          </w:p>
        </w:tc>
        <w:tc>
          <w:tcPr>
            <w:tcW w:w="5670" w:type="dxa"/>
          </w:tcPr>
          <w:p w:rsidR="00E662AE" w:rsidRPr="00034D26" w:rsidRDefault="00E662AE" w:rsidP="005E0252">
            <w:pPr>
              <w:spacing w:after="120"/>
              <w:ind w:right="72"/>
              <w:jc w:val="both"/>
              <w:rPr>
                <w:sz w:val="20"/>
                <w:szCs w:val="20"/>
                <w:lang w:val="fr-FR"/>
              </w:rPr>
            </w:pPr>
            <w:r w:rsidRPr="00034D26">
              <w:rPr>
                <w:sz w:val="20"/>
                <w:szCs w:val="20"/>
                <w:lang w:val="fr-FR"/>
              </w:rPr>
              <w:t>AON : Appel d’Offres National</w:t>
            </w:r>
          </w:p>
        </w:tc>
      </w:tr>
    </w:tbl>
    <w:p w:rsidR="00E662AE" w:rsidRPr="00034D26" w:rsidRDefault="00E662AE" w:rsidP="00E662AE">
      <w:pPr>
        <w:spacing w:after="120"/>
        <w:ind w:right="72"/>
        <w:jc w:val="both"/>
        <w:rPr>
          <w:sz w:val="20"/>
          <w:szCs w:val="20"/>
          <w:lang w:val="fr-FR"/>
        </w:rPr>
      </w:pPr>
    </w:p>
    <w:p w:rsidR="00E662AE" w:rsidRPr="00034D26" w:rsidRDefault="00E662AE" w:rsidP="00E662AE">
      <w:pPr>
        <w:spacing w:after="120"/>
        <w:ind w:right="72"/>
        <w:jc w:val="both"/>
        <w:rPr>
          <w:sz w:val="20"/>
          <w:szCs w:val="20"/>
          <w:lang w:val="fr-FR"/>
        </w:rPr>
      </w:pPr>
      <w:r w:rsidRPr="00034D26">
        <w:rPr>
          <w:b/>
          <w:sz w:val="20"/>
          <w:szCs w:val="20"/>
          <w:lang w:val="fr-FR"/>
        </w:rPr>
        <w:t>Sélection de</w:t>
      </w:r>
      <w:r w:rsidR="00F130AA">
        <w:rPr>
          <w:b/>
          <w:sz w:val="20"/>
          <w:szCs w:val="20"/>
          <w:lang w:val="fr-FR"/>
        </w:rPr>
        <w:t>s</w:t>
      </w:r>
      <w:r w:rsidRPr="00034D26">
        <w:rPr>
          <w:b/>
          <w:sz w:val="20"/>
          <w:szCs w:val="20"/>
          <w:lang w:val="fr-FR"/>
        </w:rPr>
        <w:t xml:space="preserve"> Consultants</w:t>
      </w:r>
      <w:r w:rsidRPr="00034D26">
        <w:rPr>
          <w:sz w:val="20"/>
          <w:szCs w:val="20"/>
          <w:lang w:val="fr-FR"/>
        </w:rPr>
        <w:t xml:space="preserve"> : </w:t>
      </w:r>
    </w:p>
    <w:tbl>
      <w:tblPr>
        <w:tblStyle w:val="Grilledutableau"/>
        <w:tblW w:w="9322" w:type="dxa"/>
        <w:tblLook w:val="04A0" w:firstRow="1" w:lastRow="0" w:firstColumn="1" w:lastColumn="0" w:noHBand="0" w:noVBand="1"/>
      </w:tblPr>
      <w:tblGrid>
        <w:gridCol w:w="675"/>
        <w:gridCol w:w="4111"/>
        <w:gridCol w:w="4536"/>
      </w:tblGrid>
      <w:tr w:rsidR="00E662AE" w:rsidRPr="00034D26" w:rsidTr="00034D26">
        <w:tc>
          <w:tcPr>
            <w:tcW w:w="675" w:type="dxa"/>
          </w:tcPr>
          <w:p w:rsidR="00E662AE" w:rsidRPr="00034D26" w:rsidRDefault="00E662AE" w:rsidP="005E0252">
            <w:pPr>
              <w:spacing w:after="120"/>
              <w:ind w:right="72"/>
              <w:jc w:val="both"/>
              <w:rPr>
                <w:b/>
                <w:sz w:val="20"/>
                <w:szCs w:val="20"/>
                <w:lang w:val="fr-FR"/>
              </w:rPr>
            </w:pPr>
            <w:r w:rsidRPr="00034D26">
              <w:rPr>
                <w:b/>
                <w:sz w:val="20"/>
                <w:szCs w:val="20"/>
                <w:lang w:val="fr-FR"/>
              </w:rPr>
              <w:t>N°</w:t>
            </w:r>
          </w:p>
        </w:tc>
        <w:tc>
          <w:tcPr>
            <w:tcW w:w="4111" w:type="dxa"/>
          </w:tcPr>
          <w:p w:rsidR="00E662AE" w:rsidRPr="00034D26" w:rsidRDefault="00E662AE" w:rsidP="005E0252">
            <w:pPr>
              <w:spacing w:after="120"/>
              <w:ind w:right="72"/>
              <w:jc w:val="both"/>
              <w:rPr>
                <w:b/>
                <w:sz w:val="20"/>
                <w:szCs w:val="20"/>
                <w:lang w:val="fr-FR"/>
              </w:rPr>
            </w:pPr>
            <w:r w:rsidRPr="00034D26">
              <w:rPr>
                <w:b/>
                <w:sz w:val="20"/>
                <w:szCs w:val="20"/>
                <w:lang w:val="fr-FR"/>
              </w:rPr>
              <w:t>Type de Consultant</w:t>
            </w:r>
          </w:p>
        </w:tc>
        <w:tc>
          <w:tcPr>
            <w:tcW w:w="4536" w:type="dxa"/>
          </w:tcPr>
          <w:p w:rsidR="00E662AE" w:rsidRPr="00034D26" w:rsidRDefault="00E662AE" w:rsidP="005E0252">
            <w:pPr>
              <w:spacing w:after="120"/>
              <w:ind w:right="72"/>
              <w:jc w:val="both"/>
              <w:rPr>
                <w:b/>
                <w:sz w:val="20"/>
                <w:szCs w:val="20"/>
                <w:lang w:val="fr-FR"/>
              </w:rPr>
            </w:pPr>
            <w:r w:rsidRPr="00034D26">
              <w:rPr>
                <w:b/>
                <w:sz w:val="20"/>
                <w:szCs w:val="20"/>
                <w:lang w:val="fr-FR"/>
              </w:rPr>
              <w:t>Mode de passation</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1</w:t>
            </w:r>
          </w:p>
        </w:tc>
        <w:tc>
          <w:tcPr>
            <w:tcW w:w="4111" w:type="dxa"/>
          </w:tcPr>
          <w:p w:rsidR="00E662AE" w:rsidRPr="00034D26" w:rsidRDefault="00E662AE" w:rsidP="005E0252">
            <w:pPr>
              <w:spacing w:after="120"/>
              <w:ind w:right="72"/>
              <w:jc w:val="both"/>
              <w:rPr>
                <w:sz w:val="20"/>
                <w:szCs w:val="20"/>
                <w:lang w:val="fr-FR"/>
              </w:rPr>
            </w:pPr>
            <w:r w:rsidRPr="00034D26">
              <w:rPr>
                <w:sz w:val="20"/>
                <w:szCs w:val="20"/>
                <w:lang w:val="fr-FR"/>
              </w:rPr>
              <w:t>Ingénieur Conseil, Etude et supervision des travaux</w:t>
            </w:r>
          </w:p>
        </w:tc>
        <w:tc>
          <w:tcPr>
            <w:tcW w:w="4536" w:type="dxa"/>
          </w:tcPr>
          <w:p w:rsidR="00E662AE" w:rsidRPr="00034D26" w:rsidRDefault="00E662AE" w:rsidP="005E0252">
            <w:pPr>
              <w:spacing w:after="120"/>
              <w:ind w:right="72"/>
              <w:jc w:val="both"/>
              <w:rPr>
                <w:sz w:val="20"/>
                <w:szCs w:val="20"/>
                <w:lang w:val="fr-FR"/>
              </w:rPr>
            </w:pPr>
            <w:r w:rsidRPr="00034D26">
              <w:rPr>
                <w:sz w:val="20"/>
                <w:szCs w:val="20"/>
                <w:lang w:val="fr-FR"/>
              </w:rPr>
              <w:t>SFQC/PM : sélection basée sur la qualité et coût limitée aux pays membres de la BID</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2</w:t>
            </w:r>
          </w:p>
        </w:tc>
        <w:tc>
          <w:tcPr>
            <w:tcW w:w="4111" w:type="dxa"/>
          </w:tcPr>
          <w:p w:rsidR="00E662AE" w:rsidRPr="00034D26" w:rsidRDefault="00E662AE" w:rsidP="005E0252">
            <w:pPr>
              <w:spacing w:after="120"/>
              <w:ind w:right="72"/>
              <w:jc w:val="both"/>
              <w:rPr>
                <w:sz w:val="20"/>
                <w:szCs w:val="20"/>
                <w:lang w:val="fr-FR"/>
              </w:rPr>
            </w:pPr>
            <w:r w:rsidRPr="00034D26">
              <w:rPr>
                <w:sz w:val="20"/>
                <w:szCs w:val="20"/>
                <w:lang w:val="fr-FR"/>
              </w:rPr>
              <w:t xml:space="preserve">Consultant en </w:t>
            </w:r>
            <w:proofErr w:type="spellStart"/>
            <w:r w:rsidRPr="00034D26">
              <w:rPr>
                <w:sz w:val="20"/>
                <w:szCs w:val="20"/>
                <w:lang w:val="fr-FR"/>
              </w:rPr>
              <w:t>Managment</w:t>
            </w:r>
            <w:proofErr w:type="spellEnd"/>
            <w:r w:rsidRPr="00034D26">
              <w:rPr>
                <w:sz w:val="20"/>
                <w:szCs w:val="20"/>
                <w:lang w:val="fr-FR"/>
              </w:rPr>
              <w:t xml:space="preserve"> du Projet (PMC)</w:t>
            </w:r>
          </w:p>
        </w:tc>
        <w:tc>
          <w:tcPr>
            <w:tcW w:w="4536" w:type="dxa"/>
          </w:tcPr>
          <w:p w:rsidR="00E662AE" w:rsidRPr="00034D26" w:rsidRDefault="00E662AE" w:rsidP="005E0252">
            <w:pPr>
              <w:spacing w:after="120"/>
              <w:ind w:right="72"/>
              <w:jc w:val="both"/>
              <w:rPr>
                <w:sz w:val="20"/>
                <w:szCs w:val="20"/>
                <w:lang w:val="fr-FR"/>
              </w:rPr>
            </w:pPr>
            <w:r w:rsidRPr="00034D26">
              <w:rPr>
                <w:sz w:val="20"/>
                <w:szCs w:val="20"/>
                <w:lang w:val="fr-FR"/>
              </w:rPr>
              <w:t>SFQC/PM : sélection basée sur la qualité et coût limitée aux pays membres de la BID</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3</w:t>
            </w:r>
          </w:p>
        </w:tc>
        <w:tc>
          <w:tcPr>
            <w:tcW w:w="4111" w:type="dxa"/>
          </w:tcPr>
          <w:p w:rsidR="00E662AE" w:rsidRPr="00034D26" w:rsidRDefault="00E662AE" w:rsidP="005E0252">
            <w:pPr>
              <w:spacing w:after="120"/>
              <w:ind w:right="72"/>
              <w:jc w:val="both"/>
              <w:rPr>
                <w:sz w:val="20"/>
                <w:szCs w:val="20"/>
                <w:lang w:val="fr-FR"/>
              </w:rPr>
            </w:pPr>
            <w:r w:rsidRPr="00034D26">
              <w:rPr>
                <w:sz w:val="20"/>
                <w:szCs w:val="20"/>
                <w:lang w:val="fr-FR"/>
              </w:rPr>
              <w:t>IEC : Information, Education et Communication et mise en place des comités de gestion des points d’eau</w:t>
            </w:r>
          </w:p>
        </w:tc>
        <w:tc>
          <w:tcPr>
            <w:tcW w:w="4536" w:type="dxa"/>
          </w:tcPr>
          <w:p w:rsidR="00E662AE" w:rsidRPr="00034D26" w:rsidRDefault="00E662AE" w:rsidP="005E0252">
            <w:pPr>
              <w:spacing w:after="120"/>
              <w:ind w:right="72"/>
              <w:jc w:val="both"/>
              <w:rPr>
                <w:sz w:val="20"/>
                <w:szCs w:val="20"/>
                <w:lang w:val="fr-FR"/>
              </w:rPr>
            </w:pPr>
            <w:r w:rsidRPr="00034D26">
              <w:rPr>
                <w:sz w:val="20"/>
                <w:szCs w:val="20"/>
                <w:lang w:val="fr-FR"/>
              </w:rPr>
              <w:t>SFQC/PM : sélection basée sur la qualité et coût limitée aux pays membres de la BID</w:t>
            </w:r>
          </w:p>
        </w:tc>
      </w:tr>
      <w:tr w:rsidR="00E662AE" w:rsidRPr="00034D26" w:rsidTr="00034D26">
        <w:tc>
          <w:tcPr>
            <w:tcW w:w="675" w:type="dxa"/>
          </w:tcPr>
          <w:p w:rsidR="00E662AE" w:rsidRPr="00034D26" w:rsidRDefault="00E662AE" w:rsidP="005E0252">
            <w:pPr>
              <w:spacing w:after="120"/>
              <w:ind w:right="72"/>
              <w:jc w:val="both"/>
              <w:rPr>
                <w:sz w:val="20"/>
                <w:szCs w:val="20"/>
                <w:lang w:val="fr-FR"/>
              </w:rPr>
            </w:pPr>
            <w:r w:rsidRPr="00034D26">
              <w:rPr>
                <w:sz w:val="20"/>
                <w:szCs w:val="20"/>
                <w:lang w:val="fr-FR"/>
              </w:rPr>
              <w:t>4</w:t>
            </w:r>
          </w:p>
        </w:tc>
        <w:tc>
          <w:tcPr>
            <w:tcW w:w="4111" w:type="dxa"/>
          </w:tcPr>
          <w:p w:rsidR="00E662AE" w:rsidRPr="00034D26" w:rsidRDefault="00E662AE" w:rsidP="005E0252">
            <w:pPr>
              <w:spacing w:after="120"/>
              <w:ind w:right="72"/>
              <w:jc w:val="both"/>
              <w:rPr>
                <w:sz w:val="20"/>
                <w:szCs w:val="20"/>
                <w:lang w:val="fr-FR"/>
              </w:rPr>
            </w:pPr>
            <w:r w:rsidRPr="00034D26">
              <w:rPr>
                <w:sz w:val="20"/>
                <w:szCs w:val="20"/>
                <w:lang w:val="fr-FR"/>
              </w:rPr>
              <w:t>Consultant en Renforcement de capacité des cadres du MEEP</w:t>
            </w:r>
          </w:p>
        </w:tc>
        <w:tc>
          <w:tcPr>
            <w:tcW w:w="4536" w:type="dxa"/>
          </w:tcPr>
          <w:p w:rsidR="00E662AE" w:rsidRPr="00034D26" w:rsidRDefault="00E662AE" w:rsidP="005E0252">
            <w:pPr>
              <w:spacing w:after="120"/>
              <w:ind w:right="72"/>
              <w:jc w:val="both"/>
              <w:rPr>
                <w:sz w:val="20"/>
                <w:szCs w:val="20"/>
                <w:lang w:val="fr-FR"/>
              </w:rPr>
            </w:pPr>
            <w:r w:rsidRPr="00034D26">
              <w:rPr>
                <w:sz w:val="20"/>
                <w:szCs w:val="20"/>
                <w:lang w:val="fr-FR"/>
              </w:rPr>
              <w:t xml:space="preserve">SFQC/PM : sélection basée sur la qualité et coût limitée aux pays membres de la BID </w:t>
            </w:r>
          </w:p>
        </w:tc>
      </w:tr>
    </w:tbl>
    <w:p w:rsidR="00E662AE" w:rsidRPr="00034D26" w:rsidRDefault="00E662AE" w:rsidP="00295503">
      <w:pPr>
        <w:spacing w:after="120"/>
        <w:ind w:left="-142" w:right="72"/>
        <w:jc w:val="both"/>
        <w:rPr>
          <w:sz w:val="20"/>
          <w:szCs w:val="20"/>
          <w:lang w:val="fr-FR"/>
        </w:rPr>
      </w:pPr>
      <w:r w:rsidRPr="00034D26">
        <w:rPr>
          <w:sz w:val="20"/>
          <w:szCs w:val="20"/>
          <w:lang w:val="fr-FR"/>
        </w:rPr>
        <w:t>Les candidats intéressés peuvent obtenir des renseignements supplémentaires et doivent confirmer leur intérêt par écrit auprès de :</w:t>
      </w:r>
    </w:p>
    <w:p w:rsidR="00E662AE" w:rsidRPr="00034D26" w:rsidRDefault="00E662AE" w:rsidP="00295503">
      <w:pPr>
        <w:ind w:left="-142"/>
        <w:jc w:val="both"/>
        <w:rPr>
          <w:i/>
          <w:spacing w:val="-2"/>
          <w:sz w:val="20"/>
          <w:szCs w:val="20"/>
          <w:lang w:val="fr-FR"/>
        </w:rPr>
      </w:pPr>
      <w:r w:rsidRPr="00034D26">
        <w:rPr>
          <w:b/>
          <w:i/>
          <w:spacing w:val="-2"/>
          <w:sz w:val="20"/>
          <w:szCs w:val="20"/>
          <w:lang w:val="fr-FR"/>
        </w:rPr>
        <w:t>Coordination du Projet d’Infrastructures d’Eau Rurales dans les Régions de l’Ennedi-Est et du Wadi Fira</w:t>
      </w:r>
      <w:r w:rsidRPr="00034D26">
        <w:rPr>
          <w:i/>
          <w:spacing w:val="-2"/>
          <w:sz w:val="20"/>
          <w:szCs w:val="20"/>
          <w:lang w:val="fr-FR"/>
        </w:rPr>
        <w:t xml:space="preserve"> S/C de la</w:t>
      </w:r>
    </w:p>
    <w:p w:rsidR="00E662AE" w:rsidRPr="00034D26" w:rsidRDefault="00E662AE" w:rsidP="00295503">
      <w:pPr>
        <w:ind w:left="-142"/>
        <w:jc w:val="both"/>
        <w:rPr>
          <w:b/>
          <w:i/>
          <w:spacing w:val="-2"/>
          <w:sz w:val="20"/>
          <w:szCs w:val="20"/>
          <w:lang w:val="fr-FR"/>
        </w:rPr>
      </w:pPr>
      <w:r w:rsidRPr="00034D26">
        <w:rPr>
          <w:b/>
          <w:i/>
          <w:spacing w:val="-2"/>
          <w:sz w:val="20"/>
          <w:szCs w:val="20"/>
          <w:lang w:val="fr-FR"/>
        </w:rPr>
        <w:t>Direction Générale Technique de l’Hydraulique et de l’Assainissement du</w:t>
      </w:r>
    </w:p>
    <w:p w:rsidR="00E662AE" w:rsidRPr="00034D26" w:rsidRDefault="00E662AE" w:rsidP="00295503">
      <w:pPr>
        <w:ind w:left="-142"/>
        <w:jc w:val="both"/>
        <w:rPr>
          <w:iCs/>
          <w:spacing w:val="-2"/>
          <w:sz w:val="20"/>
          <w:szCs w:val="20"/>
          <w:lang w:val="fr-FR"/>
        </w:rPr>
      </w:pPr>
      <w:r w:rsidRPr="00034D26">
        <w:rPr>
          <w:b/>
          <w:i/>
          <w:spacing w:val="-2"/>
          <w:sz w:val="20"/>
          <w:szCs w:val="20"/>
          <w:lang w:val="fr-FR"/>
        </w:rPr>
        <w:t>Ministère de l’Environnement, de l’Eau et de la Pêche</w:t>
      </w:r>
    </w:p>
    <w:p w:rsidR="00E662AE" w:rsidRDefault="00E662AE" w:rsidP="00295503">
      <w:pPr>
        <w:ind w:left="-142"/>
        <w:jc w:val="both"/>
        <w:rPr>
          <w:b/>
          <w:iCs/>
          <w:spacing w:val="-2"/>
          <w:sz w:val="20"/>
          <w:szCs w:val="20"/>
          <w:lang w:val="fr-FR"/>
        </w:rPr>
      </w:pPr>
      <w:r w:rsidRPr="00034D26">
        <w:rPr>
          <w:iCs/>
          <w:spacing w:val="-2"/>
          <w:sz w:val="20"/>
          <w:szCs w:val="20"/>
          <w:lang w:val="fr-FR"/>
        </w:rPr>
        <w:t xml:space="preserve">À l'attention : </w:t>
      </w:r>
      <w:r w:rsidRPr="00034D26">
        <w:rPr>
          <w:b/>
          <w:iCs/>
          <w:spacing w:val="-2"/>
          <w:sz w:val="20"/>
          <w:szCs w:val="20"/>
          <w:lang w:val="fr-FR"/>
        </w:rPr>
        <w:t>MAHAMAT HAMDANE, Coordonnateur du Projet</w:t>
      </w:r>
    </w:p>
    <w:p w:rsidR="00EE29FA" w:rsidRPr="00EE29FA" w:rsidRDefault="00EE29FA" w:rsidP="00295503">
      <w:pPr>
        <w:ind w:left="-142"/>
        <w:jc w:val="both"/>
        <w:rPr>
          <w:iCs/>
          <w:spacing w:val="-2"/>
          <w:sz w:val="20"/>
          <w:szCs w:val="20"/>
          <w:lang w:val="fr-FR"/>
        </w:rPr>
      </w:pPr>
      <w:r w:rsidRPr="00EE29FA">
        <w:rPr>
          <w:iCs/>
          <w:spacing w:val="-2"/>
          <w:sz w:val="20"/>
          <w:szCs w:val="20"/>
          <w:lang w:val="fr-FR"/>
        </w:rPr>
        <w:t>N°</w:t>
      </w:r>
      <w:r>
        <w:rPr>
          <w:iCs/>
          <w:spacing w:val="-2"/>
          <w:sz w:val="20"/>
          <w:szCs w:val="20"/>
          <w:lang w:val="fr-FR"/>
        </w:rPr>
        <w:t xml:space="preserve"> </w:t>
      </w:r>
      <w:r w:rsidRPr="00EE29FA">
        <w:rPr>
          <w:iCs/>
          <w:spacing w:val="-2"/>
          <w:sz w:val="20"/>
          <w:szCs w:val="20"/>
          <w:lang w:val="fr-FR"/>
        </w:rPr>
        <w:t>et rue</w:t>
      </w:r>
      <w:r>
        <w:rPr>
          <w:iCs/>
          <w:spacing w:val="-2"/>
          <w:sz w:val="20"/>
          <w:szCs w:val="20"/>
          <w:lang w:val="fr-FR"/>
        </w:rPr>
        <w:t> : Quartier N’</w:t>
      </w:r>
      <w:proofErr w:type="spellStart"/>
      <w:r>
        <w:rPr>
          <w:iCs/>
          <w:spacing w:val="-2"/>
          <w:sz w:val="20"/>
          <w:szCs w:val="20"/>
          <w:lang w:val="fr-FR"/>
        </w:rPr>
        <w:t>Djari</w:t>
      </w:r>
      <w:proofErr w:type="spellEnd"/>
      <w:r>
        <w:rPr>
          <w:iCs/>
          <w:spacing w:val="-2"/>
          <w:sz w:val="20"/>
          <w:szCs w:val="20"/>
          <w:lang w:val="fr-FR"/>
        </w:rPr>
        <w:t>, derrière les Villas des Hôtes et le Ministère des Mines et du Pétrole</w:t>
      </w:r>
    </w:p>
    <w:p w:rsidR="00E662AE" w:rsidRPr="00034D26" w:rsidRDefault="00E662AE" w:rsidP="00295503">
      <w:pPr>
        <w:ind w:left="-142"/>
        <w:jc w:val="both"/>
        <w:rPr>
          <w:iCs/>
          <w:spacing w:val="-2"/>
          <w:sz w:val="20"/>
          <w:szCs w:val="20"/>
          <w:lang w:val="fr-FR"/>
        </w:rPr>
      </w:pPr>
      <w:r w:rsidRPr="00034D26">
        <w:rPr>
          <w:i/>
          <w:spacing w:val="-2"/>
          <w:sz w:val="20"/>
          <w:szCs w:val="20"/>
          <w:lang w:val="fr-FR"/>
        </w:rPr>
        <w:t>BP : 1769N’Djaména - TCHAD</w:t>
      </w:r>
    </w:p>
    <w:p w:rsidR="00E662AE" w:rsidRPr="00034D26" w:rsidRDefault="00E662AE" w:rsidP="00295503">
      <w:pPr>
        <w:ind w:left="-142"/>
        <w:jc w:val="both"/>
        <w:rPr>
          <w:iCs/>
          <w:spacing w:val="-2"/>
          <w:sz w:val="20"/>
          <w:szCs w:val="20"/>
          <w:lang w:val="fr-FR"/>
        </w:rPr>
      </w:pPr>
      <w:r w:rsidRPr="00034D26">
        <w:rPr>
          <w:spacing w:val="-2"/>
          <w:sz w:val="20"/>
          <w:szCs w:val="20"/>
          <w:lang w:val="fr-FR"/>
        </w:rPr>
        <w:t>Tel:</w:t>
      </w:r>
      <w:r w:rsidRPr="00034D26">
        <w:rPr>
          <w:iCs/>
          <w:spacing w:val="-2"/>
          <w:sz w:val="20"/>
          <w:szCs w:val="20"/>
          <w:lang w:val="fr-FR"/>
        </w:rPr>
        <w:t>(00235) 66 28 61 65</w:t>
      </w:r>
    </w:p>
    <w:p w:rsidR="00E662AE" w:rsidRPr="00034D26" w:rsidRDefault="00E662AE" w:rsidP="00295503">
      <w:pPr>
        <w:ind w:left="-142"/>
        <w:jc w:val="both"/>
        <w:rPr>
          <w:i/>
          <w:spacing w:val="-2"/>
          <w:sz w:val="20"/>
          <w:szCs w:val="20"/>
          <w:lang w:val="fr-FR"/>
        </w:rPr>
      </w:pPr>
      <w:proofErr w:type="gramStart"/>
      <w:r w:rsidRPr="00034D26">
        <w:rPr>
          <w:spacing w:val="-2"/>
          <w:sz w:val="20"/>
          <w:szCs w:val="20"/>
          <w:lang w:val="fr-FR"/>
        </w:rPr>
        <w:t>Courriel:</w:t>
      </w:r>
      <w:proofErr w:type="gramEnd"/>
      <w:r w:rsidRPr="00034D26">
        <w:rPr>
          <w:spacing w:val="-2"/>
          <w:sz w:val="20"/>
          <w:szCs w:val="20"/>
          <w:lang w:val="fr-FR"/>
        </w:rPr>
        <w:t xml:space="preserve"> </w:t>
      </w:r>
      <w:hyperlink r:id="rId10" w:history="1">
        <w:r w:rsidRPr="00034D26">
          <w:rPr>
            <w:rStyle w:val="Lienhypertexte"/>
            <w:i/>
            <w:spacing w:val="-2"/>
            <w:sz w:val="20"/>
            <w:szCs w:val="20"/>
            <w:lang w:val="fr-FR"/>
          </w:rPr>
          <w:t>mahamat_hamdane@yahoo.fr</w:t>
        </w:r>
      </w:hyperlink>
      <w:r w:rsidR="0007639D">
        <w:rPr>
          <w:rStyle w:val="Lienhypertexte"/>
          <w:i/>
          <w:spacing w:val="-2"/>
          <w:sz w:val="20"/>
          <w:szCs w:val="20"/>
          <w:lang w:val="fr-FR"/>
        </w:rPr>
        <w:t xml:space="preserve"> ou iamalloum@gmail.com</w:t>
      </w:r>
    </w:p>
    <w:p w:rsidR="00E662AE" w:rsidRPr="00034D26" w:rsidRDefault="00E662AE" w:rsidP="00295503">
      <w:pPr>
        <w:ind w:left="-142" w:right="72"/>
        <w:jc w:val="both"/>
        <w:rPr>
          <w:b/>
          <w:sz w:val="20"/>
          <w:szCs w:val="20"/>
          <w:lang w:val="fr-FR"/>
        </w:rPr>
      </w:pPr>
    </w:p>
    <w:p w:rsidR="00E662AE" w:rsidRDefault="00E662AE" w:rsidP="00295503">
      <w:pPr>
        <w:ind w:left="-142" w:right="72"/>
        <w:jc w:val="both"/>
        <w:rPr>
          <w:sz w:val="20"/>
          <w:szCs w:val="20"/>
          <w:lang w:val="fr-FR"/>
        </w:rPr>
      </w:pPr>
      <w:r w:rsidRPr="00034D26">
        <w:rPr>
          <w:b/>
          <w:sz w:val="20"/>
          <w:szCs w:val="20"/>
          <w:lang w:val="fr-FR"/>
        </w:rPr>
        <w:t>Veuillez noter</w:t>
      </w:r>
      <w:r w:rsidRPr="00034D26">
        <w:rPr>
          <w:sz w:val="20"/>
          <w:szCs w:val="20"/>
          <w:lang w:val="fr-FR"/>
        </w:rPr>
        <w:t xml:space="preserve"> que</w:t>
      </w:r>
      <w:r w:rsidR="005B3AF4">
        <w:rPr>
          <w:sz w:val="20"/>
          <w:szCs w:val="20"/>
          <w:lang w:val="fr-FR"/>
        </w:rPr>
        <w:t>,</w:t>
      </w:r>
      <w:r w:rsidRPr="00034D26">
        <w:rPr>
          <w:sz w:val="20"/>
          <w:szCs w:val="20"/>
          <w:lang w:val="fr-FR"/>
        </w:rPr>
        <w:t xml:space="preserve"> </w:t>
      </w:r>
      <w:r w:rsidR="00516173">
        <w:rPr>
          <w:sz w:val="20"/>
          <w:szCs w:val="20"/>
          <w:lang w:val="fr-FR"/>
        </w:rPr>
        <w:t xml:space="preserve">l’AGPM est publié pour information, les </w:t>
      </w:r>
      <w:bookmarkStart w:id="0" w:name="_GoBack"/>
      <w:bookmarkEnd w:id="0"/>
      <w:r w:rsidR="00516173">
        <w:rPr>
          <w:sz w:val="20"/>
          <w:szCs w:val="20"/>
          <w:lang w:val="fr-FR"/>
        </w:rPr>
        <w:t xml:space="preserve">éventuels </w:t>
      </w:r>
      <w:r w:rsidR="00516173" w:rsidRPr="00034D26">
        <w:rPr>
          <w:sz w:val="20"/>
          <w:szCs w:val="20"/>
          <w:lang w:val="fr-FR"/>
        </w:rPr>
        <w:t>soumissionnaires</w:t>
      </w:r>
      <w:r w:rsidRPr="00034D26">
        <w:rPr>
          <w:sz w:val="20"/>
          <w:szCs w:val="20"/>
          <w:lang w:val="fr-FR"/>
        </w:rPr>
        <w:t xml:space="preserve"> souhaitant obtenir des renseignements supplémentaires sur les acquisitions en cause ou sur le projet en général doivent, sauf mention contraire, prendre contact avec l’organisme en charge du projet et non la BID.</w:t>
      </w:r>
    </w:p>
    <w:p w:rsidR="00E662AE" w:rsidRDefault="00E662AE" w:rsidP="00E662AE">
      <w:pPr>
        <w:jc w:val="both"/>
        <w:rPr>
          <w:spacing w:val="-2"/>
          <w:sz w:val="20"/>
          <w:szCs w:val="20"/>
          <w:lang w:val="fr-FR"/>
        </w:rPr>
      </w:pPr>
    </w:p>
    <w:p w:rsidR="005B3AF4" w:rsidRDefault="005B3AF4" w:rsidP="00E662AE">
      <w:pPr>
        <w:jc w:val="both"/>
        <w:rPr>
          <w:spacing w:val="-2"/>
          <w:sz w:val="20"/>
          <w:szCs w:val="20"/>
          <w:lang w:val="fr-FR"/>
        </w:rPr>
      </w:pPr>
      <w:r>
        <w:rPr>
          <w:spacing w:val="-2"/>
          <w:sz w:val="20"/>
          <w:szCs w:val="20"/>
          <w:lang w:val="fr-FR"/>
        </w:rPr>
        <w:t xml:space="preserve">                                                                                                                        Fait à N’Djamena, le</w:t>
      </w:r>
    </w:p>
    <w:p w:rsidR="00E35300" w:rsidRPr="00034D26" w:rsidRDefault="00E35300" w:rsidP="00E662AE">
      <w:pPr>
        <w:jc w:val="both"/>
        <w:rPr>
          <w:spacing w:val="-2"/>
          <w:sz w:val="20"/>
          <w:szCs w:val="20"/>
          <w:lang w:val="fr-FR"/>
        </w:rPr>
      </w:pPr>
    </w:p>
    <w:p w:rsidR="00034D26" w:rsidRDefault="00E662AE" w:rsidP="00034D26">
      <w:pPr>
        <w:jc w:val="center"/>
        <w:rPr>
          <w:b/>
          <w:spacing w:val="-2"/>
          <w:sz w:val="20"/>
          <w:szCs w:val="20"/>
          <w:lang w:val="fr-FR"/>
        </w:rPr>
      </w:pPr>
      <w:r w:rsidRPr="00034D26">
        <w:rPr>
          <w:b/>
          <w:spacing w:val="-2"/>
          <w:sz w:val="20"/>
          <w:szCs w:val="20"/>
          <w:lang w:val="fr-FR"/>
        </w:rPr>
        <w:t>Le Directeur Général du Ministère de</w:t>
      </w:r>
    </w:p>
    <w:p w:rsidR="00E662AE" w:rsidRPr="00034D26" w:rsidRDefault="00034D26" w:rsidP="00034D26">
      <w:pPr>
        <w:jc w:val="center"/>
        <w:rPr>
          <w:b/>
          <w:spacing w:val="-2"/>
          <w:sz w:val="20"/>
          <w:szCs w:val="20"/>
          <w:lang w:val="fr-FR"/>
        </w:rPr>
      </w:pPr>
      <w:r w:rsidRPr="00034D26">
        <w:rPr>
          <w:b/>
          <w:spacing w:val="-2"/>
          <w:sz w:val="20"/>
          <w:szCs w:val="20"/>
          <w:lang w:val="fr-FR"/>
        </w:rPr>
        <w:t>L’Environnement</w:t>
      </w:r>
      <w:r w:rsidR="00E662AE" w:rsidRPr="00034D26">
        <w:rPr>
          <w:b/>
          <w:spacing w:val="-2"/>
          <w:sz w:val="20"/>
          <w:szCs w:val="20"/>
          <w:lang w:val="fr-FR"/>
        </w:rPr>
        <w:t>, de l’Eau et de la Pêche</w:t>
      </w:r>
    </w:p>
    <w:p w:rsidR="008977A2" w:rsidRDefault="006F6612" w:rsidP="006F6612">
      <w:pPr>
        <w:rPr>
          <w:b/>
          <w:spacing w:val="-2"/>
          <w:sz w:val="20"/>
          <w:szCs w:val="20"/>
          <w:lang w:val="fr-FR"/>
        </w:rPr>
      </w:pPr>
      <w:r>
        <w:rPr>
          <w:b/>
          <w:spacing w:val="-2"/>
          <w:sz w:val="20"/>
          <w:szCs w:val="20"/>
          <w:lang w:val="fr-FR"/>
        </w:rPr>
        <w:t xml:space="preserve">                                                             </w:t>
      </w:r>
    </w:p>
    <w:p w:rsidR="00E35300" w:rsidRDefault="00E35300" w:rsidP="006F6612">
      <w:pPr>
        <w:rPr>
          <w:b/>
          <w:spacing w:val="-2"/>
          <w:sz w:val="20"/>
          <w:szCs w:val="20"/>
          <w:lang w:val="fr-FR"/>
        </w:rPr>
      </w:pPr>
    </w:p>
    <w:p w:rsidR="006F6612" w:rsidRDefault="006F6612" w:rsidP="006F6612">
      <w:pPr>
        <w:rPr>
          <w:b/>
          <w:spacing w:val="-2"/>
          <w:sz w:val="20"/>
          <w:szCs w:val="20"/>
          <w:lang w:val="fr-FR"/>
        </w:rPr>
      </w:pPr>
      <w:r>
        <w:rPr>
          <w:b/>
          <w:spacing w:val="-2"/>
          <w:sz w:val="20"/>
          <w:szCs w:val="20"/>
          <w:lang w:val="fr-FR"/>
        </w:rPr>
        <w:t xml:space="preserve">                                                                </w:t>
      </w:r>
    </w:p>
    <w:p w:rsidR="00D24FFE" w:rsidRPr="00034D26" w:rsidRDefault="006F6612" w:rsidP="006F6612">
      <w:pPr>
        <w:rPr>
          <w:sz w:val="20"/>
          <w:szCs w:val="20"/>
        </w:rPr>
      </w:pPr>
      <w:r>
        <w:rPr>
          <w:b/>
          <w:spacing w:val="-2"/>
          <w:sz w:val="20"/>
          <w:szCs w:val="20"/>
          <w:lang w:val="fr-FR"/>
        </w:rPr>
        <w:t xml:space="preserve">                                                                </w:t>
      </w:r>
      <w:r w:rsidR="00E662AE" w:rsidRPr="00034D26">
        <w:rPr>
          <w:b/>
          <w:spacing w:val="-2"/>
          <w:sz w:val="20"/>
          <w:szCs w:val="20"/>
          <w:u w:val="single"/>
          <w:lang w:val="fr-FR"/>
        </w:rPr>
        <w:t>MAHAMAT ALIFA MOUSSA</w:t>
      </w:r>
    </w:p>
    <w:sectPr w:rsidR="00D24FFE" w:rsidRPr="00034D26" w:rsidSect="008977A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09" w:right="1728"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EC" w:rsidRDefault="00E173EC" w:rsidP="00E173EC">
      <w:r>
        <w:separator/>
      </w:r>
    </w:p>
  </w:endnote>
  <w:endnote w:type="continuationSeparator" w:id="0">
    <w:p w:rsidR="00E173EC" w:rsidRDefault="00E173EC" w:rsidP="00E1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F4" w:rsidRDefault="005B3A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09533"/>
      <w:docPartObj>
        <w:docPartGallery w:val="Page Numbers (Bottom of Page)"/>
        <w:docPartUnique/>
      </w:docPartObj>
    </w:sdtPr>
    <w:sdtEndPr/>
    <w:sdtContent>
      <w:p w:rsidR="005B3AF4" w:rsidRDefault="005B3AF4">
        <w:pPr>
          <w:pStyle w:val="Pieddepage"/>
          <w:jc w:val="right"/>
        </w:pPr>
        <w:r>
          <w:fldChar w:fldCharType="begin"/>
        </w:r>
        <w:r>
          <w:instrText>PAGE   \* MERGEFORMAT</w:instrText>
        </w:r>
        <w:r>
          <w:fldChar w:fldCharType="separate"/>
        </w:r>
        <w:r w:rsidR="00516173" w:rsidRPr="00516173">
          <w:rPr>
            <w:noProof/>
            <w:lang w:val="fr-FR"/>
          </w:rPr>
          <w:t>2</w:t>
        </w:r>
        <w:r>
          <w:fldChar w:fldCharType="end"/>
        </w:r>
      </w:p>
    </w:sdtContent>
  </w:sdt>
  <w:p w:rsidR="00901EE2" w:rsidRDefault="0051617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F4" w:rsidRDefault="005B3A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EC" w:rsidRDefault="00E173EC" w:rsidP="00E173EC">
      <w:r>
        <w:separator/>
      </w:r>
    </w:p>
  </w:footnote>
  <w:footnote w:type="continuationSeparator" w:id="0">
    <w:p w:rsidR="00E173EC" w:rsidRDefault="00E173EC" w:rsidP="00E1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F4" w:rsidRDefault="005B3A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F4" w:rsidRDefault="005B3A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F4" w:rsidRDefault="005B3A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3963"/>
    <w:multiLevelType w:val="hybridMultilevel"/>
    <w:tmpl w:val="B96AC702"/>
    <w:lvl w:ilvl="0" w:tplc="EAA088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2"/>
  </w:compat>
  <w:rsids>
    <w:rsidRoot w:val="00E662AE"/>
    <w:rsid w:val="00034D26"/>
    <w:rsid w:val="0007639D"/>
    <w:rsid w:val="00295503"/>
    <w:rsid w:val="00344160"/>
    <w:rsid w:val="00485DF7"/>
    <w:rsid w:val="004D45AE"/>
    <w:rsid w:val="00516173"/>
    <w:rsid w:val="005B3AF4"/>
    <w:rsid w:val="006F6612"/>
    <w:rsid w:val="007F147F"/>
    <w:rsid w:val="008977A2"/>
    <w:rsid w:val="008E5E4F"/>
    <w:rsid w:val="00924FE4"/>
    <w:rsid w:val="00931FAD"/>
    <w:rsid w:val="00AC575E"/>
    <w:rsid w:val="00BB39F5"/>
    <w:rsid w:val="00CB2FC2"/>
    <w:rsid w:val="00D24FFE"/>
    <w:rsid w:val="00DC6F6C"/>
    <w:rsid w:val="00E173EC"/>
    <w:rsid w:val="00E35300"/>
    <w:rsid w:val="00E6395D"/>
    <w:rsid w:val="00E662AE"/>
    <w:rsid w:val="00E921EB"/>
    <w:rsid w:val="00EE29FA"/>
    <w:rsid w:val="00F130AA"/>
    <w:rsid w:val="00FD097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AE"/>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E6395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662AE"/>
    <w:pPr>
      <w:tabs>
        <w:tab w:val="center" w:pos="4320"/>
        <w:tab w:val="left" w:pos="7200"/>
      </w:tabs>
    </w:pPr>
    <w:rPr>
      <w:i/>
      <w:sz w:val="22"/>
      <w:szCs w:val="20"/>
    </w:rPr>
  </w:style>
  <w:style w:type="character" w:customStyle="1" w:styleId="En-tteCar">
    <w:name w:val="En-tête Car"/>
    <w:basedOn w:val="Policepardfaut"/>
    <w:link w:val="En-tte"/>
    <w:uiPriority w:val="99"/>
    <w:rsid w:val="00E662AE"/>
    <w:rPr>
      <w:rFonts w:ascii="Times New Roman" w:eastAsia="Times New Roman" w:hAnsi="Times New Roman" w:cs="Times New Roman"/>
      <w:i/>
      <w:szCs w:val="20"/>
      <w:lang w:val="en-US"/>
    </w:rPr>
  </w:style>
  <w:style w:type="paragraph" w:styleId="Pieddepage">
    <w:name w:val="footer"/>
    <w:basedOn w:val="Normal"/>
    <w:link w:val="PieddepageCar"/>
    <w:uiPriority w:val="99"/>
    <w:rsid w:val="00E662AE"/>
    <w:pPr>
      <w:tabs>
        <w:tab w:val="center" w:pos="4320"/>
        <w:tab w:val="right" w:pos="8640"/>
      </w:tabs>
    </w:pPr>
  </w:style>
  <w:style w:type="character" w:customStyle="1" w:styleId="PieddepageCar">
    <w:name w:val="Pied de page Car"/>
    <w:basedOn w:val="Policepardfaut"/>
    <w:link w:val="Pieddepage"/>
    <w:uiPriority w:val="99"/>
    <w:rsid w:val="00E662AE"/>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E662AE"/>
    <w:pPr>
      <w:ind w:left="720"/>
      <w:contextualSpacing/>
    </w:pPr>
  </w:style>
  <w:style w:type="table" w:styleId="Grilledutableau">
    <w:name w:val="Table Grid"/>
    <w:basedOn w:val="TableauNormal"/>
    <w:rsid w:val="00E662AE"/>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uiPriority w:val="99"/>
    <w:unhideWhenUsed/>
    <w:rsid w:val="00E662AE"/>
    <w:rPr>
      <w:color w:val="0000FF"/>
      <w:u w:val="single"/>
    </w:rPr>
  </w:style>
  <w:style w:type="paragraph" w:styleId="Textedebulles">
    <w:name w:val="Balloon Text"/>
    <w:basedOn w:val="Normal"/>
    <w:link w:val="TextedebullesCar"/>
    <w:uiPriority w:val="99"/>
    <w:semiHidden/>
    <w:unhideWhenUsed/>
    <w:rsid w:val="00FD0972"/>
    <w:rPr>
      <w:rFonts w:ascii="Tahoma" w:hAnsi="Tahoma" w:cs="Tahoma"/>
      <w:sz w:val="16"/>
      <w:szCs w:val="16"/>
    </w:rPr>
  </w:style>
  <w:style w:type="character" w:customStyle="1" w:styleId="TextedebullesCar">
    <w:name w:val="Texte de bulles Car"/>
    <w:basedOn w:val="Policepardfaut"/>
    <w:link w:val="Textedebulles"/>
    <w:uiPriority w:val="99"/>
    <w:semiHidden/>
    <w:rsid w:val="00FD0972"/>
    <w:rPr>
      <w:rFonts w:ascii="Tahoma" w:eastAsia="Times New Roman" w:hAnsi="Tahoma" w:cs="Tahoma"/>
      <w:sz w:val="16"/>
      <w:szCs w:val="16"/>
      <w:lang w:val="en-US"/>
    </w:rPr>
  </w:style>
  <w:style w:type="character" w:customStyle="1" w:styleId="Titre1Car">
    <w:name w:val="Titre 1 Car"/>
    <w:basedOn w:val="Policepardfaut"/>
    <w:link w:val="Titre1"/>
    <w:uiPriority w:val="9"/>
    <w:rsid w:val="00E6395D"/>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hamat_hamdane@yahoo.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837</Words>
  <Characters>4608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cp:lastModifiedBy>
  <cp:revision>24</cp:revision>
  <cp:lastPrinted>2019-12-09T10:57:00Z</cp:lastPrinted>
  <dcterms:created xsi:type="dcterms:W3CDTF">2019-12-09T10:03:00Z</dcterms:created>
  <dcterms:modified xsi:type="dcterms:W3CDTF">2019-12-13T14:11:00Z</dcterms:modified>
</cp:coreProperties>
</file>