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C9DF" w14:textId="77777777" w:rsidR="006A00A7" w:rsidRDefault="006A00A7">
      <w:pPr>
        <w:jc w:val="center"/>
        <w:rPr>
          <w:b/>
          <w:color w:val="003366"/>
          <w:sz w:val="28"/>
        </w:rPr>
      </w:pPr>
    </w:p>
    <w:p w14:paraId="409BFDAC" w14:textId="5BA28122" w:rsidR="006A00A7" w:rsidRDefault="006A00A7">
      <w:pPr>
        <w:jc w:val="center"/>
        <w:rPr>
          <w:b/>
          <w:color w:val="003366"/>
          <w:sz w:val="28"/>
        </w:rPr>
      </w:pPr>
      <w:r>
        <w:rPr>
          <w:b/>
          <w:noProof/>
          <w:color w:val="003366"/>
          <w:sz w:val="28"/>
        </w:rPr>
        <w:drawing>
          <wp:inline distT="0" distB="0" distL="0" distR="0" wp14:anchorId="0440D93C" wp14:editId="3B6AE826">
            <wp:extent cx="5792470" cy="1117600"/>
            <wp:effectExtent l="0" t="0" r="0" b="6350"/>
            <wp:docPr id="1501264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64848" name="Picture 1501264848"/>
                    <pic:cNvPicPr/>
                  </pic:nvPicPr>
                  <pic:blipFill>
                    <a:blip r:embed="rId8"/>
                    <a:stretch>
                      <a:fillRect/>
                    </a:stretch>
                  </pic:blipFill>
                  <pic:spPr>
                    <a:xfrm>
                      <a:off x="0" y="0"/>
                      <a:ext cx="5792470" cy="1117600"/>
                    </a:xfrm>
                    <a:prstGeom prst="rect">
                      <a:avLst/>
                    </a:prstGeom>
                  </pic:spPr>
                </pic:pic>
              </a:graphicData>
            </a:graphic>
          </wp:inline>
        </w:drawing>
      </w:r>
    </w:p>
    <w:p w14:paraId="2937C7A7" w14:textId="720839BD" w:rsidR="00BD3304" w:rsidRDefault="00000000">
      <w:pPr>
        <w:jc w:val="center"/>
      </w:pPr>
      <w:r>
        <w:rPr>
          <w:color w:val="003366"/>
          <w:sz w:val="24"/>
        </w:rPr>
        <w:t>Resilience and Climate Action Department (RCA)</w:t>
      </w:r>
    </w:p>
    <w:p w14:paraId="5BF326DC" w14:textId="77777777" w:rsidR="00BD3304" w:rsidRDefault="00BD3304"/>
    <w:p w14:paraId="1A26B3EB" w14:textId="77777777" w:rsidR="00BD3304" w:rsidRDefault="00BD3304"/>
    <w:p w14:paraId="59D10AB9" w14:textId="77777777" w:rsidR="00BD3304" w:rsidRDefault="00000000">
      <w:pPr>
        <w:jc w:val="center"/>
      </w:pPr>
      <w:r>
        <w:rPr>
          <w:b/>
          <w:color w:val="003366"/>
          <w:sz w:val="32"/>
        </w:rPr>
        <w:t>RESPONSE, RECOVERY AND RESILIENCE (3R) FACILITY</w:t>
      </w:r>
    </w:p>
    <w:p w14:paraId="43953891" w14:textId="77777777" w:rsidR="00BD3304" w:rsidRDefault="00000000">
      <w:pPr>
        <w:jc w:val="center"/>
      </w:pPr>
      <w:r>
        <w:rPr>
          <w:b/>
          <w:color w:val="003366"/>
          <w:sz w:val="26"/>
        </w:rPr>
        <w:t>2026 – 2030</w:t>
      </w:r>
    </w:p>
    <w:p w14:paraId="4EA7F8F4" w14:textId="77777777" w:rsidR="00BD3304" w:rsidRDefault="00BD3304"/>
    <w:p w14:paraId="1D068029" w14:textId="77777777" w:rsidR="00BD3304" w:rsidRDefault="00BD3304"/>
    <w:p w14:paraId="1D6F5E5E" w14:textId="77777777" w:rsidR="00BD3304" w:rsidRDefault="00000000">
      <w:pPr>
        <w:jc w:val="center"/>
      </w:pPr>
      <w:r>
        <w:rPr>
          <w:i/>
          <w:color w:val="505050"/>
          <w:sz w:val="26"/>
        </w:rPr>
        <w:t>Terms of Reference (ToR)</w:t>
      </w:r>
    </w:p>
    <w:p w14:paraId="5483FBD6" w14:textId="77777777" w:rsidR="00BD3304" w:rsidRDefault="00000000">
      <w:pPr>
        <w:jc w:val="center"/>
      </w:pPr>
      <w:r>
        <w:rPr>
          <w:i/>
          <w:color w:val="505050"/>
          <w:sz w:val="26"/>
        </w:rPr>
        <w:t>of the</w:t>
      </w:r>
    </w:p>
    <w:p w14:paraId="666129B7" w14:textId="77777777" w:rsidR="00BD3304" w:rsidRDefault="00BD3304"/>
    <w:p w14:paraId="388A3DAD" w14:textId="77777777" w:rsidR="00BD3304" w:rsidRDefault="00000000">
      <w:pPr>
        <w:jc w:val="center"/>
      </w:pPr>
      <w:r>
        <w:rPr>
          <w:b/>
          <w:color w:val="B43200"/>
          <w:sz w:val="36"/>
        </w:rPr>
        <w:t>Humanitarian and Natural Disaster Officer</w:t>
      </w:r>
    </w:p>
    <w:p w14:paraId="2A6CFAC7" w14:textId="77777777" w:rsidR="00BD3304" w:rsidRDefault="00000000">
      <w:pPr>
        <w:jc w:val="center"/>
      </w:pPr>
      <w:r>
        <w:rPr>
          <w:i/>
          <w:color w:val="505050"/>
          <w:sz w:val="24"/>
        </w:rPr>
        <w:t>3R Facility Management Team</w:t>
      </w:r>
    </w:p>
    <w:p w14:paraId="31DD7178" w14:textId="77777777" w:rsidR="00BD3304" w:rsidRDefault="00BD3304"/>
    <w:p w14:paraId="1756E5E2" w14:textId="77777777" w:rsidR="00BD3304" w:rsidRDefault="00BD3304"/>
    <w:p w14:paraId="7BBDC80B" w14:textId="77777777" w:rsidR="00BD3304" w:rsidRDefault="00000000">
      <w:pPr>
        <w:jc w:val="center"/>
      </w:pPr>
      <w:r>
        <w:rPr>
          <w:b/>
          <w:color w:val="003366"/>
          <w:sz w:val="24"/>
        </w:rPr>
        <w:t>Facility Management Team (FMT)</w:t>
      </w:r>
    </w:p>
    <w:p w14:paraId="3AB04FFF" w14:textId="77777777" w:rsidR="00BD3304" w:rsidRDefault="00BD3304"/>
    <w:p w14:paraId="41A7672A" w14:textId="77777777" w:rsidR="00BD3304" w:rsidRDefault="00000000">
      <w:r>
        <w:br w:type="page"/>
      </w:r>
    </w:p>
    <w:p w14:paraId="4E2D895A" w14:textId="77777777" w:rsidR="00BD3304" w:rsidRDefault="00000000" w:rsidP="006A00A7">
      <w:pPr>
        <w:pStyle w:val="Heading2"/>
      </w:pPr>
      <w:r>
        <w:lastRenderedPageBreak/>
        <w:t>I. Background</w:t>
      </w:r>
    </w:p>
    <w:p w14:paraId="43FB2C65" w14:textId="7BB97E23" w:rsidR="00BD3304" w:rsidRDefault="00000000" w:rsidP="006A00A7">
      <w:pPr>
        <w:pStyle w:val="ListParagraph"/>
        <w:numPr>
          <w:ilvl w:val="0"/>
          <w:numId w:val="10"/>
        </w:numPr>
        <w:spacing w:after="120"/>
        <w:jc w:val="both"/>
      </w:pPr>
      <w:r>
        <w:t>The Islamic Development Bank (IsDB) is a Triple-A rated international financial institution with a current membership of 57 countries. Its mission is to promote comprehensive human development, with a focus on the priority areas of alleviating poverty, improving health, promoting education, improving governance, and prospering the people.</w:t>
      </w:r>
    </w:p>
    <w:p w14:paraId="15E2EB59" w14:textId="16290C1D" w:rsidR="00BD3304" w:rsidRDefault="00000000" w:rsidP="006A00A7">
      <w:pPr>
        <w:pStyle w:val="ListParagraph"/>
        <w:numPr>
          <w:ilvl w:val="0"/>
          <w:numId w:val="10"/>
        </w:numPr>
        <w:spacing w:after="120"/>
        <w:jc w:val="both"/>
      </w:pPr>
      <w:r>
        <w:t>The Response, Recovery and Resilience (3R) Facility is an IsDB initiative approved by the Board of Executive Directors on 07 April 2026 (Board Endorsement Document No. 365). The Facility is designed to provide a structured, scalable, and catalytic platform to address the intertwined challenges of crisis response, early recovery, and long-term resilience building in IsDB Fragile, Conflict-Affected, and Marginalized Countries (FCAMCs).</w:t>
      </w:r>
    </w:p>
    <w:p w14:paraId="3D6B61D7" w14:textId="3FC270B4" w:rsidR="00BD3304" w:rsidRDefault="00000000" w:rsidP="006A00A7">
      <w:pPr>
        <w:pStyle w:val="ListParagraph"/>
        <w:numPr>
          <w:ilvl w:val="0"/>
          <w:numId w:val="10"/>
        </w:numPr>
        <w:spacing w:after="120"/>
        <w:jc w:val="both"/>
      </w:pPr>
      <w:r>
        <w:t>The 3R Facility operates over a five-year implementation period (2026–2030) with a total financing target of US$ 460 million — comprising a US$ 30 million IsDB OCR Grant, a US$ 45 million Islamic Cooperation Fund (ICF) Grant (for Least Developed Member Countries only), a US$ 10 million GIFR contribution, and a co-financing target of US$ 375 million to be mobilized from external partners (target leverage ratio of 1:5).</w:t>
      </w:r>
    </w:p>
    <w:p w14:paraId="5B954AE6" w14:textId="216A7DC3" w:rsidR="00BD3304" w:rsidRDefault="00000000" w:rsidP="006A00A7">
      <w:pPr>
        <w:pStyle w:val="ListParagraph"/>
        <w:numPr>
          <w:ilvl w:val="0"/>
          <w:numId w:val="10"/>
        </w:numPr>
        <w:spacing w:after="120"/>
        <w:jc w:val="both"/>
      </w:pPr>
      <w:r>
        <w:t>The Facility is anchored in the Humanitarian-Development-Peace (HDP) Nexus and operates through three operational windows: (i) Window 1 — Rapid Emergency Response (0–6 months post-crisis); (ii) Window 2 — Early Recovery (6–24 months); and (iii) Window 3 — Resilience Building (24–60 months). Prevention, Preparedness and Early Warning functions as a cross-cutting enabler across all windows.</w:t>
      </w:r>
    </w:p>
    <w:p w14:paraId="09673293" w14:textId="0D67698D" w:rsidR="00BD3304" w:rsidRDefault="00000000" w:rsidP="006A00A7">
      <w:pPr>
        <w:pStyle w:val="ListParagraph"/>
        <w:numPr>
          <w:ilvl w:val="0"/>
          <w:numId w:val="10"/>
        </w:numPr>
        <w:spacing w:after="120"/>
        <w:jc w:val="both"/>
      </w:pPr>
      <w:r>
        <w:t>The 3R Facility directly serves 32 fragile and conflict-affected Member Countries and aims to reach 1.5–1.8 million people with life-saving and livelihood-restoring interventions by 2030. It is fully aligned with IsDB's 10-Year Strategic Framework, the 5-Year Corporate Strategy (2026–2030), and the Sustainable Development Goals (SDGs 1, 2, 3, 5, 6, 8, 13, 16, and 17).</w:t>
      </w:r>
    </w:p>
    <w:p w14:paraId="570BDCC9" w14:textId="77777777" w:rsidR="00BD3304" w:rsidRDefault="00000000" w:rsidP="006A00A7">
      <w:pPr>
        <w:pStyle w:val="Heading2"/>
      </w:pPr>
      <w:r>
        <w:t>II. Facility Objectives and Key Results</w:t>
      </w:r>
    </w:p>
    <w:p w14:paraId="7D21EB60" w14:textId="71FFC300" w:rsidR="00BD3304" w:rsidRDefault="00000000" w:rsidP="006A00A7">
      <w:pPr>
        <w:pStyle w:val="ListParagraph"/>
        <w:numPr>
          <w:ilvl w:val="0"/>
          <w:numId w:val="10"/>
        </w:numPr>
        <w:spacing w:after="120"/>
        <w:jc w:val="both"/>
      </w:pPr>
      <w:r>
        <w:t>The overall development objective of the 3R Facility is to reduce fragility and build resilience in IsDB's most vulnerable Member Countries through coordinated, timely, and catalytic financing. Specifically, the Facility aims to: (i) save lives and protect livelihoods through rapid emergency response; (ii) restore essential services and revitalize local economies through early recovery support; and (iii) address structural fragilities and build durable institutional and community resilience over the medium to long term.</w:t>
      </w:r>
    </w:p>
    <w:p w14:paraId="7AA2409E" w14:textId="77777777" w:rsidR="00BD3304" w:rsidRDefault="00000000" w:rsidP="006A00A7">
      <w:pPr>
        <w:pStyle w:val="Heading2"/>
      </w:pPr>
      <w:r>
        <w:t>III. Governance Structure of the Facility</w:t>
      </w:r>
    </w:p>
    <w:p w14:paraId="3D95ED9A" w14:textId="29DE7401" w:rsidR="00BD3304" w:rsidRDefault="00000000" w:rsidP="006A00A7">
      <w:pPr>
        <w:pStyle w:val="ListParagraph"/>
        <w:numPr>
          <w:ilvl w:val="0"/>
          <w:numId w:val="10"/>
        </w:numPr>
        <w:spacing w:after="120"/>
        <w:jc w:val="both"/>
      </w:pPr>
      <w:r>
        <w:t>To achieve the Facility's objectives and to ensure division of work, accountability, and transparency, the 3R Facility operates through a multi-tiered governance structure composed of the following bodies:</w:t>
      </w:r>
    </w:p>
    <w:p w14:paraId="3BC8FEB1" w14:textId="77777777" w:rsidR="00BD3304" w:rsidRDefault="00000000" w:rsidP="006A00A7">
      <w:pPr>
        <w:spacing w:after="120"/>
        <w:ind w:left="360"/>
        <w:jc w:val="both"/>
      </w:pPr>
      <w:r>
        <w:rPr>
          <w:b/>
        </w:rPr>
        <w:t xml:space="preserve">(i) Steering Committee (SC): </w:t>
      </w:r>
      <w:r>
        <w:t>Chaired by IsDB, the SC provides strategic direction, endorses annual workplans and budgets, and reviews Facility performance. Partners contributing US$ 10 million or more join as voting members. The SC's role is to provide strategic guidance, ensure alignment with global best practices, advocate for priority interventions, and monitor implementation progress.</w:t>
      </w:r>
    </w:p>
    <w:p w14:paraId="28DFACA9" w14:textId="77777777" w:rsidR="00BD3304" w:rsidRDefault="00000000" w:rsidP="006A00A7">
      <w:pPr>
        <w:spacing w:after="120"/>
        <w:ind w:left="360"/>
        <w:jc w:val="both"/>
      </w:pPr>
      <w:r>
        <w:rPr>
          <w:b/>
        </w:rPr>
        <w:lastRenderedPageBreak/>
        <w:t xml:space="preserve">(ii) IsDB Management and Facility Management Team (FMT): </w:t>
      </w:r>
      <w:r>
        <w:t>The FMT is hosted within the Resilience and Climate Action Department (RCA) of IsDB and serves as the operational nerve centre of the Facility. The FMT includes the Team Leader, Partnerships and Resource Mobilization Officer, Humanitarian and Natural Disaster Officer, Program Management Officer (PMO), and the M&amp;E/Data Officer.</w:t>
      </w:r>
    </w:p>
    <w:p w14:paraId="27EF9980" w14:textId="77777777" w:rsidR="00BD3304" w:rsidRDefault="00000000" w:rsidP="006A00A7">
      <w:pPr>
        <w:spacing w:after="120"/>
        <w:ind w:left="360"/>
        <w:jc w:val="both"/>
      </w:pPr>
      <w:r>
        <w:rPr>
          <w:b/>
        </w:rPr>
        <w:t xml:space="preserve">(iii) Technical Committee: </w:t>
      </w:r>
      <w:r>
        <w:t>Reviews the technical dimensions of proposed projects, monitors implementation quality, and provides operational guidance. Representatives from strategic partners participate as members.</w:t>
      </w:r>
    </w:p>
    <w:p w14:paraId="2DE08FA1" w14:textId="77777777" w:rsidR="00BD3304" w:rsidRDefault="00000000" w:rsidP="006A00A7">
      <w:pPr>
        <w:spacing w:after="120"/>
        <w:ind w:left="360"/>
        <w:jc w:val="both"/>
      </w:pPr>
      <w:r>
        <w:rPr>
          <w:b/>
        </w:rPr>
        <w:t xml:space="preserve">(iv) Regional Hubs (RHs): </w:t>
      </w:r>
      <w:r>
        <w:t>IsDB Regional Hubs serve as the primary liaison with Member Country governments and Implementing Agencies. RHs are responsible for project identification, preparation, supervision, and validation in their respective regions. Member Country governments issue No-Objection Certificates (NOCs) for all interventions.</w:t>
      </w:r>
    </w:p>
    <w:p w14:paraId="1AF2DBF2" w14:textId="77777777" w:rsidR="00BD3304" w:rsidRDefault="00000000" w:rsidP="006A00A7">
      <w:pPr>
        <w:pStyle w:val="Heading2"/>
      </w:pPr>
      <w:r>
        <w:t>IV. Job Description of the Humanitarian and Natural Disaster Officer</w:t>
      </w:r>
    </w:p>
    <w:p w14:paraId="71EC9F30" w14:textId="15CB3C5B" w:rsidR="00BD3304" w:rsidRDefault="00000000" w:rsidP="006A00A7">
      <w:pPr>
        <w:pStyle w:val="ListParagraph"/>
        <w:numPr>
          <w:ilvl w:val="0"/>
          <w:numId w:val="10"/>
        </w:numPr>
        <w:spacing w:after="120"/>
        <w:jc w:val="both"/>
      </w:pPr>
      <w:r>
        <w:t>IsDB is seeking a qualified and experienced humanitarian professional to serve as the Humanitarian and Natural Disaster Officer for the 3R Facility Management Team.</w:t>
      </w:r>
    </w:p>
    <w:p w14:paraId="1DA3F132" w14:textId="77777777" w:rsidR="00BD3304" w:rsidRDefault="00000000" w:rsidP="006A00A7">
      <w:pPr>
        <w:pStyle w:val="Heading3"/>
      </w:pPr>
      <w:r>
        <w:t>Job Purpose</w:t>
      </w:r>
    </w:p>
    <w:p w14:paraId="3568CF46" w14:textId="41D09490" w:rsidR="00BD3304" w:rsidRDefault="00000000" w:rsidP="006A00A7">
      <w:pPr>
        <w:pStyle w:val="ListParagraph"/>
        <w:numPr>
          <w:ilvl w:val="0"/>
          <w:numId w:val="10"/>
        </w:numPr>
        <w:spacing w:after="120"/>
        <w:jc w:val="both"/>
      </w:pPr>
      <w:r>
        <w:t>The Humanitarian and Natural Disaster Officer is responsible for the technical management of the 3R Facility's Window 1 (Rapid Emergency Response) operations and for providing technical input on disaster risk reduction and early warning elements of Windows 2 and 3. The Officer will serve as IsDB's primary technical interface with the humanitarian system — including UN agencies, the IFRC, NGOs, and National Disaster Management Authorities (NDMAs) — and will be responsible for conducting, coordinating, and quality-assuring Rapid Needs Assessments (RNAs), managing the Window 1 fast-track activation protocol, and ensuring all emergency response operations adhere to international humanitarian norms, standards, and the Facility's guiding principles including conflict sensitivity, Do No Harm, and Protection from Sexual Exploitation and Abuse (PSEA).</w:t>
      </w:r>
    </w:p>
    <w:p w14:paraId="10E48E8B" w14:textId="77777777" w:rsidR="00BD3304" w:rsidRPr="006A00A7" w:rsidRDefault="00000000" w:rsidP="006A00A7">
      <w:pPr>
        <w:pStyle w:val="Heading3"/>
      </w:pPr>
      <w:r w:rsidRPr="006A00A7">
        <w:t>Roles and Responsibilities</w:t>
      </w:r>
    </w:p>
    <w:p w14:paraId="2B3D235E" w14:textId="77777777" w:rsidR="00BD3304" w:rsidRPr="006A00A7" w:rsidRDefault="00000000" w:rsidP="006A00A7">
      <w:pPr>
        <w:pStyle w:val="Heading4"/>
      </w:pPr>
      <w:r w:rsidRPr="006A00A7">
        <w:t>Emergency Response and Window 1 Operations</w:t>
      </w:r>
    </w:p>
    <w:p w14:paraId="6382A1D1" w14:textId="77777777" w:rsidR="00BD3304" w:rsidRDefault="00000000" w:rsidP="006A00A7">
      <w:pPr>
        <w:pStyle w:val="ListBullet"/>
        <w:spacing w:after="80"/>
        <w:jc w:val="both"/>
      </w:pPr>
      <w:r>
        <w:t>Lead the preparation, coordination, and quality assurance of Rapid Needs Assessments (RNAs) within 48 hours of a crisis event trigger, ensuring completion within three days.</w:t>
      </w:r>
    </w:p>
    <w:p w14:paraId="2586B282" w14:textId="77777777" w:rsidR="00BD3304" w:rsidRDefault="00000000" w:rsidP="006A00A7">
      <w:pPr>
        <w:pStyle w:val="ListBullet"/>
        <w:spacing w:after="80"/>
        <w:jc w:val="both"/>
      </w:pPr>
      <w:r>
        <w:t>Manage the Window 1 fast-track activation protocol, including the preparation of emergency project documentation for approval by H.E. the President of IsDB within 72 hours.</w:t>
      </w:r>
    </w:p>
    <w:p w14:paraId="3B7AE810" w14:textId="77777777" w:rsidR="00BD3304" w:rsidRDefault="00000000" w:rsidP="006A00A7">
      <w:pPr>
        <w:pStyle w:val="ListBullet"/>
        <w:spacing w:after="80"/>
        <w:jc w:val="both"/>
      </w:pPr>
      <w:r>
        <w:t>Maintain pre-vetted framework agreements with UN agencies (OCHA, WFP, UNICEF, UNHCR), IFRC, and qualified NGOs to enable immediate deployment upon Facility activation.</w:t>
      </w:r>
    </w:p>
    <w:p w14:paraId="7525888C" w14:textId="77777777" w:rsidR="00BD3304" w:rsidRDefault="00000000" w:rsidP="006A00A7">
      <w:pPr>
        <w:pStyle w:val="ListBullet"/>
        <w:spacing w:after="80"/>
        <w:jc w:val="both"/>
      </w:pPr>
      <w:r>
        <w:t>Monitor active Window 1 operations, coordinate with Regional Hubs and Implementing Agencies, and flag risks or deviations to the Team Leader.</w:t>
      </w:r>
    </w:p>
    <w:p w14:paraId="3BF461CA" w14:textId="77777777" w:rsidR="00BD3304" w:rsidRDefault="00000000" w:rsidP="006A00A7">
      <w:pPr>
        <w:pStyle w:val="ListBullet"/>
        <w:spacing w:after="80"/>
        <w:jc w:val="both"/>
      </w:pPr>
      <w:r>
        <w:t xml:space="preserve">Ensure Window 1 interventions — including emergency health, WASH, food, shelter, protection, and Shock-Responsive Social Protection (SRSP) top-ups — are designed and delivered in </w:t>
      </w:r>
      <w:r>
        <w:lastRenderedPageBreak/>
        <w:t>compliance with international humanitarian standards (SPHERE standards, Core Humanitarian Standard).</w:t>
      </w:r>
    </w:p>
    <w:p w14:paraId="295850D6" w14:textId="77777777" w:rsidR="00BD3304" w:rsidRDefault="00000000" w:rsidP="006A00A7">
      <w:pPr>
        <w:pStyle w:val="ListBullet"/>
        <w:spacing w:after="80"/>
        <w:jc w:val="both"/>
      </w:pPr>
      <w:r>
        <w:t>Oversee anticipatory action protocols triggered by Early Warning System (EWS) thresholds in coordination with Window 3 activities.</w:t>
      </w:r>
    </w:p>
    <w:p w14:paraId="3C21DC09" w14:textId="77777777" w:rsidR="00BD3304" w:rsidRDefault="00000000" w:rsidP="006A00A7">
      <w:pPr>
        <w:pStyle w:val="ListBullet"/>
        <w:spacing w:after="80"/>
        <w:jc w:val="both"/>
      </w:pPr>
      <w:r>
        <w:t>Coordinate with CERF, DREF, and Start Fund to avoid duplication and maximize complementarity.</w:t>
      </w:r>
    </w:p>
    <w:p w14:paraId="7A032B3E" w14:textId="77777777" w:rsidR="00BD3304" w:rsidRDefault="00000000" w:rsidP="006A00A7">
      <w:pPr>
        <w:pStyle w:val="ListBullet"/>
        <w:spacing w:after="80"/>
        <w:jc w:val="both"/>
      </w:pPr>
      <w:r>
        <w:t>Manage the transition from Window 1 (acute response) to Window 2 (early recovery) to ensure programme continuity.</w:t>
      </w:r>
    </w:p>
    <w:p w14:paraId="669EF1E4" w14:textId="77777777" w:rsidR="00BD3304" w:rsidRDefault="00000000" w:rsidP="006A00A7">
      <w:pPr>
        <w:pStyle w:val="Heading4"/>
      </w:pPr>
      <w:r>
        <w:t>Disaster Risk Reduction and Early Warning</w:t>
      </w:r>
    </w:p>
    <w:p w14:paraId="7AB2A824" w14:textId="77777777" w:rsidR="00BD3304" w:rsidRDefault="00000000" w:rsidP="006A00A7">
      <w:pPr>
        <w:pStyle w:val="ListBullet"/>
        <w:spacing w:after="80"/>
        <w:jc w:val="both"/>
      </w:pPr>
      <w:r>
        <w:t>Provide technical input on the design, implementation, and monitoring of Multi-Hazard Early Warning Systems (EWS) supported under Window 3, including hydro-meteorological, geophysical, and public health alert systems.</w:t>
      </w:r>
    </w:p>
    <w:p w14:paraId="32E977FF" w14:textId="77777777" w:rsidR="00BD3304" w:rsidRDefault="00000000" w:rsidP="006A00A7">
      <w:pPr>
        <w:pStyle w:val="ListBullet"/>
        <w:spacing w:after="80"/>
        <w:jc w:val="both"/>
      </w:pPr>
      <w:r>
        <w:t>Advise on the integration of last-mile EWS components (SMS, radio, cell broadcast, community sirens, and drills) into Window 3 project designs.</w:t>
      </w:r>
    </w:p>
    <w:p w14:paraId="41AD427C" w14:textId="77777777" w:rsidR="00BD3304" w:rsidRDefault="00000000" w:rsidP="006A00A7">
      <w:pPr>
        <w:pStyle w:val="ListBullet"/>
        <w:spacing w:after="80"/>
        <w:jc w:val="both"/>
      </w:pPr>
      <w:r>
        <w:t>Liaise with the Africa Risk Capacity (ARC), CCRIF, and GIFR/GSFF on risk-layered finance instruments and parametric trigger protocols.</w:t>
      </w:r>
    </w:p>
    <w:p w14:paraId="2EDC6883" w14:textId="77777777" w:rsidR="00BD3304" w:rsidRDefault="00000000" w:rsidP="006A00A7">
      <w:pPr>
        <w:pStyle w:val="ListBullet"/>
        <w:spacing w:after="80"/>
        <w:jc w:val="both"/>
      </w:pPr>
      <w:r>
        <w:t>Coordinate the preparation of DRR civil works and structural retrofitting projects under Window 3 in collaboration with relevant IsDB sector teams.</w:t>
      </w:r>
    </w:p>
    <w:p w14:paraId="58A23EC8" w14:textId="77777777" w:rsidR="00BD3304" w:rsidRDefault="00000000" w:rsidP="006A00A7">
      <w:pPr>
        <w:pStyle w:val="ListBullet"/>
        <w:spacing w:after="80"/>
        <w:jc w:val="both"/>
      </w:pPr>
      <w:r>
        <w:t>Support the establishment and strengthening of National Disaster Management Authorities (NDMAs) and local governance capacity for crisis management.</w:t>
      </w:r>
    </w:p>
    <w:p w14:paraId="634F6CA6" w14:textId="77777777" w:rsidR="00BD3304" w:rsidRDefault="00000000" w:rsidP="006A00A7">
      <w:pPr>
        <w:pStyle w:val="Heading4"/>
      </w:pPr>
      <w:r>
        <w:t>Partner Management and Coordination</w:t>
      </w:r>
    </w:p>
    <w:p w14:paraId="79080F04" w14:textId="77777777" w:rsidR="00BD3304" w:rsidRDefault="00000000" w:rsidP="006A00A7">
      <w:pPr>
        <w:pStyle w:val="ListBullet"/>
        <w:spacing w:after="80"/>
        <w:jc w:val="both"/>
      </w:pPr>
      <w:r>
        <w:t>Conduct and coordinate the two-stage due diligence process (Knockout and Scoring) for Implementing Partners, ensuring compliance with IsDB's partner eligibility standards.</w:t>
      </w:r>
    </w:p>
    <w:p w14:paraId="4535102D" w14:textId="77777777" w:rsidR="00BD3304" w:rsidRDefault="00000000" w:rsidP="006A00A7">
      <w:pPr>
        <w:pStyle w:val="ListBullet"/>
        <w:spacing w:after="80"/>
        <w:jc w:val="both"/>
      </w:pPr>
      <w:r>
        <w:t>Represent IsDB in humanitarian coordination forums — UN cluster system, OCHA-led coordination mechanisms, and humanitarian country teams — at national and regional level.</w:t>
      </w:r>
    </w:p>
    <w:p w14:paraId="1FBA74C7" w14:textId="77777777" w:rsidR="00BD3304" w:rsidRDefault="00000000" w:rsidP="006A00A7">
      <w:pPr>
        <w:pStyle w:val="ListBullet"/>
        <w:spacing w:after="80"/>
        <w:jc w:val="both"/>
      </w:pPr>
      <w:r>
        <w:t>Prepare partner briefings, mission reports, and technical updates for the Team Leader and IsDB management following field visits or partner engagement.</w:t>
      </w:r>
    </w:p>
    <w:p w14:paraId="4F1EB562" w14:textId="77777777" w:rsidR="00BD3304" w:rsidRDefault="00000000" w:rsidP="006A00A7">
      <w:pPr>
        <w:pStyle w:val="ListBullet"/>
        <w:spacing w:after="80"/>
        <w:jc w:val="both"/>
      </w:pPr>
      <w:r>
        <w:t>Coordinate the identification and pre-qualification of new Implementing Partners in under-served geographies.</w:t>
      </w:r>
    </w:p>
    <w:p w14:paraId="68214831" w14:textId="77777777" w:rsidR="00BD3304" w:rsidRDefault="00000000" w:rsidP="006A00A7">
      <w:pPr>
        <w:pStyle w:val="Heading4"/>
      </w:pPr>
      <w:r>
        <w:t>Safeguards and Compliance</w:t>
      </w:r>
    </w:p>
    <w:p w14:paraId="5FDB669A" w14:textId="77777777" w:rsidR="00BD3304" w:rsidRDefault="00000000" w:rsidP="006A00A7">
      <w:pPr>
        <w:pStyle w:val="ListBullet"/>
        <w:spacing w:after="80"/>
        <w:jc w:val="both"/>
      </w:pPr>
      <w:r>
        <w:t>Ensure all Window 1 and DRR projects are designed and implemented in accordance with IsDB Environmental and Social Safeguards (ESS) requirements.</w:t>
      </w:r>
    </w:p>
    <w:p w14:paraId="7EFC03E0" w14:textId="77777777" w:rsidR="00BD3304" w:rsidRDefault="00000000" w:rsidP="006A00A7">
      <w:pPr>
        <w:pStyle w:val="ListBullet"/>
        <w:spacing w:after="80"/>
        <w:jc w:val="both"/>
      </w:pPr>
      <w:r>
        <w:t>Monitor compliance with conflict-sensitivity and Do No Harm principles across all emergency and resilience operations.</w:t>
      </w:r>
    </w:p>
    <w:p w14:paraId="252D91BA" w14:textId="77777777" w:rsidR="00BD3304" w:rsidRDefault="00000000" w:rsidP="006A00A7">
      <w:pPr>
        <w:pStyle w:val="ListBullet"/>
        <w:spacing w:after="80"/>
        <w:jc w:val="both"/>
      </w:pPr>
      <w:r>
        <w:t>Oversee the establishment and functioning of Grievance Redress Mechanisms (GRMs) in all project locations, ensuring 24–72 hour acknowledgment standards are met.</w:t>
      </w:r>
    </w:p>
    <w:p w14:paraId="603C4F08" w14:textId="77777777" w:rsidR="00BD3304" w:rsidRDefault="00000000" w:rsidP="006A00A7">
      <w:pPr>
        <w:pStyle w:val="ListBullet"/>
        <w:spacing w:after="80"/>
        <w:jc w:val="both"/>
      </w:pPr>
      <w:r>
        <w:t>Ensure PSEA policies are operationalized and survivor-centered reporting pathways are in place for all Implementing Agencies.</w:t>
      </w:r>
    </w:p>
    <w:p w14:paraId="04B0C42C" w14:textId="77777777" w:rsidR="00BD3304" w:rsidRDefault="00000000" w:rsidP="006A00A7">
      <w:pPr>
        <w:pStyle w:val="ListBullet"/>
        <w:spacing w:after="80"/>
        <w:jc w:val="both"/>
      </w:pPr>
      <w:r>
        <w:t>Contribute technical content to the Facility's MERL framework, particularly for Window 1 and DRR indicators.</w:t>
      </w:r>
    </w:p>
    <w:p w14:paraId="0C626C6F" w14:textId="77777777" w:rsidR="00BD3304" w:rsidRDefault="00000000" w:rsidP="006A00A7">
      <w:pPr>
        <w:pStyle w:val="ListBullet"/>
        <w:spacing w:after="80"/>
        <w:jc w:val="both"/>
      </w:pPr>
      <w:r>
        <w:lastRenderedPageBreak/>
        <w:t>Perform any other duties as assigned by the Team Leader.</w:t>
      </w:r>
    </w:p>
    <w:p w14:paraId="36E68464" w14:textId="77777777" w:rsidR="00BD3304" w:rsidRDefault="00000000" w:rsidP="006A00A7">
      <w:pPr>
        <w:pStyle w:val="Heading3"/>
      </w:pPr>
      <w:r>
        <w:t>Academic Qualifications and Work Experience</w:t>
      </w:r>
    </w:p>
    <w:p w14:paraId="4471AE4B" w14:textId="15CCC5FA" w:rsidR="00BD3304" w:rsidRDefault="00000000" w:rsidP="006A00A7">
      <w:pPr>
        <w:pStyle w:val="ListParagraph"/>
        <w:numPr>
          <w:ilvl w:val="0"/>
          <w:numId w:val="10"/>
        </w:numPr>
        <w:spacing w:after="120"/>
      </w:pPr>
      <w:r>
        <w:t>The minimum required qualifications and work experience are:</w:t>
      </w:r>
    </w:p>
    <w:p w14:paraId="58385567" w14:textId="77777777" w:rsidR="00BD3304" w:rsidRDefault="00000000" w:rsidP="006A00A7">
      <w:pPr>
        <w:pStyle w:val="ListBullet"/>
        <w:spacing w:after="80"/>
        <w:jc w:val="both"/>
      </w:pPr>
      <w:r>
        <w:t>Master's degree in Humanitarian Action, International Development, Disaster Risk Management, Public Health, or a closely related field.</w:t>
      </w:r>
    </w:p>
    <w:p w14:paraId="04312850" w14:textId="77777777" w:rsidR="00BD3304" w:rsidRDefault="00000000" w:rsidP="006A00A7">
      <w:pPr>
        <w:pStyle w:val="ListBullet"/>
        <w:spacing w:after="80"/>
        <w:jc w:val="both"/>
      </w:pPr>
      <w:r>
        <w:t>Minimum of 10 years of experience in humanitarian response and disaster risk reduction, of which at least 5 years involve operational experience in fragile or conflict-affected settings.</w:t>
      </w:r>
    </w:p>
    <w:p w14:paraId="6CE43B02" w14:textId="77777777" w:rsidR="00BD3304" w:rsidRDefault="00000000" w:rsidP="006A00A7">
      <w:pPr>
        <w:pStyle w:val="ListBullet"/>
        <w:spacing w:after="80"/>
        <w:jc w:val="both"/>
      </w:pPr>
      <w:r>
        <w:t>Proven experience in Rapid Needs Assessment design and coordination, emergency project preparation, and fast-track approval processes within a multilateral or international humanitarian organization.</w:t>
      </w:r>
    </w:p>
    <w:p w14:paraId="0AB8B38A" w14:textId="77777777" w:rsidR="00BD3304" w:rsidRDefault="00000000" w:rsidP="006A00A7">
      <w:pPr>
        <w:pStyle w:val="ListBullet"/>
        <w:spacing w:after="80"/>
        <w:jc w:val="both"/>
      </w:pPr>
      <w:r>
        <w:t>Deep knowledge of international humanitarian norms and standards — including SPHERE, Core Humanitarian Standard (CHS), PSEA, and the HDP Nexus framework.</w:t>
      </w:r>
    </w:p>
    <w:p w14:paraId="6ACC79B1" w14:textId="77777777" w:rsidR="00BD3304" w:rsidRDefault="00000000" w:rsidP="006A00A7">
      <w:pPr>
        <w:pStyle w:val="ListBullet"/>
        <w:spacing w:after="80"/>
        <w:jc w:val="both"/>
      </w:pPr>
      <w:r>
        <w:t>Experience working with UN agencies (OCHA, WFP, UNICEF, UNHCR), IFRC, and NDMAs in field settings.</w:t>
      </w:r>
    </w:p>
    <w:p w14:paraId="41655CDC" w14:textId="77777777" w:rsidR="00BD3304" w:rsidRDefault="00000000" w:rsidP="006A00A7">
      <w:pPr>
        <w:pStyle w:val="ListBullet"/>
        <w:spacing w:after="80"/>
        <w:jc w:val="both"/>
      </w:pPr>
      <w:r>
        <w:t>Familiarity with Early Warning Systems, anticipatory action frameworks, and DRR policy (Sendai Framework) is required.</w:t>
      </w:r>
    </w:p>
    <w:p w14:paraId="68A82A94" w14:textId="77777777" w:rsidR="00BD3304" w:rsidRDefault="00000000" w:rsidP="006A00A7">
      <w:pPr>
        <w:pStyle w:val="ListBullet"/>
        <w:spacing w:after="80"/>
        <w:jc w:val="both"/>
      </w:pPr>
      <w:r>
        <w:t>Experience working with IsDB Member Countries, particularly in Sub-Saharan Africa, the Middle East, or South/Central Asia, is strongly preferred.</w:t>
      </w:r>
    </w:p>
    <w:p w14:paraId="1676549F" w14:textId="77777777" w:rsidR="00BD3304" w:rsidRDefault="00000000" w:rsidP="006A00A7">
      <w:pPr>
        <w:pStyle w:val="ListBullet"/>
        <w:spacing w:after="80"/>
        <w:jc w:val="both"/>
      </w:pPr>
      <w:r>
        <w:t>Certification in humanitarian coordination (e.g. CALP, OCHA coordination training) is an advantage.</w:t>
      </w:r>
    </w:p>
    <w:p w14:paraId="54991DF8" w14:textId="77777777" w:rsidR="00BD3304" w:rsidRDefault="00000000" w:rsidP="006A00A7">
      <w:pPr>
        <w:pStyle w:val="Heading3"/>
      </w:pPr>
      <w:r>
        <w:t>Skills</w:t>
      </w:r>
    </w:p>
    <w:p w14:paraId="111F9481" w14:textId="03DEF9EF" w:rsidR="00BD3304" w:rsidRDefault="00000000" w:rsidP="006A00A7">
      <w:pPr>
        <w:pStyle w:val="ListParagraph"/>
        <w:numPr>
          <w:ilvl w:val="0"/>
          <w:numId w:val="10"/>
        </w:numPr>
        <w:spacing w:after="120"/>
      </w:pPr>
      <w:r>
        <w:t>The required skills are:</w:t>
      </w:r>
    </w:p>
    <w:p w14:paraId="0390D170" w14:textId="77777777" w:rsidR="00BD3304" w:rsidRDefault="00000000" w:rsidP="006A00A7">
      <w:pPr>
        <w:pStyle w:val="ListBullet"/>
        <w:spacing w:after="80"/>
        <w:jc w:val="both"/>
      </w:pPr>
      <w:r>
        <w:rPr>
          <w:b/>
        </w:rPr>
        <w:t>Crisis Management:</w:t>
      </w:r>
      <w:r>
        <w:t xml:space="preserve"> Ability to function effectively under extreme pressure, make evidence-based decisions rapidly, and lead teams in emergency situations.</w:t>
      </w:r>
    </w:p>
    <w:p w14:paraId="65BF6E7B" w14:textId="77777777" w:rsidR="00BD3304" w:rsidRDefault="00000000" w:rsidP="006A00A7">
      <w:pPr>
        <w:pStyle w:val="ListBullet"/>
        <w:spacing w:after="80"/>
        <w:jc w:val="both"/>
      </w:pPr>
      <w:r>
        <w:rPr>
          <w:b/>
        </w:rPr>
        <w:t>Communicate Effectively:</w:t>
      </w:r>
      <w:r>
        <w:t xml:space="preserve"> Speak, listen, and write clearly and concisely in English and Arabic; able to produce technical briefs and field reports under tight timelines.</w:t>
      </w:r>
    </w:p>
    <w:p w14:paraId="7BFE58BF" w14:textId="77777777" w:rsidR="00BD3304" w:rsidRDefault="00000000" w:rsidP="006A00A7">
      <w:pPr>
        <w:pStyle w:val="ListBullet"/>
        <w:spacing w:after="80"/>
        <w:jc w:val="both"/>
      </w:pPr>
      <w:r>
        <w:rPr>
          <w:b/>
        </w:rPr>
        <w:t>Behave Ethically:</w:t>
      </w:r>
      <w:r>
        <w:t xml:space="preserve"> Demonstrate the highest standards of professionalism, neutrality, and integrity consistent with IsDB values and humanitarian principles.</w:t>
      </w:r>
    </w:p>
    <w:p w14:paraId="679F7F16" w14:textId="77777777" w:rsidR="00BD3304" w:rsidRDefault="00000000" w:rsidP="006A00A7">
      <w:pPr>
        <w:pStyle w:val="ListBullet"/>
        <w:spacing w:after="80"/>
        <w:jc w:val="both"/>
      </w:pPr>
      <w:r>
        <w:rPr>
          <w:b/>
        </w:rPr>
        <w:t>Coordinate and Collaborate:</w:t>
      </w:r>
      <w:r>
        <w:t xml:space="preserve"> Build effective working relationships with diverse partners — UN agencies, NGOs, NDMAs, government counterparts — in politically complex environments.</w:t>
      </w:r>
    </w:p>
    <w:p w14:paraId="6CDB57D1" w14:textId="77777777" w:rsidR="00BD3304" w:rsidRDefault="00000000" w:rsidP="006A00A7">
      <w:pPr>
        <w:pStyle w:val="ListBullet"/>
        <w:spacing w:after="80"/>
        <w:jc w:val="both"/>
      </w:pPr>
      <w:r>
        <w:rPr>
          <w:b/>
        </w:rPr>
        <w:t>Organize and Prioritize:</w:t>
      </w:r>
      <w:r>
        <w:t xml:space="preserve"> Manage multiple simultaneous emergency activations and project preparation processes with precision and efficiency.</w:t>
      </w:r>
    </w:p>
    <w:p w14:paraId="35C4CB30" w14:textId="77777777" w:rsidR="00BD3304" w:rsidRDefault="00000000" w:rsidP="006A00A7">
      <w:pPr>
        <w:pStyle w:val="Heading3"/>
      </w:pPr>
      <w:r>
        <w:t>Languages</w:t>
      </w:r>
    </w:p>
    <w:p w14:paraId="59B3B765" w14:textId="56A89481" w:rsidR="00BD3304" w:rsidRDefault="00000000" w:rsidP="006A00A7">
      <w:pPr>
        <w:pStyle w:val="ListParagraph"/>
        <w:numPr>
          <w:ilvl w:val="0"/>
          <w:numId w:val="10"/>
        </w:numPr>
        <w:spacing w:after="120"/>
      </w:pPr>
      <w:r>
        <w:t>Excellent written and spoken communication skills:</w:t>
      </w:r>
    </w:p>
    <w:p w14:paraId="5E8F780E" w14:textId="77777777" w:rsidR="00BD3304" w:rsidRDefault="00000000">
      <w:pPr>
        <w:pStyle w:val="ListBullet"/>
        <w:spacing w:after="80"/>
      </w:pPr>
      <w:r>
        <w:t>English (Mandatory)</w:t>
      </w:r>
    </w:p>
    <w:p w14:paraId="40FD8D2C" w14:textId="77777777" w:rsidR="00BD3304" w:rsidRDefault="00000000">
      <w:pPr>
        <w:pStyle w:val="ListBullet"/>
        <w:spacing w:after="80"/>
      </w:pPr>
      <w:r>
        <w:t>Arabic (Mandatory)</w:t>
      </w:r>
    </w:p>
    <w:p w14:paraId="5A1DB3E3" w14:textId="77777777" w:rsidR="00BD3304" w:rsidRDefault="00000000">
      <w:pPr>
        <w:pStyle w:val="ListBullet"/>
        <w:spacing w:after="80"/>
      </w:pPr>
      <w:r>
        <w:t>French (Preferred)</w:t>
      </w:r>
    </w:p>
    <w:p w14:paraId="408B02AD" w14:textId="77777777" w:rsidR="00BD3304" w:rsidRDefault="00000000" w:rsidP="006A00A7">
      <w:pPr>
        <w:pStyle w:val="Heading2"/>
      </w:pPr>
      <w:r>
        <w:lastRenderedPageBreak/>
        <w:t xml:space="preserve">V. General </w:t>
      </w:r>
      <w:r w:rsidRPr="006A00A7">
        <w:t>Conditions</w:t>
      </w:r>
      <w:r>
        <w:t xml:space="preserve"> of the Contract</w:t>
      </w:r>
    </w:p>
    <w:p w14:paraId="2FF28050" w14:textId="77777777" w:rsidR="00BD3304" w:rsidRDefault="00000000" w:rsidP="006A00A7">
      <w:pPr>
        <w:pStyle w:val="Heading3"/>
      </w:pPr>
      <w:r>
        <w:t>Contract Type</w:t>
      </w:r>
    </w:p>
    <w:p w14:paraId="05315243" w14:textId="343271E9" w:rsidR="00BD3304" w:rsidRDefault="00000000" w:rsidP="006A00A7">
      <w:pPr>
        <w:pStyle w:val="ListParagraph"/>
        <w:numPr>
          <w:ilvl w:val="0"/>
          <w:numId w:val="10"/>
        </w:numPr>
        <w:spacing w:after="120"/>
      </w:pPr>
      <w:r>
        <w:t>Full-time Humanitarian and Natural Disaster Officer based at the IsDB Headquarters in Jeddah, Saudi Arabia.</w:t>
      </w:r>
    </w:p>
    <w:p w14:paraId="502D759B" w14:textId="77777777" w:rsidR="00BD3304" w:rsidRDefault="00000000" w:rsidP="006A00A7">
      <w:pPr>
        <w:pStyle w:val="Heading3"/>
      </w:pPr>
      <w:r>
        <w:t>Duration of the Assignment and Contract Renewal</w:t>
      </w:r>
    </w:p>
    <w:p w14:paraId="7B05AE05" w14:textId="68152FD9" w:rsidR="00BD3304" w:rsidRDefault="00000000" w:rsidP="006A00A7">
      <w:pPr>
        <w:pStyle w:val="ListParagraph"/>
        <w:numPr>
          <w:ilvl w:val="0"/>
          <w:numId w:val="10"/>
        </w:numPr>
        <w:spacing w:after="120"/>
      </w:pPr>
      <w:r>
        <w:t>The assignment is for five years (2026–2030) and the contract is renewable every year based on performance and the achievements of the officer as assessed by IsDB management.</w:t>
      </w:r>
    </w:p>
    <w:p w14:paraId="23F1F98B" w14:textId="77777777" w:rsidR="00BD3304" w:rsidRDefault="00000000" w:rsidP="006A00A7">
      <w:pPr>
        <w:pStyle w:val="Heading3"/>
      </w:pPr>
      <w:r>
        <w:t>Reporting</w:t>
      </w:r>
    </w:p>
    <w:p w14:paraId="14FF0990" w14:textId="1A1BEA9D" w:rsidR="00BD3304" w:rsidRDefault="00000000" w:rsidP="006A00A7">
      <w:pPr>
        <w:pStyle w:val="ListParagraph"/>
        <w:numPr>
          <w:ilvl w:val="0"/>
          <w:numId w:val="10"/>
        </w:numPr>
        <w:spacing w:after="120"/>
      </w:pPr>
      <w:r>
        <w:t>The officer will report to the Team Leader of the 3R Facility Management Team (FMT) within RCA.</w:t>
      </w:r>
    </w:p>
    <w:p w14:paraId="171E9868" w14:textId="77777777" w:rsidR="00BD3304" w:rsidRDefault="00000000" w:rsidP="006A00A7">
      <w:pPr>
        <w:pStyle w:val="Heading3"/>
      </w:pPr>
      <w:r>
        <w:t>Obligations</w:t>
      </w:r>
    </w:p>
    <w:p w14:paraId="0BC97F03" w14:textId="6D7DDDE8" w:rsidR="00BD3304" w:rsidRDefault="00000000" w:rsidP="006A00A7">
      <w:pPr>
        <w:pStyle w:val="ListParagraph"/>
        <w:numPr>
          <w:ilvl w:val="0"/>
          <w:numId w:val="10"/>
        </w:numPr>
        <w:spacing w:after="120"/>
        <w:jc w:val="both"/>
      </w:pPr>
      <w:r>
        <w:t>The Humanitarian and Natural Disaster Officer must complete all assignments set out in these Terms of Reference with due diligence and efficiency, in accordance with generally accepted professional techniques and practices. The Humanitarian and Natural Disaster Officer must respect the impartiality and independence of IsDB and must neither seek nor accept instructions from anyone other than the above-mentioned reporting system. During the term of this contract, the Humanitarian and Natural Disaster Officer must refrain from any conduct that would adversely reflect on IsDB and must not engage in any activity that is incompatible with the administrative instructions, policies, and procedures of IsDB. The Humanitarian and Natural Disaster Officer must exercise the utmost discretion in all matters relating to this contract.</w:t>
      </w:r>
    </w:p>
    <w:p w14:paraId="4C1A5687" w14:textId="77777777" w:rsidR="00BD3304" w:rsidRDefault="00000000" w:rsidP="006A00A7">
      <w:pPr>
        <w:pStyle w:val="Heading3"/>
      </w:pPr>
      <w:r>
        <w:t>Travel</w:t>
      </w:r>
    </w:p>
    <w:p w14:paraId="29765AFA" w14:textId="6D485686" w:rsidR="00BD3304" w:rsidRDefault="00000000" w:rsidP="006A00A7">
      <w:pPr>
        <w:pStyle w:val="ListParagraph"/>
        <w:numPr>
          <w:ilvl w:val="0"/>
          <w:numId w:val="10"/>
        </w:numPr>
        <w:spacing w:after="120"/>
      </w:pPr>
      <w:r>
        <w:t>Travel costs shall be set out in the contract on the following basis:</w:t>
      </w:r>
    </w:p>
    <w:p w14:paraId="3C8CEBCF" w14:textId="77777777" w:rsidR="00BD3304" w:rsidRDefault="00000000" w:rsidP="006A00A7">
      <w:pPr>
        <w:pStyle w:val="ListBullet"/>
        <w:spacing w:after="80"/>
        <w:jc w:val="both"/>
      </w:pPr>
      <w:r>
        <w:t>The 3R Facility will pay for travel in economy class via the most direct and economical route;</w:t>
      </w:r>
    </w:p>
    <w:p w14:paraId="053F2684" w14:textId="77777777" w:rsidR="00BD3304" w:rsidRDefault="00000000" w:rsidP="006A00A7">
      <w:pPr>
        <w:pStyle w:val="ListBullet"/>
        <w:spacing w:after="80"/>
        <w:jc w:val="both"/>
      </w:pPr>
      <w:r>
        <w:t>The 3R Facility will provide the officer with a daily subsistence allowance similar to IsDB officers undertaking equivalent travel for official purposes.</w:t>
      </w:r>
    </w:p>
    <w:p w14:paraId="62B53FE9" w14:textId="77777777" w:rsidR="00BD3304" w:rsidRDefault="00000000" w:rsidP="006A00A7">
      <w:pPr>
        <w:pStyle w:val="Heading3"/>
      </w:pPr>
      <w:r>
        <w:t>Statement of Good Health</w:t>
      </w:r>
    </w:p>
    <w:p w14:paraId="5E61C30E" w14:textId="5F6684A7" w:rsidR="00BD3304" w:rsidRDefault="00000000" w:rsidP="006A00A7">
      <w:pPr>
        <w:pStyle w:val="ListParagraph"/>
        <w:numPr>
          <w:ilvl w:val="0"/>
          <w:numId w:val="10"/>
        </w:numPr>
        <w:spacing w:after="120"/>
        <w:jc w:val="both"/>
      </w:pPr>
      <w:r>
        <w:t>Before commencing work, the Humanitarian and Natural Disaster Officer must deliver to IsDB a certified self-statement of good health and take full accountability for the accuracy of that statement. The Humanitarian and Natural Disaster Officer will be responsible for any costs incurred in relation to the statement of good health.</w:t>
      </w:r>
    </w:p>
    <w:p w14:paraId="6784E220" w14:textId="77777777" w:rsidR="00BD3304" w:rsidRDefault="00000000" w:rsidP="006A00A7">
      <w:pPr>
        <w:pStyle w:val="Heading3"/>
      </w:pPr>
      <w:r>
        <w:t>Termination of Contract</w:t>
      </w:r>
    </w:p>
    <w:p w14:paraId="6FE3D0FF" w14:textId="48ED3A16" w:rsidR="00BD3304" w:rsidRDefault="00000000" w:rsidP="006A00A7">
      <w:pPr>
        <w:pStyle w:val="ListParagraph"/>
        <w:numPr>
          <w:ilvl w:val="0"/>
          <w:numId w:val="10"/>
        </w:numPr>
        <w:spacing w:after="120"/>
        <w:jc w:val="both"/>
      </w:pPr>
      <w:r>
        <w:t>Either party may terminate the contract before its specified termination date by giving notice in writing to the other party. The period of notice shall be one month. In the event of impropriety or other misconduct by the Humanitarian and Natural Disaster Officer, IsDB shall be entitled to terminate the contract without notice.</w:t>
      </w:r>
    </w:p>
    <w:p w14:paraId="11D5ABA5" w14:textId="77777777" w:rsidR="00BD3304" w:rsidRDefault="00000000" w:rsidP="006A00A7">
      <w:pPr>
        <w:pStyle w:val="Heading3"/>
      </w:pPr>
      <w:r>
        <w:lastRenderedPageBreak/>
        <w:t>Selection and Evaluation Criteria</w:t>
      </w:r>
    </w:p>
    <w:p w14:paraId="5DA23035" w14:textId="77777777" w:rsidR="006A00A7" w:rsidRDefault="006A00A7" w:rsidP="006A00A7">
      <w:pPr>
        <w:pStyle w:val="ListParagraph"/>
        <w:numPr>
          <w:ilvl w:val="0"/>
          <w:numId w:val="10"/>
        </w:numPr>
        <w:spacing w:after="120"/>
        <w:jc w:val="both"/>
      </w:pPr>
      <w:r w:rsidRPr="006A00A7">
        <w:t>To qualify for this position, applicants must be citizens of an IsDB member country.</w:t>
      </w:r>
    </w:p>
    <w:p w14:paraId="4D2686B9" w14:textId="5DDF613C" w:rsidR="00BD3304" w:rsidRDefault="00000000" w:rsidP="006A00A7">
      <w:pPr>
        <w:pStyle w:val="ListParagraph"/>
        <w:numPr>
          <w:ilvl w:val="0"/>
          <w:numId w:val="10"/>
        </w:numPr>
        <w:spacing w:after="120"/>
        <w:jc w:val="both"/>
      </w:pPr>
      <w:r>
        <w:t>The selection method for the Humanitarian and Natural Disaster Officer will be a competitive selection process.</w:t>
      </w:r>
    </w:p>
    <w:p w14:paraId="5A0B405F" w14:textId="5E32F1E2" w:rsidR="00BD3304" w:rsidRDefault="00000000" w:rsidP="006A00A7">
      <w:pPr>
        <w:pStyle w:val="ListParagraph"/>
        <w:numPr>
          <w:ilvl w:val="0"/>
          <w:numId w:val="10"/>
        </w:numPr>
        <w:spacing w:after="120"/>
        <w:jc w:val="both"/>
      </w:pPr>
      <w:r>
        <w:t>A two-stage procedure will be utilized in evaluating the candidates, with evaluation of the technical candidate including the CV and a brief proposal of two (2) pages maximum (60%) and an interview of the candidates (40%).</w:t>
      </w:r>
    </w:p>
    <w:p w14:paraId="7CB15C31" w14:textId="157B8EEC" w:rsidR="00BD3304" w:rsidRDefault="00000000" w:rsidP="006A00A7">
      <w:pPr>
        <w:pStyle w:val="ListParagraph"/>
        <w:numPr>
          <w:ilvl w:val="0"/>
          <w:numId w:val="10"/>
        </w:numPr>
        <w:spacing w:after="120"/>
        <w:jc w:val="both"/>
      </w:pPr>
      <w:r>
        <w:t>The contract will be negotiated and awarded to the candidate obtaining the highest combined score.</w:t>
      </w:r>
    </w:p>
    <w:p w14:paraId="3B2AC248" w14:textId="702C1955" w:rsidR="00BD3304" w:rsidRDefault="00000000" w:rsidP="006A00A7">
      <w:pPr>
        <w:pStyle w:val="ListParagraph"/>
        <w:numPr>
          <w:ilvl w:val="0"/>
          <w:numId w:val="10"/>
        </w:numPr>
        <w:spacing w:after="120"/>
        <w:jc w:val="both"/>
      </w:pPr>
      <w:r>
        <w:t>The CVs and technical criteria include the methodology, approach to undertake such assignment, the candidate's relevance to the assignment, experience in the related field, and key qualifications. The minimum score for technical qualification is 75.</w:t>
      </w:r>
    </w:p>
    <w:p w14:paraId="726C0F02" w14:textId="7427B356" w:rsidR="00BD3304" w:rsidRDefault="00000000" w:rsidP="006A00A7">
      <w:pPr>
        <w:pStyle w:val="ListParagraph"/>
        <w:numPr>
          <w:ilvl w:val="0"/>
          <w:numId w:val="10"/>
        </w:numPr>
        <w:spacing w:after="120"/>
        <w:jc w:val="both"/>
      </w:pPr>
      <w:r>
        <w:t>The following technical scores and evaluation criteria will be applied throughout the selection and evaluation process:</w:t>
      </w:r>
    </w:p>
    <w:tbl>
      <w:tblPr>
        <w:tblStyle w:val="TableGrid"/>
        <w:tblW w:w="0" w:type="auto"/>
        <w:jc w:val="center"/>
        <w:tblLook w:val="04A0" w:firstRow="1" w:lastRow="0" w:firstColumn="1" w:lastColumn="0" w:noHBand="0" w:noVBand="1"/>
      </w:tblPr>
      <w:tblGrid>
        <w:gridCol w:w="3041"/>
        <w:gridCol w:w="3041"/>
        <w:gridCol w:w="3041"/>
      </w:tblGrid>
      <w:tr w:rsidR="00BD3304" w14:paraId="4A815932" w14:textId="77777777">
        <w:trPr>
          <w:jc w:val="center"/>
        </w:trPr>
        <w:tc>
          <w:tcPr>
            <w:tcW w:w="3041" w:type="dxa"/>
            <w:shd w:val="clear" w:color="auto" w:fill="003366"/>
          </w:tcPr>
          <w:p w14:paraId="341BA31B" w14:textId="77777777" w:rsidR="00BD3304" w:rsidRDefault="00000000">
            <w:pPr>
              <w:jc w:val="center"/>
            </w:pPr>
            <w:r>
              <w:rPr>
                <w:b/>
                <w:color w:val="FFFFFF"/>
                <w:sz w:val="20"/>
              </w:rPr>
              <w:t>No</w:t>
            </w:r>
          </w:p>
        </w:tc>
        <w:tc>
          <w:tcPr>
            <w:tcW w:w="3041" w:type="dxa"/>
            <w:shd w:val="clear" w:color="auto" w:fill="003366"/>
          </w:tcPr>
          <w:p w14:paraId="234D20C5" w14:textId="77777777" w:rsidR="00BD3304" w:rsidRDefault="00000000">
            <w:pPr>
              <w:jc w:val="center"/>
            </w:pPr>
            <w:r>
              <w:rPr>
                <w:b/>
                <w:color w:val="FFFFFF"/>
                <w:sz w:val="20"/>
              </w:rPr>
              <w:t>Evaluation Criteria</w:t>
            </w:r>
          </w:p>
        </w:tc>
        <w:tc>
          <w:tcPr>
            <w:tcW w:w="3041" w:type="dxa"/>
            <w:shd w:val="clear" w:color="auto" w:fill="003366"/>
          </w:tcPr>
          <w:p w14:paraId="60EEF6DD" w14:textId="77777777" w:rsidR="00BD3304" w:rsidRDefault="00000000">
            <w:pPr>
              <w:jc w:val="center"/>
            </w:pPr>
            <w:r>
              <w:rPr>
                <w:b/>
                <w:color w:val="FFFFFF"/>
                <w:sz w:val="20"/>
              </w:rPr>
              <w:t>Point</w:t>
            </w:r>
          </w:p>
        </w:tc>
      </w:tr>
      <w:tr w:rsidR="00BD3304" w14:paraId="6154FCF3" w14:textId="77777777">
        <w:trPr>
          <w:jc w:val="center"/>
        </w:trPr>
        <w:tc>
          <w:tcPr>
            <w:tcW w:w="3041" w:type="dxa"/>
            <w:shd w:val="clear" w:color="auto" w:fill="EAF0F6"/>
          </w:tcPr>
          <w:p w14:paraId="5F47B5FE" w14:textId="77777777" w:rsidR="00BD3304" w:rsidRDefault="00000000">
            <w:r>
              <w:rPr>
                <w:b/>
                <w:sz w:val="20"/>
              </w:rPr>
              <w:t>1.</w:t>
            </w:r>
          </w:p>
        </w:tc>
        <w:tc>
          <w:tcPr>
            <w:tcW w:w="3041" w:type="dxa"/>
            <w:shd w:val="clear" w:color="auto" w:fill="EAF0F6"/>
          </w:tcPr>
          <w:p w14:paraId="5D1DC184" w14:textId="77777777" w:rsidR="00BD3304" w:rsidRDefault="00000000">
            <w:r>
              <w:rPr>
                <w:b/>
                <w:sz w:val="20"/>
              </w:rPr>
              <w:t>Relevance to the assignment</w:t>
            </w:r>
          </w:p>
        </w:tc>
        <w:tc>
          <w:tcPr>
            <w:tcW w:w="3041" w:type="dxa"/>
            <w:shd w:val="clear" w:color="auto" w:fill="EAF0F6"/>
          </w:tcPr>
          <w:p w14:paraId="5995C28A" w14:textId="77777777" w:rsidR="00BD3304" w:rsidRDefault="00000000">
            <w:pPr>
              <w:jc w:val="center"/>
            </w:pPr>
            <w:r>
              <w:rPr>
                <w:b/>
                <w:sz w:val="20"/>
              </w:rPr>
              <w:t>10</w:t>
            </w:r>
          </w:p>
        </w:tc>
      </w:tr>
      <w:tr w:rsidR="00BD3304" w14:paraId="220DBC56" w14:textId="77777777">
        <w:trPr>
          <w:jc w:val="center"/>
        </w:trPr>
        <w:tc>
          <w:tcPr>
            <w:tcW w:w="3041" w:type="dxa"/>
            <w:shd w:val="clear" w:color="auto" w:fill="FFFFFF"/>
          </w:tcPr>
          <w:p w14:paraId="1478E7CC" w14:textId="77777777" w:rsidR="00BD3304" w:rsidRDefault="00000000">
            <w:r>
              <w:rPr>
                <w:sz w:val="20"/>
              </w:rPr>
              <w:t>1.1</w:t>
            </w:r>
          </w:p>
        </w:tc>
        <w:tc>
          <w:tcPr>
            <w:tcW w:w="3041" w:type="dxa"/>
            <w:shd w:val="clear" w:color="auto" w:fill="FFFFFF"/>
          </w:tcPr>
          <w:p w14:paraId="7D6137B3" w14:textId="06E82AE5" w:rsidR="00BD3304" w:rsidRDefault="00000000">
            <w:r>
              <w:rPr>
                <w:sz w:val="20"/>
              </w:rPr>
              <w:t>English</w:t>
            </w:r>
            <w:r w:rsidR="006A00A7">
              <w:rPr>
                <w:sz w:val="20"/>
              </w:rPr>
              <w:t xml:space="preserve"> and Arabic</w:t>
            </w:r>
            <w:r>
              <w:rPr>
                <w:sz w:val="20"/>
              </w:rPr>
              <w:t xml:space="preserve"> proficiency</w:t>
            </w:r>
          </w:p>
        </w:tc>
        <w:tc>
          <w:tcPr>
            <w:tcW w:w="3041" w:type="dxa"/>
            <w:shd w:val="clear" w:color="auto" w:fill="FFFFFF"/>
          </w:tcPr>
          <w:p w14:paraId="15A2CFE2" w14:textId="77777777" w:rsidR="00BD3304" w:rsidRDefault="00000000">
            <w:pPr>
              <w:jc w:val="center"/>
            </w:pPr>
            <w:r>
              <w:rPr>
                <w:sz w:val="20"/>
              </w:rPr>
              <w:t>08</w:t>
            </w:r>
          </w:p>
        </w:tc>
      </w:tr>
      <w:tr w:rsidR="00BD3304" w14:paraId="5B0CCCEF" w14:textId="77777777">
        <w:trPr>
          <w:jc w:val="center"/>
        </w:trPr>
        <w:tc>
          <w:tcPr>
            <w:tcW w:w="3041" w:type="dxa"/>
            <w:shd w:val="clear" w:color="auto" w:fill="FFFFFF"/>
          </w:tcPr>
          <w:p w14:paraId="03FF01AB" w14:textId="77777777" w:rsidR="00BD3304" w:rsidRDefault="00000000">
            <w:r>
              <w:rPr>
                <w:sz w:val="20"/>
              </w:rPr>
              <w:t>1.2</w:t>
            </w:r>
          </w:p>
        </w:tc>
        <w:tc>
          <w:tcPr>
            <w:tcW w:w="3041" w:type="dxa"/>
            <w:shd w:val="clear" w:color="auto" w:fill="FFFFFF"/>
          </w:tcPr>
          <w:p w14:paraId="68EFA91A" w14:textId="77777777" w:rsidR="00BD3304" w:rsidRDefault="00000000">
            <w:r>
              <w:rPr>
                <w:sz w:val="20"/>
              </w:rPr>
              <w:t>Knowledge of another language and the constraint</w:t>
            </w:r>
          </w:p>
        </w:tc>
        <w:tc>
          <w:tcPr>
            <w:tcW w:w="3041" w:type="dxa"/>
            <w:shd w:val="clear" w:color="auto" w:fill="FFFFFF"/>
          </w:tcPr>
          <w:p w14:paraId="4D373C30" w14:textId="77777777" w:rsidR="00BD3304" w:rsidRDefault="00000000">
            <w:pPr>
              <w:jc w:val="center"/>
            </w:pPr>
            <w:r>
              <w:rPr>
                <w:sz w:val="20"/>
              </w:rPr>
              <w:t>02</w:t>
            </w:r>
          </w:p>
        </w:tc>
      </w:tr>
      <w:tr w:rsidR="00BD3304" w14:paraId="421987BE" w14:textId="77777777">
        <w:trPr>
          <w:jc w:val="center"/>
        </w:trPr>
        <w:tc>
          <w:tcPr>
            <w:tcW w:w="3041" w:type="dxa"/>
            <w:shd w:val="clear" w:color="auto" w:fill="EAF0F6"/>
          </w:tcPr>
          <w:p w14:paraId="151EE251" w14:textId="77777777" w:rsidR="00BD3304" w:rsidRDefault="00000000">
            <w:r>
              <w:rPr>
                <w:b/>
                <w:sz w:val="20"/>
              </w:rPr>
              <w:t>2.</w:t>
            </w:r>
          </w:p>
        </w:tc>
        <w:tc>
          <w:tcPr>
            <w:tcW w:w="3041" w:type="dxa"/>
            <w:shd w:val="clear" w:color="auto" w:fill="EAF0F6"/>
          </w:tcPr>
          <w:p w14:paraId="5CDCE9B5" w14:textId="77777777" w:rsidR="00BD3304" w:rsidRDefault="00000000">
            <w:r>
              <w:rPr>
                <w:b/>
                <w:sz w:val="20"/>
              </w:rPr>
              <w:t>Adequacy for the assignment</w:t>
            </w:r>
          </w:p>
        </w:tc>
        <w:tc>
          <w:tcPr>
            <w:tcW w:w="3041" w:type="dxa"/>
            <w:shd w:val="clear" w:color="auto" w:fill="EAF0F6"/>
          </w:tcPr>
          <w:p w14:paraId="21FEAC02" w14:textId="77777777" w:rsidR="00BD3304" w:rsidRDefault="00000000">
            <w:pPr>
              <w:jc w:val="center"/>
            </w:pPr>
            <w:r>
              <w:rPr>
                <w:b/>
                <w:sz w:val="20"/>
              </w:rPr>
              <w:t>40</w:t>
            </w:r>
          </w:p>
        </w:tc>
      </w:tr>
      <w:tr w:rsidR="00BD3304" w14:paraId="555D2FFA" w14:textId="77777777">
        <w:trPr>
          <w:jc w:val="center"/>
        </w:trPr>
        <w:tc>
          <w:tcPr>
            <w:tcW w:w="3041" w:type="dxa"/>
            <w:shd w:val="clear" w:color="auto" w:fill="FFFFFF"/>
          </w:tcPr>
          <w:p w14:paraId="687954A5" w14:textId="77777777" w:rsidR="00BD3304" w:rsidRDefault="00000000">
            <w:r>
              <w:rPr>
                <w:sz w:val="20"/>
              </w:rPr>
              <w:t>2.1</w:t>
            </w:r>
          </w:p>
        </w:tc>
        <w:tc>
          <w:tcPr>
            <w:tcW w:w="3041" w:type="dxa"/>
            <w:shd w:val="clear" w:color="auto" w:fill="FFFFFF"/>
          </w:tcPr>
          <w:p w14:paraId="11B128DE" w14:textId="77777777" w:rsidR="00BD3304" w:rsidRDefault="00000000">
            <w:r>
              <w:rPr>
                <w:sz w:val="20"/>
              </w:rPr>
              <w:t>Comprehension of Terms of Reference</w:t>
            </w:r>
          </w:p>
        </w:tc>
        <w:tc>
          <w:tcPr>
            <w:tcW w:w="3041" w:type="dxa"/>
            <w:shd w:val="clear" w:color="auto" w:fill="FFFFFF"/>
          </w:tcPr>
          <w:p w14:paraId="547987D7" w14:textId="77777777" w:rsidR="00BD3304" w:rsidRDefault="00000000">
            <w:pPr>
              <w:jc w:val="center"/>
            </w:pPr>
            <w:r>
              <w:rPr>
                <w:sz w:val="20"/>
              </w:rPr>
              <w:t>20</w:t>
            </w:r>
          </w:p>
        </w:tc>
      </w:tr>
      <w:tr w:rsidR="00BD3304" w14:paraId="22D6DDDE" w14:textId="77777777">
        <w:trPr>
          <w:jc w:val="center"/>
        </w:trPr>
        <w:tc>
          <w:tcPr>
            <w:tcW w:w="3041" w:type="dxa"/>
            <w:shd w:val="clear" w:color="auto" w:fill="FFFFFF"/>
          </w:tcPr>
          <w:p w14:paraId="730660BC" w14:textId="77777777" w:rsidR="00BD3304" w:rsidRDefault="00000000">
            <w:r>
              <w:rPr>
                <w:sz w:val="20"/>
              </w:rPr>
              <w:t>2.2</w:t>
            </w:r>
          </w:p>
        </w:tc>
        <w:tc>
          <w:tcPr>
            <w:tcW w:w="3041" w:type="dxa"/>
            <w:shd w:val="clear" w:color="auto" w:fill="FFFFFF"/>
          </w:tcPr>
          <w:p w14:paraId="56BA011C" w14:textId="77777777" w:rsidR="00BD3304" w:rsidRDefault="00000000">
            <w:r>
              <w:rPr>
                <w:sz w:val="20"/>
              </w:rPr>
              <w:t>Organization, methodology</w:t>
            </w:r>
          </w:p>
        </w:tc>
        <w:tc>
          <w:tcPr>
            <w:tcW w:w="3041" w:type="dxa"/>
            <w:shd w:val="clear" w:color="auto" w:fill="FFFFFF"/>
          </w:tcPr>
          <w:p w14:paraId="38C96FE8" w14:textId="77777777" w:rsidR="00BD3304" w:rsidRDefault="00000000">
            <w:pPr>
              <w:jc w:val="center"/>
            </w:pPr>
            <w:r>
              <w:rPr>
                <w:sz w:val="20"/>
              </w:rPr>
              <w:t>20</w:t>
            </w:r>
          </w:p>
        </w:tc>
      </w:tr>
      <w:tr w:rsidR="00BD3304" w14:paraId="00BA6C2E" w14:textId="77777777">
        <w:trPr>
          <w:jc w:val="center"/>
        </w:trPr>
        <w:tc>
          <w:tcPr>
            <w:tcW w:w="3041" w:type="dxa"/>
            <w:shd w:val="clear" w:color="auto" w:fill="EAF0F6"/>
          </w:tcPr>
          <w:p w14:paraId="280A452C" w14:textId="77777777" w:rsidR="00BD3304" w:rsidRDefault="00000000">
            <w:r>
              <w:rPr>
                <w:b/>
                <w:sz w:val="20"/>
              </w:rPr>
              <w:t>3.</w:t>
            </w:r>
          </w:p>
        </w:tc>
        <w:tc>
          <w:tcPr>
            <w:tcW w:w="3041" w:type="dxa"/>
            <w:shd w:val="clear" w:color="auto" w:fill="EAF0F6"/>
          </w:tcPr>
          <w:p w14:paraId="2D0C7351" w14:textId="77777777" w:rsidR="00BD3304" w:rsidRDefault="00000000">
            <w:r>
              <w:rPr>
                <w:b/>
                <w:sz w:val="20"/>
              </w:rPr>
              <w:t>Qualifications and Competencies of the consultant in the assignment</w:t>
            </w:r>
          </w:p>
        </w:tc>
        <w:tc>
          <w:tcPr>
            <w:tcW w:w="3041" w:type="dxa"/>
            <w:shd w:val="clear" w:color="auto" w:fill="EAF0F6"/>
          </w:tcPr>
          <w:p w14:paraId="51B0A518" w14:textId="77777777" w:rsidR="00BD3304" w:rsidRDefault="00000000">
            <w:pPr>
              <w:jc w:val="center"/>
            </w:pPr>
            <w:r>
              <w:rPr>
                <w:b/>
                <w:sz w:val="20"/>
              </w:rPr>
              <w:t>50</w:t>
            </w:r>
          </w:p>
        </w:tc>
      </w:tr>
      <w:tr w:rsidR="00BD3304" w14:paraId="53E81B07" w14:textId="77777777">
        <w:trPr>
          <w:jc w:val="center"/>
        </w:trPr>
        <w:tc>
          <w:tcPr>
            <w:tcW w:w="3041" w:type="dxa"/>
            <w:shd w:val="clear" w:color="auto" w:fill="FFFFFF"/>
          </w:tcPr>
          <w:p w14:paraId="0AD4C7C1" w14:textId="77777777" w:rsidR="00BD3304" w:rsidRDefault="00000000">
            <w:r>
              <w:rPr>
                <w:sz w:val="20"/>
              </w:rPr>
              <w:t>3.1</w:t>
            </w:r>
          </w:p>
        </w:tc>
        <w:tc>
          <w:tcPr>
            <w:tcW w:w="3041" w:type="dxa"/>
            <w:shd w:val="clear" w:color="auto" w:fill="FFFFFF"/>
          </w:tcPr>
          <w:p w14:paraId="1FFFDC95" w14:textId="77777777" w:rsidR="00BD3304" w:rsidRDefault="00000000">
            <w:r>
              <w:rPr>
                <w:sz w:val="20"/>
              </w:rPr>
              <w:t>General qualifications (academic profile, years of experience)</w:t>
            </w:r>
          </w:p>
        </w:tc>
        <w:tc>
          <w:tcPr>
            <w:tcW w:w="3041" w:type="dxa"/>
            <w:shd w:val="clear" w:color="auto" w:fill="FFFFFF"/>
          </w:tcPr>
          <w:p w14:paraId="35BDF837" w14:textId="77777777" w:rsidR="00BD3304" w:rsidRDefault="00000000">
            <w:pPr>
              <w:jc w:val="center"/>
            </w:pPr>
            <w:r>
              <w:rPr>
                <w:sz w:val="20"/>
              </w:rPr>
              <w:t>25</w:t>
            </w:r>
          </w:p>
        </w:tc>
      </w:tr>
      <w:tr w:rsidR="00BD3304" w14:paraId="2E613A26" w14:textId="77777777">
        <w:trPr>
          <w:jc w:val="center"/>
        </w:trPr>
        <w:tc>
          <w:tcPr>
            <w:tcW w:w="3041" w:type="dxa"/>
            <w:shd w:val="clear" w:color="auto" w:fill="FFFFFF"/>
          </w:tcPr>
          <w:p w14:paraId="0A61B0D1" w14:textId="77777777" w:rsidR="00BD3304" w:rsidRDefault="00000000">
            <w:r>
              <w:rPr>
                <w:sz w:val="20"/>
              </w:rPr>
              <w:t>3.2</w:t>
            </w:r>
          </w:p>
        </w:tc>
        <w:tc>
          <w:tcPr>
            <w:tcW w:w="3041" w:type="dxa"/>
            <w:shd w:val="clear" w:color="auto" w:fill="FFFFFF"/>
          </w:tcPr>
          <w:p w14:paraId="60C8EA29" w14:textId="77777777" w:rsidR="00BD3304" w:rsidRDefault="00000000">
            <w:r>
              <w:rPr>
                <w:sz w:val="20"/>
              </w:rPr>
              <w:t>Similar experience with development program</w:t>
            </w:r>
          </w:p>
        </w:tc>
        <w:tc>
          <w:tcPr>
            <w:tcW w:w="3041" w:type="dxa"/>
            <w:shd w:val="clear" w:color="auto" w:fill="FFFFFF"/>
          </w:tcPr>
          <w:p w14:paraId="16CC157E" w14:textId="77777777" w:rsidR="00BD3304" w:rsidRDefault="00000000">
            <w:pPr>
              <w:jc w:val="center"/>
            </w:pPr>
            <w:r>
              <w:rPr>
                <w:sz w:val="20"/>
              </w:rPr>
              <w:t>25</w:t>
            </w:r>
          </w:p>
        </w:tc>
      </w:tr>
      <w:tr w:rsidR="00BD3304" w14:paraId="5B311822" w14:textId="77777777">
        <w:trPr>
          <w:jc w:val="center"/>
        </w:trPr>
        <w:tc>
          <w:tcPr>
            <w:tcW w:w="3041" w:type="dxa"/>
            <w:shd w:val="clear" w:color="auto" w:fill="EAF0F6"/>
          </w:tcPr>
          <w:p w14:paraId="63008032" w14:textId="77777777" w:rsidR="00BD3304" w:rsidRDefault="00BD3304"/>
        </w:tc>
        <w:tc>
          <w:tcPr>
            <w:tcW w:w="3041" w:type="dxa"/>
            <w:shd w:val="clear" w:color="auto" w:fill="EAF0F6"/>
          </w:tcPr>
          <w:p w14:paraId="2542E771" w14:textId="77777777" w:rsidR="00BD3304" w:rsidRDefault="00000000">
            <w:r>
              <w:rPr>
                <w:b/>
                <w:sz w:val="20"/>
              </w:rPr>
              <w:t>TOTAL</w:t>
            </w:r>
          </w:p>
        </w:tc>
        <w:tc>
          <w:tcPr>
            <w:tcW w:w="3041" w:type="dxa"/>
            <w:shd w:val="clear" w:color="auto" w:fill="EAF0F6"/>
          </w:tcPr>
          <w:p w14:paraId="12B59566" w14:textId="77777777" w:rsidR="00BD3304" w:rsidRDefault="00000000">
            <w:pPr>
              <w:jc w:val="center"/>
            </w:pPr>
            <w:r>
              <w:rPr>
                <w:b/>
                <w:sz w:val="20"/>
              </w:rPr>
              <w:t>100</w:t>
            </w:r>
          </w:p>
        </w:tc>
      </w:tr>
    </w:tbl>
    <w:p w14:paraId="5EDC5C87" w14:textId="77777777" w:rsidR="00BD3304" w:rsidRDefault="00000000" w:rsidP="006A00A7">
      <w:pPr>
        <w:pStyle w:val="Heading3"/>
      </w:pPr>
      <w:r>
        <w:t>Proposal Requirements</w:t>
      </w:r>
    </w:p>
    <w:p w14:paraId="46D680A8" w14:textId="77777777" w:rsidR="00BD3304" w:rsidRDefault="00000000" w:rsidP="006A00A7">
      <w:pPr>
        <w:pStyle w:val="Heading3"/>
      </w:pPr>
      <w:r>
        <w:t>Submission of Proposal</w:t>
      </w:r>
    </w:p>
    <w:p w14:paraId="2E12902A" w14:textId="3C0AE87B" w:rsidR="00BD3304" w:rsidRDefault="00000000" w:rsidP="006A00A7">
      <w:pPr>
        <w:pStyle w:val="ListParagraph"/>
        <w:numPr>
          <w:ilvl w:val="0"/>
          <w:numId w:val="10"/>
        </w:numPr>
        <w:spacing w:after="120"/>
        <w:jc w:val="both"/>
      </w:pPr>
      <w:r>
        <w:t>IsDB accepts CVs and brief Technical Proposals (2 pages maximum) delivered through e-mail in PDF format. Proposals should be sent to: 3R-Facility@isdb.org and M.alhadi@isdb.org.</w:t>
      </w:r>
    </w:p>
    <w:p w14:paraId="19315AA6" w14:textId="4520A2EF" w:rsidR="00BD3304" w:rsidRDefault="00000000" w:rsidP="006A00A7">
      <w:pPr>
        <w:pStyle w:val="ListParagraph"/>
        <w:numPr>
          <w:ilvl w:val="0"/>
          <w:numId w:val="10"/>
        </w:numPr>
        <w:spacing w:after="120"/>
        <w:jc w:val="both"/>
      </w:pPr>
      <w:r>
        <w:t>The email subject should clearly indicate: "Proposal for Humanitarian and Natural Disaster Officer — 3R Facility." Proposals submitted after the deadline stated in the letter of invitation will not be accepted. Candidates are encouraged to submit their proposals as early as possible.</w:t>
      </w:r>
    </w:p>
    <w:sectPr w:rsidR="00BD3304" w:rsidSect="00034616">
      <w:headerReference w:type="even" r:id="rId9"/>
      <w:headerReference w:type="default" r:id="rId10"/>
      <w:headerReference w:type="first" r:id="rId11"/>
      <w:pgSz w:w="12240" w:h="15840"/>
      <w:pgMar w:top="1417" w:right="1417"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F2C0" w14:textId="77777777" w:rsidR="000F4050" w:rsidRDefault="000F4050" w:rsidP="006A00A7">
      <w:pPr>
        <w:spacing w:after="0" w:line="240" w:lineRule="auto"/>
      </w:pPr>
      <w:r>
        <w:separator/>
      </w:r>
    </w:p>
  </w:endnote>
  <w:endnote w:type="continuationSeparator" w:id="0">
    <w:p w14:paraId="3B3BC9D2" w14:textId="77777777" w:rsidR="000F4050" w:rsidRDefault="000F4050" w:rsidP="006A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8FFCC" w14:textId="77777777" w:rsidR="000F4050" w:rsidRDefault="000F4050" w:rsidP="006A00A7">
      <w:pPr>
        <w:spacing w:after="0" w:line="240" w:lineRule="auto"/>
      </w:pPr>
      <w:r>
        <w:separator/>
      </w:r>
    </w:p>
  </w:footnote>
  <w:footnote w:type="continuationSeparator" w:id="0">
    <w:p w14:paraId="37D15D80" w14:textId="77777777" w:rsidR="000F4050" w:rsidRDefault="000F4050" w:rsidP="006A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0D1C" w14:textId="75486515" w:rsidR="006A00A7" w:rsidRDefault="006A00A7">
    <w:pPr>
      <w:pStyle w:val="Header"/>
    </w:pPr>
    <w:r>
      <w:rPr>
        <w:noProof/>
      </w:rPr>
      <mc:AlternateContent>
        <mc:Choice Requires="wps">
          <w:drawing>
            <wp:anchor distT="0" distB="0" distL="0" distR="0" simplePos="0" relativeHeight="251659264" behindDoc="0" locked="0" layoutInCell="1" allowOverlap="1" wp14:anchorId="755ACEF6" wp14:editId="56517440">
              <wp:simplePos x="635" y="635"/>
              <wp:positionH relativeFrom="page">
                <wp:align>left</wp:align>
              </wp:positionH>
              <wp:positionV relativeFrom="page">
                <wp:align>top</wp:align>
              </wp:positionV>
              <wp:extent cx="793750" cy="368935"/>
              <wp:effectExtent l="0" t="0" r="6350" b="12065"/>
              <wp:wrapNone/>
              <wp:docPr id="205956553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289BA420" w14:textId="75F41A24" w:rsidR="006A00A7" w:rsidRPr="006A00A7" w:rsidRDefault="006A00A7" w:rsidP="006A00A7">
                          <w:pPr>
                            <w:spacing w:after="0"/>
                            <w:rPr>
                              <w:rFonts w:ascii="Aptos" w:eastAsia="Aptos" w:hAnsi="Aptos" w:cs="Aptos"/>
                              <w:noProof/>
                              <w:color w:val="000000"/>
                              <w:sz w:val="20"/>
                              <w:szCs w:val="20"/>
                            </w:rPr>
                          </w:pPr>
                          <w:r w:rsidRPr="006A00A7">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5ACEF6" id="_x0000_t202" coordsize="21600,21600" o:spt="202" path="m,l,21600r21600,l21600,xe">
              <v:stroke joinstyle="miter"/>
              <v:path gradientshapeok="t" o:connecttype="rect"/>
            </v:shapetype>
            <v:shape id="Text Box 3" o:spid="_x0000_s1026" type="#_x0000_t202" alt="Protected" style="position:absolute;margin-left:0;margin-top:0;width:62.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G9DgIAABo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" filled="f" stroked="f">
              <v:fill o:detectmouseclick="t"/>
              <v:textbox style="mso-fit-shape-to-text:t" inset="20pt,15pt,0,0">
                <w:txbxContent>
                  <w:p w14:paraId="289BA420" w14:textId="75F41A24" w:rsidR="006A00A7" w:rsidRPr="006A00A7" w:rsidRDefault="006A00A7" w:rsidP="006A00A7">
                    <w:pPr>
                      <w:spacing w:after="0"/>
                      <w:rPr>
                        <w:rFonts w:ascii="Aptos" w:eastAsia="Aptos" w:hAnsi="Aptos" w:cs="Aptos"/>
                        <w:noProof/>
                        <w:color w:val="000000"/>
                        <w:sz w:val="20"/>
                        <w:szCs w:val="20"/>
                      </w:rPr>
                    </w:pPr>
                    <w:r w:rsidRPr="006A00A7">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63D7" w14:textId="3A64B2BD" w:rsidR="006A00A7" w:rsidRDefault="006A00A7">
    <w:pPr>
      <w:pStyle w:val="Header"/>
    </w:pPr>
    <w:r>
      <w:rPr>
        <w:noProof/>
      </w:rPr>
      <mc:AlternateContent>
        <mc:Choice Requires="wps">
          <w:drawing>
            <wp:anchor distT="0" distB="0" distL="0" distR="0" simplePos="0" relativeHeight="251660288" behindDoc="0" locked="0" layoutInCell="1" allowOverlap="1" wp14:anchorId="4429BE86" wp14:editId="6784D392">
              <wp:simplePos x="1076325" y="457200"/>
              <wp:positionH relativeFrom="page">
                <wp:align>left</wp:align>
              </wp:positionH>
              <wp:positionV relativeFrom="page">
                <wp:align>top</wp:align>
              </wp:positionV>
              <wp:extent cx="793750" cy="368935"/>
              <wp:effectExtent l="0" t="0" r="6350" b="12065"/>
              <wp:wrapNone/>
              <wp:docPr id="704230436"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06AE2B38" w14:textId="62BCB71E" w:rsidR="006A00A7" w:rsidRPr="006A00A7" w:rsidRDefault="006A00A7" w:rsidP="006A00A7">
                          <w:pPr>
                            <w:spacing w:after="0"/>
                            <w:rPr>
                              <w:rFonts w:ascii="Aptos" w:eastAsia="Aptos" w:hAnsi="Aptos" w:cs="Aptos"/>
                              <w:noProof/>
                              <w:color w:val="000000"/>
                              <w:sz w:val="20"/>
                              <w:szCs w:val="20"/>
                            </w:rPr>
                          </w:pPr>
                          <w:r w:rsidRPr="006A00A7">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29BE86" id="_x0000_t202" coordsize="21600,21600" o:spt="202" path="m,l,21600r21600,l21600,xe">
              <v:stroke joinstyle="miter"/>
              <v:path gradientshapeok="t" o:connecttype="rect"/>
            </v:shapetype>
            <v:shape id="Text Box 4" o:spid="_x0000_s1027" type="#_x0000_t202" alt="Protected" style="position:absolute;margin-left:0;margin-top:0;width:62.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4aEQIAACE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" filled="f" stroked="f">
              <v:fill o:detectmouseclick="t"/>
              <v:textbox style="mso-fit-shape-to-text:t" inset="20pt,15pt,0,0">
                <w:txbxContent>
                  <w:p w14:paraId="06AE2B38" w14:textId="62BCB71E" w:rsidR="006A00A7" w:rsidRPr="006A00A7" w:rsidRDefault="006A00A7" w:rsidP="006A00A7">
                    <w:pPr>
                      <w:spacing w:after="0"/>
                      <w:rPr>
                        <w:rFonts w:ascii="Aptos" w:eastAsia="Aptos" w:hAnsi="Aptos" w:cs="Aptos"/>
                        <w:noProof/>
                        <w:color w:val="000000"/>
                        <w:sz w:val="20"/>
                        <w:szCs w:val="20"/>
                      </w:rPr>
                    </w:pPr>
                    <w:r w:rsidRPr="006A00A7">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DF3A" w14:textId="2E71F787" w:rsidR="006A00A7" w:rsidRDefault="006A00A7">
    <w:pPr>
      <w:pStyle w:val="Header"/>
    </w:pPr>
    <w:r>
      <w:rPr>
        <w:noProof/>
      </w:rPr>
      <mc:AlternateContent>
        <mc:Choice Requires="wps">
          <w:drawing>
            <wp:anchor distT="0" distB="0" distL="0" distR="0" simplePos="0" relativeHeight="251658240" behindDoc="0" locked="0" layoutInCell="1" allowOverlap="1" wp14:anchorId="6531B881" wp14:editId="5C009A9D">
              <wp:simplePos x="635" y="635"/>
              <wp:positionH relativeFrom="page">
                <wp:align>left</wp:align>
              </wp:positionH>
              <wp:positionV relativeFrom="page">
                <wp:align>top</wp:align>
              </wp:positionV>
              <wp:extent cx="793750" cy="368935"/>
              <wp:effectExtent l="0" t="0" r="6350" b="12065"/>
              <wp:wrapNone/>
              <wp:docPr id="165238106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24D31BC1" w14:textId="51DC7914" w:rsidR="006A00A7" w:rsidRPr="006A00A7" w:rsidRDefault="006A00A7" w:rsidP="006A00A7">
                          <w:pPr>
                            <w:spacing w:after="0"/>
                            <w:rPr>
                              <w:rFonts w:ascii="Aptos" w:eastAsia="Aptos" w:hAnsi="Aptos" w:cs="Aptos"/>
                              <w:noProof/>
                              <w:color w:val="000000"/>
                              <w:sz w:val="20"/>
                              <w:szCs w:val="20"/>
                            </w:rPr>
                          </w:pPr>
                          <w:r w:rsidRPr="006A00A7">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31B881" id="_x0000_t202" coordsize="21600,21600" o:spt="202" path="m,l,21600r21600,l21600,xe">
              <v:stroke joinstyle="miter"/>
              <v:path gradientshapeok="t" o:connecttype="rect"/>
            </v:shapetype>
            <v:shape id="Text Box 2" o:spid="_x0000_s1028" type="#_x0000_t202" alt="Protected" style="position:absolute;margin-left:0;margin-top:0;width:62.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1YEgIAACE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" filled="f" stroked="f">
              <v:fill o:detectmouseclick="t"/>
              <v:textbox style="mso-fit-shape-to-text:t" inset="20pt,15pt,0,0">
                <w:txbxContent>
                  <w:p w14:paraId="24D31BC1" w14:textId="51DC7914" w:rsidR="006A00A7" w:rsidRPr="006A00A7" w:rsidRDefault="006A00A7" w:rsidP="006A00A7">
                    <w:pPr>
                      <w:spacing w:after="0"/>
                      <w:rPr>
                        <w:rFonts w:ascii="Aptos" w:eastAsia="Aptos" w:hAnsi="Aptos" w:cs="Aptos"/>
                        <w:noProof/>
                        <w:color w:val="000000"/>
                        <w:sz w:val="20"/>
                        <w:szCs w:val="20"/>
                      </w:rPr>
                    </w:pPr>
                    <w:r w:rsidRPr="006A00A7">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D2E5F20"/>
    <w:multiLevelType w:val="hybridMultilevel"/>
    <w:tmpl w:val="43E4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852B94"/>
    <w:multiLevelType w:val="hybridMultilevel"/>
    <w:tmpl w:val="F16C3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3A71A1"/>
    <w:multiLevelType w:val="hybridMultilevel"/>
    <w:tmpl w:val="DB68C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0616254">
    <w:abstractNumId w:val="8"/>
  </w:num>
  <w:num w:numId="2" w16cid:durableId="1494685199">
    <w:abstractNumId w:val="6"/>
  </w:num>
  <w:num w:numId="3" w16cid:durableId="1612936244">
    <w:abstractNumId w:val="5"/>
  </w:num>
  <w:num w:numId="4" w16cid:durableId="464278817">
    <w:abstractNumId w:val="4"/>
  </w:num>
  <w:num w:numId="5" w16cid:durableId="743144395">
    <w:abstractNumId w:val="7"/>
  </w:num>
  <w:num w:numId="6" w16cid:durableId="549079642">
    <w:abstractNumId w:val="3"/>
  </w:num>
  <w:num w:numId="7" w16cid:durableId="974525912">
    <w:abstractNumId w:val="2"/>
  </w:num>
  <w:num w:numId="8" w16cid:durableId="309527469">
    <w:abstractNumId w:val="1"/>
  </w:num>
  <w:num w:numId="9" w16cid:durableId="1880898149">
    <w:abstractNumId w:val="0"/>
  </w:num>
  <w:num w:numId="10" w16cid:durableId="1167674175">
    <w:abstractNumId w:val="10"/>
  </w:num>
  <w:num w:numId="11" w16cid:durableId="785392521">
    <w:abstractNumId w:val="11"/>
  </w:num>
  <w:num w:numId="12" w16cid:durableId="1582720183">
    <w:abstractNumId w:val="8"/>
  </w:num>
  <w:num w:numId="13" w16cid:durableId="1634948782">
    <w:abstractNumId w:val="8"/>
  </w:num>
  <w:num w:numId="14" w16cid:durableId="1460297263">
    <w:abstractNumId w:val="8"/>
  </w:num>
  <w:num w:numId="15" w16cid:durableId="1822770392">
    <w:abstractNumId w:val="8"/>
  </w:num>
  <w:num w:numId="16" w16cid:durableId="1254162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4050"/>
    <w:rsid w:val="0015074B"/>
    <w:rsid w:val="0029639D"/>
    <w:rsid w:val="00326F90"/>
    <w:rsid w:val="00691EB6"/>
    <w:rsid w:val="006A00A7"/>
    <w:rsid w:val="00AA1D8D"/>
    <w:rsid w:val="00B47730"/>
    <w:rsid w:val="00BD330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8FDED"/>
  <w14:defaultImageDpi w14:val="300"/>
  <w15:docId w15:val="{D2322D25-D98F-48F7-B968-A3F36C2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cs="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6A00A7"/>
    <w:pPr>
      <w:keepNext/>
      <w:keepLines/>
      <w:spacing w:before="200" w:after="0"/>
      <w:outlineLvl w:val="1"/>
    </w:pPr>
    <w:rPr>
      <w:rFonts w:ascii="Calibri" w:eastAsia="Calibri" w:hAnsi="Calibri" w:cs="Calibri"/>
      <w:b/>
      <w:bCs/>
      <w:color w:val="003366"/>
      <w:sz w:val="26"/>
      <w:szCs w:val="26"/>
    </w:rPr>
  </w:style>
  <w:style w:type="paragraph" w:styleId="Heading3">
    <w:name w:val="heading 3"/>
    <w:next w:val="Normal"/>
    <w:link w:val="Heading3Char"/>
    <w:uiPriority w:val="9"/>
    <w:unhideWhenUsed/>
    <w:qFormat/>
    <w:rsid w:val="006A00A7"/>
    <w:pPr>
      <w:keepNext/>
      <w:keepLines/>
      <w:spacing w:before="200" w:after="0"/>
      <w:outlineLvl w:val="2"/>
    </w:pPr>
    <w:rPr>
      <w:rFonts w:ascii="Calibri" w:eastAsia="Calibri" w:hAnsi="Calibri" w:cs="Calibri"/>
      <w:b/>
      <w:bCs/>
      <w:color w:val="003366"/>
      <w:sz w:val="24"/>
    </w:rPr>
  </w:style>
  <w:style w:type="paragraph" w:styleId="Heading4">
    <w:name w:val="heading 4"/>
    <w:next w:val="Normal"/>
    <w:link w:val="Heading4Char"/>
    <w:uiPriority w:val="9"/>
    <w:unhideWhenUsed/>
    <w:qFormat/>
    <w:rsid w:val="006A00A7"/>
    <w:pPr>
      <w:spacing w:before="160" w:after="80"/>
      <w:outlineLvl w:val="3"/>
    </w:pPr>
    <w:rPr>
      <w:rFonts w:ascii="Calibri" w:eastAsia="Calibri" w:hAnsi="Calibri" w:cs="Calibri"/>
      <w:b/>
      <w:color w:val="003366"/>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00A7"/>
    <w:rPr>
      <w:rFonts w:ascii="Calibri" w:eastAsia="Calibri" w:hAnsi="Calibri" w:cs="Calibri"/>
      <w:b/>
      <w:bCs/>
      <w:color w:val="003366"/>
      <w:sz w:val="26"/>
      <w:szCs w:val="26"/>
    </w:rPr>
  </w:style>
  <w:style w:type="character" w:customStyle="1" w:styleId="Heading3Char">
    <w:name w:val="Heading 3 Char"/>
    <w:basedOn w:val="DefaultParagraphFont"/>
    <w:link w:val="Heading3"/>
    <w:uiPriority w:val="9"/>
    <w:rsid w:val="006A00A7"/>
    <w:rPr>
      <w:rFonts w:ascii="Calibri" w:eastAsia="Calibri" w:hAnsi="Calibri" w:cs="Calibri"/>
      <w:b/>
      <w:bCs/>
      <w:color w:val="003366"/>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6A00A7"/>
    <w:rPr>
      <w:rFonts w:ascii="Calibri" w:eastAsia="Calibri" w:hAnsi="Calibri" w:cs="Calibri"/>
      <w:b/>
      <w:color w:val="003366"/>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2144</Words>
  <Characters>13381</Characters>
  <Application>Microsoft Office Word</Application>
  <DocSecurity>0</DocSecurity>
  <Lines>267</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Mohamed Al Amin Al Hadi</cp:lastModifiedBy>
  <cp:revision>2</cp:revision>
  <dcterms:created xsi:type="dcterms:W3CDTF">2013-12-23T23:15:00Z</dcterms:created>
  <dcterms:modified xsi:type="dcterms:W3CDTF">2026-05-21T10:21:00Z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627d558b,7ac279dd,29f9b424</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2026-05-21T10:21:11Z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4f4e2a42-a5dc-44f9-aa72-e62256240069</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