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9CD3E" w14:textId="77777777" w:rsidR="00363269" w:rsidRPr="002C5E91" w:rsidRDefault="00000000">
      <w:pPr>
        <w:spacing w:after="60"/>
        <w:jc w:val="center"/>
        <w:rPr>
          <w:rFonts w:asciiTheme="minorBidi" w:hAnsiTheme="minorBidi" w:cstheme="minorBidi"/>
          <w:sz w:val="26"/>
          <w:szCs w:val="26"/>
        </w:rPr>
      </w:pPr>
      <w:r w:rsidRPr="002C5E91">
        <w:rPr>
          <w:rFonts w:asciiTheme="minorBidi" w:eastAsia="Arial" w:hAnsiTheme="minorBidi" w:cstheme="minorBidi"/>
          <w:b/>
          <w:bCs/>
          <w:color w:val="1F3864"/>
          <w:sz w:val="26"/>
          <w:szCs w:val="26"/>
        </w:rPr>
        <w:t>RÉPUBLIQUE ISLAMIQUE DE MAURITANIE</w:t>
      </w:r>
    </w:p>
    <w:p w14:paraId="58E3ADB2" w14:textId="77777777" w:rsidR="00363269" w:rsidRPr="002C5E91" w:rsidRDefault="00000000">
      <w:pPr>
        <w:spacing w:after="60"/>
        <w:jc w:val="center"/>
        <w:rPr>
          <w:rFonts w:asciiTheme="minorBidi" w:hAnsiTheme="minorBidi" w:cstheme="minorBidi"/>
          <w:sz w:val="26"/>
          <w:szCs w:val="26"/>
        </w:rPr>
      </w:pPr>
      <w:r w:rsidRPr="002C5E91">
        <w:rPr>
          <w:rFonts w:asciiTheme="minorBidi" w:eastAsia="Arial" w:hAnsiTheme="minorBidi" w:cstheme="minorBidi"/>
          <w:sz w:val="26"/>
          <w:szCs w:val="26"/>
        </w:rPr>
        <w:t>Ministère de la Santé</w:t>
      </w:r>
    </w:p>
    <w:p w14:paraId="318B79BB" w14:textId="77777777" w:rsidR="00363269" w:rsidRPr="002C5E91" w:rsidRDefault="00000000">
      <w:pPr>
        <w:spacing w:after="60"/>
        <w:jc w:val="center"/>
        <w:rPr>
          <w:rFonts w:asciiTheme="minorBidi" w:hAnsiTheme="minorBidi" w:cstheme="minorBidi"/>
          <w:sz w:val="26"/>
          <w:szCs w:val="26"/>
        </w:rPr>
      </w:pPr>
      <w:r w:rsidRPr="002C5E91">
        <w:rPr>
          <w:rFonts w:asciiTheme="minorBidi" w:eastAsia="Arial" w:hAnsiTheme="minorBidi" w:cstheme="minorBidi"/>
          <w:b/>
          <w:bCs/>
          <w:sz w:val="26"/>
          <w:szCs w:val="26"/>
        </w:rPr>
        <w:t>Centre National de Cardiologie (CNC) — Unité de Gestion du Projet (UGP)</w:t>
      </w:r>
    </w:p>
    <w:p w14:paraId="4EC9BC45" w14:textId="77777777" w:rsidR="00363269" w:rsidRPr="002C5E91" w:rsidRDefault="00000000">
      <w:pPr>
        <w:pBdr>
          <w:bottom w:val="single" w:sz="12" w:space="8" w:color="B7950B"/>
        </w:pBdr>
        <w:spacing w:after="300"/>
        <w:jc w:val="center"/>
        <w:rPr>
          <w:rFonts w:asciiTheme="minorBidi" w:hAnsiTheme="minorBidi" w:cstheme="minorBidi"/>
          <w:sz w:val="26"/>
          <w:szCs w:val="26"/>
        </w:rPr>
      </w:pPr>
      <w:r w:rsidRPr="002C5E91">
        <w:rPr>
          <w:rFonts w:asciiTheme="minorBidi" w:eastAsia="Arial" w:hAnsiTheme="minorBidi" w:cstheme="minorBidi"/>
          <w:i/>
          <w:iCs/>
          <w:color w:val="1B5E20"/>
          <w:sz w:val="26"/>
          <w:szCs w:val="26"/>
        </w:rPr>
        <w:t>Financement : Banque Islamique de Développement (BID)</w:t>
      </w:r>
    </w:p>
    <w:p w14:paraId="2C488BE5" w14:textId="77777777" w:rsidR="00363269" w:rsidRPr="002C5E91" w:rsidRDefault="00000000">
      <w:pPr>
        <w:spacing w:before="200" w:after="60"/>
        <w:jc w:val="center"/>
        <w:rPr>
          <w:rFonts w:asciiTheme="minorBidi" w:hAnsiTheme="minorBidi" w:cstheme="minorBidi"/>
          <w:sz w:val="26"/>
          <w:szCs w:val="26"/>
        </w:rPr>
      </w:pPr>
      <w:r w:rsidRPr="002C5E91">
        <w:rPr>
          <w:rFonts w:asciiTheme="minorBidi" w:eastAsia="Arial" w:hAnsiTheme="minorBidi" w:cstheme="minorBidi"/>
          <w:b/>
          <w:bCs/>
          <w:color w:val="1F3864"/>
          <w:sz w:val="26"/>
          <w:szCs w:val="26"/>
        </w:rPr>
        <w:t>AVIS GÉNÉRAL DE PASSATION DES MARCHÉS</w:t>
      </w:r>
    </w:p>
    <w:p w14:paraId="762B8816" w14:textId="77777777" w:rsidR="00363269" w:rsidRPr="002C5E91" w:rsidRDefault="00000000">
      <w:pPr>
        <w:spacing w:after="60"/>
        <w:jc w:val="center"/>
        <w:rPr>
          <w:rFonts w:asciiTheme="minorBidi" w:hAnsiTheme="minorBidi" w:cstheme="minorBidi"/>
          <w:sz w:val="26"/>
          <w:szCs w:val="26"/>
        </w:rPr>
      </w:pPr>
      <w:r w:rsidRPr="002C5E91">
        <w:rPr>
          <w:rFonts w:asciiTheme="minorBidi" w:eastAsia="Arial" w:hAnsiTheme="minorBidi" w:cstheme="minorBidi"/>
          <w:b/>
          <w:bCs/>
          <w:color w:val="1F3864"/>
          <w:sz w:val="26"/>
          <w:szCs w:val="26"/>
        </w:rPr>
        <w:t>(AGPM)</w:t>
      </w:r>
    </w:p>
    <w:p w14:paraId="7F10A129" w14:textId="77777777" w:rsidR="00363269" w:rsidRPr="002C5E91" w:rsidRDefault="00000000">
      <w:pPr>
        <w:spacing w:after="60"/>
        <w:jc w:val="center"/>
        <w:rPr>
          <w:rFonts w:asciiTheme="minorBidi" w:hAnsiTheme="minorBidi" w:cstheme="minorBidi"/>
          <w:sz w:val="26"/>
          <w:szCs w:val="26"/>
        </w:rPr>
      </w:pPr>
      <w:r w:rsidRPr="002C5E91">
        <w:rPr>
          <w:rFonts w:asciiTheme="minorBidi" w:eastAsia="Arial" w:hAnsiTheme="minorBidi" w:cstheme="minorBidi"/>
          <w:b/>
          <w:bCs/>
          <w:sz w:val="26"/>
          <w:szCs w:val="26"/>
        </w:rPr>
        <w:t>Mauritanie</w:t>
      </w:r>
    </w:p>
    <w:p w14:paraId="3C0394C3" w14:textId="77777777" w:rsidR="00363269" w:rsidRPr="002C5E91" w:rsidRDefault="00000000">
      <w:pPr>
        <w:spacing w:after="60"/>
        <w:jc w:val="center"/>
        <w:rPr>
          <w:rFonts w:asciiTheme="minorBidi" w:hAnsiTheme="minorBidi" w:cstheme="minorBidi"/>
          <w:sz w:val="26"/>
          <w:szCs w:val="26"/>
        </w:rPr>
      </w:pPr>
      <w:r w:rsidRPr="002C5E91">
        <w:rPr>
          <w:rFonts w:asciiTheme="minorBidi" w:eastAsia="Arial" w:hAnsiTheme="minorBidi" w:cstheme="minorBidi"/>
          <w:b/>
          <w:bCs/>
          <w:sz w:val="26"/>
          <w:szCs w:val="26"/>
        </w:rPr>
        <w:t>Projet d'Extension du Centre National de Cardiologie à Nouakchott</w:t>
      </w:r>
    </w:p>
    <w:p w14:paraId="706EC1D9" w14:textId="1735A78A" w:rsidR="00363269" w:rsidRPr="002C5E91" w:rsidRDefault="00000000">
      <w:pPr>
        <w:spacing w:after="300"/>
        <w:jc w:val="center"/>
        <w:rPr>
          <w:rFonts w:asciiTheme="minorBidi" w:hAnsiTheme="minorBidi" w:cstheme="minorBidi"/>
          <w:b/>
          <w:bCs/>
          <w:sz w:val="26"/>
          <w:szCs w:val="26"/>
        </w:rPr>
      </w:pPr>
      <w:r w:rsidRPr="002C5E91">
        <w:rPr>
          <w:rFonts w:asciiTheme="minorBidi" w:eastAsia="Arial" w:hAnsiTheme="minorBidi" w:cstheme="minorBidi"/>
          <w:b/>
          <w:bCs/>
          <w:i/>
          <w:iCs/>
          <w:sz w:val="26"/>
          <w:szCs w:val="26"/>
        </w:rPr>
        <w:t xml:space="preserve">Secteur de la </w:t>
      </w:r>
      <w:r w:rsidR="00DA1294" w:rsidRPr="002C5E91">
        <w:rPr>
          <w:rFonts w:asciiTheme="minorBidi" w:eastAsia="Arial" w:hAnsiTheme="minorBidi" w:cstheme="minorBidi"/>
          <w:b/>
          <w:bCs/>
          <w:i/>
          <w:iCs/>
          <w:sz w:val="26"/>
          <w:szCs w:val="26"/>
        </w:rPr>
        <w:t xml:space="preserve">santé </w:t>
      </w:r>
      <w:r w:rsidRPr="002C5E91">
        <w:rPr>
          <w:rFonts w:asciiTheme="minorBidi" w:eastAsia="Arial" w:hAnsiTheme="minorBidi" w:cstheme="minorBidi"/>
          <w:b/>
          <w:bCs/>
          <w:i/>
          <w:iCs/>
          <w:sz w:val="26"/>
          <w:szCs w:val="26"/>
        </w:rPr>
        <w:t>N° du Projet : MRT-1053</w:t>
      </w:r>
    </w:p>
    <w:p w14:paraId="640F86D5" w14:textId="77777777" w:rsidR="00363269" w:rsidRPr="002C5E91" w:rsidRDefault="00000000">
      <w:pPr>
        <w:spacing w:after="80"/>
        <w:rPr>
          <w:rFonts w:asciiTheme="minorBidi" w:hAnsiTheme="minorBidi" w:cstheme="minorBidi"/>
          <w:sz w:val="26"/>
          <w:szCs w:val="26"/>
        </w:rPr>
      </w:pPr>
      <w:r w:rsidRPr="002C5E91">
        <w:rPr>
          <w:rFonts w:asciiTheme="minorBidi" w:eastAsia="Arial" w:hAnsiTheme="minorBidi" w:cstheme="minorBidi"/>
          <w:b/>
          <w:bCs/>
          <w:sz w:val="26"/>
          <w:szCs w:val="26"/>
        </w:rPr>
        <w:t xml:space="preserve">Mode de financement : </w:t>
      </w:r>
      <w:r w:rsidRPr="002C5E91">
        <w:rPr>
          <w:rFonts w:asciiTheme="minorBidi" w:eastAsia="Arial" w:hAnsiTheme="minorBidi" w:cstheme="minorBidi"/>
          <w:sz w:val="26"/>
          <w:szCs w:val="26"/>
        </w:rPr>
        <w:t>Financement conjoint de la Banque Islamique de Développement (BID) sous forme d'un Prêt ordinaire et d'une opération de Vente à Tempérament</w:t>
      </w:r>
    </w:p>
    <w:p w14:paraId="42B493E3" w14:textId="77777777" w:rsidR="00363269" w:rsidRPr="002C5E91" w:rsidRDefault="00000000">
      <w:pPr>
        <w:spacing w:after="80"/>
        <w:rPr>
          <w:rFonts w:asciiTheme="minorBidi" w:hAnsiTheme="minorBidi" w:cstheme="minorBidi"/>
          <w:sz w:val="26"/>
          <w:szCs w:val="26"/>
        </w:rPr>
      </w:pPr>
      <w:r w:rsidRPr="002C5E91">
        <w:rPr>
          <w:rFonts w:asciiTheme="minorBidi" w:eastAsia="Arial" w:hAnsiTheme="minorBidi" w:cstheme="minorBidi"/>
          <w:b/>
          <w:bCs/>
          <w:sz w:val="26"/>
          <w:szCs w:val="26"/>
        </w:rPr>
        <w:t xml:space="preserve">N° du Financement : </w:t>
      </w:r>
      <w:r w:rsidRPr="002C5E91">
        <w:rPr>
          <w:rFonts w:asciiTheme="minorBidi" w:eastAsia="Arial" w:hAnsiTheme="minorBidi" w:cstheme="minorBidi"/>
          <w:sz w:val="26"/>
          <w:szCs w:val="26"/>
        </w:rPr>
        <w:t>MRT-1053</w:t>
      </w:r>
    </w:p>
    <w:p w14:paraId="249A44A2" w14:textId="77777777" w:rsidR="00363269" w:rsidRPr="002C5E91" w:rsidRDefault="00000000">
      <w:pPr>
        <w:pStyle w:val="Titre1"/>
        <w:pBdr>
          <w:bottom w:val="single" w:sz="6" w:space="4" w:color="1F3864"/>
        </w:pBdr>
        <w:spacing w:before="320" w:after="160"/>
        <w:rPr>
          <w:rFonts w:asciiTheme="minorBidi" w:hAnsiTheme="minorBidi" w:cstheme="minorBidi"/>
          <w:sz w:val="22"/>
          <w:szCs w:val="22"/>
        </w:rPr>
      </w:pPr>
      <w:r w:rsidRPr="002C5E91">
        <w:rPr>
          <w:rFonts w:asciiTheme="minorBidi" w:eastAsia="Arial" w:hAnsiTheme="minorBidi" w:cstheme="minorBidi"/>
          <w:b/>
          <w:bCs/>
          <w:color w:val="1F3864"/>
          <w:sz w:val="22"/>
          <w:szCs w:val="22"/>
        </w:rPr>
        <w:t>1. Objet de l'avis</w:t>
      </w:r>
    </w:p>
    <w:p w14:paraId="4D47B42C" w14:textId="77777777"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Le Gouvernement de la République Islamique de Mauritanie a obtenu de la Banque Islamique de Développement (BID) un financement d'un montant de 26,18 millions d'euros, composé d'une opération de Vente à Tempérament de 18 000 000 € et d'une opération de Prêt ordinaire de 8 180 000 € (équivalant à 6 810 000 Dinars Islamiques), pour financer le Projet d'Extension du Centre National de Cardiologie (CNC) à Nouakchott, en Mauritanie. Le coût total du projet, incluant la contrepartie du Gouvernement de la République Islamique de Mauritanie (RIM) d'un montant de 3,08 millions d'euros, s'élève à 29,26 millions d'euros.</w:t>
      </w:r>
    </w:p>
    <w:p w14:paraId="52D7D419" w14:textId="77777777"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Le Gouvernement de la République Islamique de Mauritanie a l'intention d'utiliser une partie de ce financement pour effectuer des paiements au titre de l'acquisition de biens, travaux et services connexes, ainsi que des services de consultants nécessaires dans le cadre de ce projet.</w:t>
      </w:r>
    </w:p>
    <w:p w14:paraId="3CF0B44D" w14:textId="77777777" w:rsidR="00363269" w:rsidRPr="002C5E91" w:rsidRDefault="00000000">
      <w:pPr>
        <w:pStyle w:val="Titre1"/>
        <w:pBdr>
          <w:bottom w:val="single" w:sz="6" w:space="4" w:color="1F3864"/>
        </w:pBdr>
        <w:spacing w:before="320" w:after="160"/>
        <w:rPr>
          <w:rFonts w:asciiTheme="minorBidi" w:hAnsiTheme="minorBidi" w:cstheme="minorBidi"/>
          <w:sz w:val="22"/>
          <w:szCs w:val="22"/>
        </w:rPr>
      </w:pPr>
      <w:r w:rsidRPr="002C5E91">
        <w:rPr>
          <w:rFonts w:asciiTheme="minorBidi" w:eastAsia="Arial" w:hAnsiTheme="minorBidi" w:cstheme="minorBidi"/>
          <w:b/>
          <w:bCs/>
          <w:color w:val="1F3864"/>
          <w:sz w:val="22"/>
          <w:szCs w:val="22"/>
        </w:rPr>
        <w:t>2. Description et composantes du projet</w:t>
      </w:r>
    </w:p>
    <w:p w14:paraId="7941B30E" w14:textId="77777777"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Le projet vise à renforcer les capacités du Centre National de Cardiologie afin de réduire la mortalité et la morbidité liées aux maladies cardiovasculaires, et de répondre à la demande croissante de la population mauritanienne en soins cardiovasculaires spécialisés, notamment en chirurgie cardiovasculaire pédiatrique et adulte, en soins intensifs cardiovasculaires, ainsi qu'en prévention, réadaptation cardiaque et éducation thérapeutique des patients.</w:t>
      </w:r>
    </w:p>
    <w:p w14:paraId="687F0C0E" w14:textId="77777777"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b/>
          <w:bCs/>
          <w:sz w:val="22"/>
          <w:szCs w:val="22"/>
        </w:rPr>
        <w:t>Le projet s'articule autour des composantes principales suivantes :</w:t>
      </w:r>
    </w:p>
    <w:p w14:paraId="6CFE6B8C" w14:textId="4EC4874B"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t xml:space="preserve">Composante A – Travaux d'extension (Génie civil) : construction d'une extension du CNC sur trois niveaux (R+2), d'une superficie totale d'environ </w:t>
      </w:r>
      <w:r w:rsidR="002C5E91">
        <w:rPr>
          <w:rFonts w:asciiTheme="minorBidi" w:eastAsia="Arial" w:hAnsiTheme="minorBidi" w:cstheme="minorBidi"/>
          <w:sz w:val="22"/>
          <w:szCs w:val="22"/>
        </w:rPr>
        <w:t>12 000</w:t>
      </w:r>
      <w:r w:rsidRPr="002C5E91">
        <w:rPr>
          <w:rFonts w:asciiTheme="minorBidi" w:eastAsia="Arial" w:hAnsiTheme="minorBidi" w:cstheme="minorBidi"/>
          <w:sz w:val="22"/>
          <w:szCs w:val="22"/>
        </w:rPr>
        <w:t xml:space="preserve"> m², permettant d'augmenter la capacité du centre de 80 lits, incluant le réaménagement de certains locaux existants ;</w:t>
      </w:r>
    </w:p>
    <w:p w14:paraId="7770BA5D" w14:textId="77777777"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t>Composante B – Équipements médicaux, mobiliers et technologie de l'information : fourniture et installation d'équipements et mobiliers médicaux, de mobilier de bureau, d'équipements informatiques, d'équipements de gestion des déchets de soins, ainsi que l'acquisition d'ambulances médicalisées ;</w:t>
      </w:r>
    </w:p>
    <w:p w14:paraId="3AAA8031" w14:textId="77777777"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lastRenderedPageBreak/>
        <w:t>Composante C – Études et supervision des travaux : conception (design) des travaux d'extension, suivi et supervision des travaux, ainsi que la préparation et supervision de l'installation des équipements ;</w:t>
      </w:r>
    </w:p>
    <w:p w14:paraId="3A049BC3" w14:textId="77777777"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t>Composante D – Renforcement des capacités (formation et recherche) : formation d'environ 75 personnels de santé dans les domaines de la cardiologie et des spécialités médicales et paramédicales associées, ainsi que soutien à des ateliers et conférences régionaux ;</w:t>
      </w:r>
    </w:p>
    <w:p w14:paraId="5DD85803" w14:textId="77777777"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t>Composante E – Audit financier du projet ;</w:t>
      </w:r>
    </w:p>
    <w:p w14:paraId="4FB55291" w14:textId="77777777"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t>Composante F – Appui à la gestion du projet (fonctionnement de l'UGP, atelier de démarrage, manuel de procédures) ;</w:t>
      </w:r>
    </w:p>
    <w:p w14:paraId="7A2D5898" w14:textId="77777777" w:rsidR="00363269" w:rsidRPr="002C5E91" w:rsidRDefault="00000000">
      <w:pPr>
        <w:pStyle w:val="Paragraphedeliste"/>
        <w:numPr>
          <w:ilvl w:val="0"/>
          <w:numId w:val="1"/>
        </w:numPr>
        <w:spacing w:after="100" w:line="280" w:lineRule="auto"/>
        <w:jc w:val="both"/>
        <w:rPr>
          <w:rFonts w:asciiTheme="minorBidi" w:hAnsiTheme="minorBidi" w:cstheme="minorBidi"/>
          <w:sz w:val="22"/>
          <w:szCs w:val="22"/>
        </w:rPr>
      </w:pPr>
      <w:r w:rsidRPr="002C5E91">
        <w:rPr>
          <w:rFonts w:asciiTheme="minorBidi" w:eastAsia="Arial" w:hAnsiTheme="minorBidi" w:cstheme="minorBidi"/>
          <w:sz w:val="22"/>
          <w:szCs w:val="22"/>
        </w:rPr>
        <w:t>Composante G – Composante d'intervention d'urgence.</w:t>
      </w:r>
    </w:p>
    <w:p w14:paraId="38ACA9D8" w14:textId="77777777" w:rsidR="00363269" w:rsidRPr="002C5E91" w:rsidRDefault="00000000">
      <w:pPr>
        <w:pStyle w:val="Titre1"/>
        <w:pBdr>
          <w:bottom w:val="single" w:sz="6" w:space="4" w:color="1F3864"/>
        </w:pBdr>
        <w:spacing w:before="320" w:after="160"/>
        <w:rPr>
          <w:rFonts w:asciiTheme="minorBidi" w:hAnsiTheme="minorBidi" w:cstheme="minorBidi"/>
          <w:sz w:val="22"/>
          <w:szCs w:val="22"/>
        </w:rPr>
      </w:pPr>
      <w:r w:rsidRPr="002C5E91">
        <w:rPr>
          <w:rFonts w:asciiTheme="minorBidi" w:eastAsia="Arial" w:hAnsiTheme="minorBidi" w:cstheme="minorBidi"/>
          <w:b/>
          <w:bCs/>
          <w:color w:val="1F3864"/>
          <w:sz w:val="22"/>
          <w:szCs w:val="22"/>
        </w:rPr>
        <w:t>3. Directives applicables</w:t>
      </w:r>
    </w:p>
    <w:p w14:paraId="52FC893A" w14:textId="1C9B7EF9"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Les acquisitions financées par la Banque Islamique de Développement seront effectuées conformément aux Directives pour l'acquisition de Biens, Travaux et Services connexes dans le cadre des Projets financés par la Banque Islamique de Développement (</w:t>
      </w:r>
      <w:r w:rsidR="00C34574">
        <w:rPr>
          <w:b/>
          <w:bCs/>
        </w:rPr>
        <w:t>A</w:t>
      </w:r>
      <w:r w:rsidR="00C34574" w:rsidRPr="00AE7DE1">
        <w:rPr>
          <w:b/>
          <w:bCs/>
        </w:rPr>
        <w:t>vril 2019 (révisées en février 2023</w:t>
      </w:r>
      <w:r w:rsidRPr="002C5E91">
        <w:rPr>
          <w:rFonts w:asciiTheme="minorBidi" w:eastAsia="Arial" w:hAnsiTheme="minorBidi" w:cstheme="minorBidi"/>
          <w:sz w:val="22"/>
          <w:szCs w:val="22"/>
        </w:rPr>
        <w:t xml:space="preserve">), et sont ouvertes à tous les soumissionnaires éligibles tels que définis dans ces Directives. Les acquisitions de services de consultants seront effectuées conformément aux Directives pour l'acquisition de Services de Consultants dans le cadre des Projets financés par la Banque Islamique de </w:t>
      </w:r>
      <w:r w:rsidR="002C5E91" w:rsidRPr="002C5E91">
        <w:rPr>
          <w:rFonts w:asciiTheme="minorBidi" w:eastAsia="Arial" w:hAnsiTheme="minorBidi" w:cstheme="minorBidi"/>
          <w:sz w:val="22"/>
          <w:szCs w:val="22"/>
        </w:rPr>
        <w:t>Développement.</w:t>
      </w:r>
    </w:p>
    <w:p w14:paraId="3D295408" w14:textId="77777777" w:rsidR="00363269" w:rsidRPr="002C5E91" w:rsidRDefault="00000000">
      <w:pPr>
        <w:pStyle w:val="Titre1"/>
        <w:pBdr>
          <w:bottom w:val="single" w:sz="6" w:space="4" w:color="1F3864"/>
        </w:pBdr>
        <w:spacing w:before="320" w:after="160"/>
        <w:rPr>
          <w:rFonts w:asciiTheme="minorBidi" w:hAnsiTheme="minorBidi" w:cstheme="minorBidi"/>
          <w:sz w:val="22"/>
          <w:szCs w:val="22"/>
        </w:rPr>
      </w:pPr>
      <w:r w:rsidRPr="002C5E91">
        <w:rPr>
          <w:rFonts w:asciiTheme="minorBidi" w:eastAsia="Arial" w:hAnsiTheme="minorBidi" w:cstheme="minorBidi"/>
          <w:b/>
          <w:bCs/>
          <w:color w:val="1F3864"/>
          <w:sz w:val="22"/>
          <w:szCs w:val="22"/>
        </w:rPr>
        <w:t>4. Modalités de passation des marchés</w:t>
      </w:r>
    </w:p>
    <w:p w14:paraId="75898833" w14:textId="43DBE28F" w:rsidR="00363269" w:rsidRPr="002C5E91" w:rsidRDefault="006A61F9">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Les principales acquisitions prévues dans le cadre du projet et leurs méthodes de passation de marché sont résumées dans le tableau ci-après :</w:t>
      </w:r>
    </w:p>
    <w:tbl>
      <w:tblPr>
        <w:tblW w:w="5000" w:type="pct"/>
        <w:tblBorders>
          <w:top w:val="single" w:sz="4" w:space="0" w:color="B0B0B0"/>
          <w:left w:val="single" w:sz="4" w:space="0" w:color="B0B0B0"/>
          <w:bottom w:val="single" w:sz="4" w:space="0" w:color="B0B0B0"/>
          <w:right w:val="single" w:sz="4" w:space="0" w:color="B0B0B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3315"/>
        <w:gridCol w:w="1550"/>
        <w:gridCol w:w="1561"/>
        <w:gridCol w:w="3270"/>
      </w:tblGrid>
      <w:tr w:rsidR="00DA1294" w:rsidRPr="002C5E91" w14:paraId="03DAC94B" w14:textId="77777777" w:rsidTr="00DA1294">
        <w:trPr>
          <w:tblHeader/>
        </w:trPr>
        <w:tc>
          <w:tcPr>
            <w:tcW w:w="3315" w:type="dxa"/>
            <w:shd w:val="clear" w:color="auto" w:fill="1F3864"/>
            <w:tcMar>
              <w:top w:w="100" w:type="dxa"/>
              <w:left w:w="100" w:type="dxa"/>
              <w:bottom w:w="100" w:type="dxa"/>
              <w:right w:w="100" w:type="dxa"/>
            </w:tcMar>
            <w:vAlign w:val="center"/>
          </w:tcPr>
          <w:p w14:paraId="383B0FCD"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b/>
                <w:bCs/>
                <w:color w:val="FFFFFF"/>
                <w:sz w:val="22"/>
                <w:szCs w:val="22"/>
              </w:rPr>
              <w:t>Biens, travaux et services</w:t>
            </w:r>
          </w:p>
        </w:tc>
        <w:tc>
          <w:tcPr>
            <w:tcW w:w="1550" w:type="dxa"/>
            <w:shd w:val="clear" w:color="auto" w:fill="1F3864"/>
            <w:tcMar>
              <w:top w:w="100" w:type="dxa"/>
              <w:left w:w="100" w:type="dxa"/>
              <w:bottom w:w="100" w:type="dxa"/>
              <w:right w:w="100" w:type="dxa"/>
            </w:tcMar>
            <w:vAlign w:val="center"/>
          </w:tcPr>
          <w:p w14:paraId="4CDA0E4D"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b/>
                <w:bCs/>
                <w:color w:val="FFFFFF"/>
                <w:sz w:val="22"/>
                <w:szCs w:val="22"/>
              </w:rPr>
              <w:t>Méthode de passation</w:t>
            </w:r>
          </w:p>
        </w:tc>
        <w:tc>
          <w:tcPr>
            <w:tcW w:w="1561" w:type="dxa"/>
            <w:shd w:val="clear" w:color="auto" w:fill="1F3864"/>
            <w:tcMar>
              <w:top w:w="100" w:type="dxa"/>
              <w:left w:w="100" w:type="dxa"/>
              <w:bottom w:w="100" w:type="dxa"/>
              <w:right w:w="100" w:type="dxa"/>
            </w:tcMar>
            <w:vAlign w:val="center"/>
          </w:tcPr>
          <w:p w14:paraId="64639037"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b/>
                <w:bCs/>
                <w:color w:val="FFFFFF"/>
                <w:sz w:val="22"/>
                <w:szCs w:val="22"/>
              </w:rPr>
              <w:t>Composante</w:t>
            </w:r>
          </w:p>
        </w:tc>
        <w:tc>
          <w:tcPr>
            <w:tcW w:w="3270" w:type="dxa"/>
            <w:shd w:val="clear" w:color="auto" w:fill="1F3864"/>
            <w:tcMar>
              <w:top w:w="100" w:type="dxa"/>
              <w:left w:w="100" w:type="dxa"/>
              <w:bottom w:w="100" w:type="dxa"/>
              <w:right w:w="100" w:type="dxa"/>
            </w:tcMar>
            <w:vAlign w:val="center"/>
          </w:tcPr>
          <w:p w14:paraId="574B6E7E"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b/>
                <w:bCs/>
                <w:color w:val="FFFFFF"/>
                <w:sz w:val="22"/>
                <w:szCs w:val="22"/>
              </w:rPr>
              <w:t>Observations</w:t>
            </w:r>
          </w:p>
        </w:tc>
      </w:tr>
      <w:tr w:rsidR="00DA1294" w:rsidRPr="002C5E91" w14:paraId="0FF87198" w14:textId="77777777" w:rsidTr="00DA1294">
        <w:tc>
          <w:tcPr>
            <w:tcW w:w="3315" w:type="dxa"/>
            <w:tcMar>
              <w:top w:w="80" w:type="dxa"/>
              <w:left w:w="100" w:type="dxa"/>
              <w:bottom w:w="80" w:type="dxa"/>
              <w:right w:w="100" w:type="dxa"/>
            </w:tcMar>
            <w:vAlign w:val="center"/>
          </w:tcPr>
          <w:p w14:paraId="7B68FCD6" w14:textId="7C2C919F"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Travaux de génie civil (extension du CNC) PM</w:t>
            </w:r>
          </w:p>
        </w:tc>
        <w:tc>
          <w:tcPr>
            <w:tcW w:w="1550" w:type="dxa"/>
            <w:tcMar>
              <w:top w:w="80" w:type="dxa"/>
              <w:left w:w="100" w:type="dxa"/>
              <w:bottom w:w="80" w:type="dxa"/>
              <w:right w:w="100" w:type="dxa"/>
            </w:tcMar>
            <w:vAlign w:val="center"/>
          </w:tcPr>
          <w:p w14:paraId="05B89F99"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AOI</w:t>
            </w:r>
          </w:p>
        </w:tc>
        <w:tc>
          <w:tcPr>
            <w:tcW w:w="1561" w:type="dxa"/>
            <w:tcMar>
              <w:top w:w="80" w:type="dxa"/>
              <w:left w:w="100" w:type="dxa"/>
              <w:bottom w:w="80" w:type="dxa"/>
              <w:right w:w="100" w:type="dxa"/>
            </w:tcMar>
            <w:vAlign w:val="center"/>
          </w:tcPr>
          <w:p w14:paraId="16CF5BD2"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A</w:t>
            </w:r>
          </w:p>
        </w:tc>
        <w:tc>
          <w:tcPr>
            <w:tcW w:w="3270" w:type="dxa"/>
            <w:tcMar>
              <w:top w:w="80" w:type="dxa"/>
              <w:left w:w="100" w:type="dxa"/>
              <w:bottom w:w="80" w:type="dxa"/>
              <w:right w:w="100" w:type="dxa"/>
            </w:tcMar>
            <w:vAlign w:val="center"/>
          </w:tcPr>
          <w:p w14:paraId="6B78AFAD" w14:textId="741B332C" w:rsidR="00DA1294" w:rsidRPr="002C5E91" w:rsidRDefault="00A9637C">
            <w:pPr>
              <w:rPr>
                <w:rFonts w:asciiTheme="minorBidi" w:hAnsiTheme="minorBidi" w:cstheme="minorBidi"/>
                <w:sz w:val="22"/>
                <w:szCs w:val="22"/>
              </w:rPr>
            </w:pPr>
            <w:r>
              <w:rPr>
                <w:rFonts w:asciiTheme="minorBidi" w:eastAsia="Arial" w:hAnsiTheme="minorBidi" w:cstheme="minorBidi"/>
                <w:sz w:val="22"/>
                <w:szCs w:val="22"/>
              </w:rPr>
              <w:t>Une Tour de R+6 au cœur d’un ensemble de bâtiments de deux étages</w:t>
            </w:r>
            <w:r w:rsidR="00DA1294" w:rsidRPr="002C5E91">
              <w:rPr>
                <w:rFonts w:asciiTheme="minorBidi" w:eastAsia="Arial" w:hAnsiTheme="minorBidi" w:cstheme="minorBidi"/>
                <w:sz w:val="22"/>
                <w:szCs w:val="22"/>
              </w:rPr>
              <w:t xml:space="preserve">, 12 </w:t>
            </w:r>
            <w:proofErr w:type="gramStart"/>
            <w:r w:rsidR="00DA1294" w:rsidRPr="002C5E91">
              <w:rPr>
                <w:rFonts w:asciiTheme="minorBidi" w:eastAsia="Arial" w:hAnsiTheme="minorBidi" w:cstheme="minorBidi"/>
                <w:sz w:val="22"/>
                <w:szCs w:val="22"/>
              </w:rPr>
              <w:t>000  m</w:t>
            </w:r>
            <w:proofErr w:type="gramEnd"/>
            <w:r w:rsidR="00DA1294" w:rsidRPr="002C5E91">
              <w:rPr>
                <w:rFonts w:asciiTheme="minorBidi" w:eastAsia="Arial" w:hAnsiTheme="minorBidi" w:cstheme="minorBidi"/>
                <w:sz w:val="22"/>
                <w:szCs w:val="22"/>
              </w:rPr>
              <w:t>²</w:t>
            </w:r>
          </w:p>
        </w:tc>
      </w:tr>
      <w:tr w:rsidR="00DA1294" w:rsidRPr="002C5E91" w14:paraId="3A512B69" w14:textId="77777777" w:rsidTr="00DA1294">
        <w:tc>
          <w:tcPr>
            <w:tcW w:w="3315" w:type="dxa"/>
            <w:tcMar>
              <w:top w:w="80" w:type="dxa"/>
              <w:left w:w="100" w:type="dxa"/>
              <w:bottom w:w="80" w:type="dxa"/>
              <w:right w:w="100" w:type="dxa"/>
            </w:tcMar>
            <w:vAlign w:val="center"/>
          </w:tcPr>
          <w:p w14:paraId="492A7D81"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Équipement médical spécialisé et mobilier pour établissement de santé</w:t>
            </w:r>
          </w:p>
        </w:tc>
        <w:tc>
          <w:tcPr>
            <w:tcW w:w="1550" w:type="dxa"/>
            <w:tcMar>
              <w:top w:w="80" w:type="dxa"/>
              <w:left w:w="100" w:type="dxa"/>
              <w:bottom w:w="80" w:type="dxa"/>
              <w:right w:w="100" w:type="dxa"/>
            </w:tcMar>
            <w:vAlign w:val="center"/>
          </w:tcPr>
          <w:p w14:paraId="7E1D9AEC"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AOI</w:t>
            </w:r>
          </w:p>
        </w:tc>
        <w:tc>
          <w:tcPr>
            <w:tcW w:w="1561" w:type="dxa"/>
            <w:tcMar>
              <w:top w:w="80" w:type="dxa"/>
              <w:left w:w="100" w:type="dxa"/>
              <w:bottom w:w="80" w:type="dxa"/>
              <w:right w:w="100" w:type="dxa"/>
            </w:tcMar>
            <w:vAlign w:val="center"/>
          </w:tcPr>
          <w:p w14:paraId="50CD4080"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B</w:t>
            </w:r>
          </w:p>
        </w:tc>
        <w:tc>
          <w:tcPr>
            <w:tcW w:w="3270" w:type="dxa"/>
            <w:tcMar>
              <w:top w:w="80" w:type="dxa"/>
              <w:left w:w="100" w:type="dxa"/>
              <w:bottom w:w="80" w:type="dxa"/>
              <w:right w:w="100" w:type="dxa"/>
            </w:tcMar>
            <w:vAlign w:val="center"/>
          </w:tcPr>
          <w:p w14:paraId="72762AB4"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Inclut ambulances médicalisées</w:t>
            </w:r>
          </w:p>
        </w:tc>
      </w:tr>
      <w:tr w:rsidR="00DA1294" w:rsidRPr="002C5E91" w14:paraId="514FE586" w14:textId="77777777" w:rsidTr="00DA1294">
        <w:tc>
          <w:tcPr>
            <w:tcW w:w="3315" w:type="dxa"/>
            <w:tcMar>
              <w:top w:w="80" w:type="dxa"/>
              <w:left w:w="100" w:type="dxa"/>
              <w:bottom w:w="80" w:type="dxa"/>
              <w:right w:w="100" w:type="dxa"/>
            </w:tcMar>
            <w:vAlign w:val="center"/>
          </w:tcPr>
          <w:p w14:paraId="56FB23E6"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Supervision des travaux de génie civil</w:t>
            </w:r>
          </w:p>
        </w:tc>
        <w:tc>
          <w:tcPr>
            <w:tcW w:w="1550" w:type="dxa"/>
            <w:tcMar>
              <w:top w:w="80" w:type="dxa"/>
              <w:left w:w="100" w:type="dxa"/>
              <w:bottom w:w="80" w:type="dxa"/>
              <w:right w:w="100" w:type="dxa"/>
            </w:tcMar>
            <w:vAlign w:val="center"/>
          </w:tcPr>
          <w:p w14:paraId="7B9D16B4"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SFQC</w:t>
            </w:r>
          </w:p>
        </w:tc>
        <w:tc>
          <w:tcPr>
            <w:tcW w:w="1561" w:type="dxa"/>
            <w:tcMar>
              <w:top w:w="80" w:type="dxa"/>
              <w:left w:w="100" w:type="dxa"/>
              <w:bottom w:w="80" w:type="dxa"/>
              <w:right w:w="100" w:type="dxa"/>
            </w:tcMar>
            <w:vAlign w:val="center"/>
          </w:tcPr>
          <w:p w14:paraId="547CE3A9"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C</w:t>
            </w:r>
          </w:p>
        </w:tc>
        <w:tc>
          <w:tcPr>
            <w:tcW w:w="3270" w:type="dxa"/>
            <w:tcMar>
              <w:top w:w="80" w:type="dxa"/>
              <w:left w:w="100" w:type="dxa"/>
              <w:bottom w:w="80" w:type="dxa"/>
              <w:right w:w="100" w:type="dxa"/>
            </w:tcMar>
            <w:vAlign w:val="center"/>
          </w:tcPr>
          <w:p w14:paraId="0BFF042D"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Design + suivi/supervision</w:t>
            </w:r>
          </w:p>
        </w:tc>
      </w:tr>
      <w:tr w:rsidR="00DA1294" w:rsidRPr="002C5E91" w14:paraId="44E0677D" w14:textId="77777777" w:rsidTr="00DA1294">
        <w:tc>
          <w:tcPr>
            <w:tcW w:w="3315" w:type="dxa"/>
            <w:tcMar>
              <w:top w:w="80" w:type="dxa"/>
              <w:left w:w="100" w:type="dxa"/>
              <w:bottom w:w="80" w:type="dxa"/>
              <w:right w:w="100" w:type="dxa"/>
            </w:tcMar>
            <w:vAlign w:val="center"/>
          </w:tcPr>
          <w:p w14:paraId="012521D8"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Audit financier du projet</w:t>
            </w:r>
          </w:p>
        </w:tc>
        <w:tc>
          <w:tcPr>
            <w:tcW w:w="1550" w:type="dxa"/>
            <w:tcMar>
              <w:top w:w="80" w:type="dxa"/>
              <w:left w:w="100" w:type="dxa"/>
              <w:bottom w:w="80" w:type="dxa"/>
              <w:right w:w="100" w:type="dxa"/>
            </w:tcMar>
            <w:vAlign w:val="center"/>
          </w:tcPr>
          <w:p w14:paraId="08901EFC" w14:textId="74F02819"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Moindre cout</w:t>
            </w:r>
          </w:p>
        </w:tc>
        <w:tc>
          <w:tcPr>
            <w:tcW w:w="1561" w:type="dxa"/>
            <w:tcMar>
              <w:top w:w="80" w:type="dxa"/>
              <w:left w:w="100" w:type="dxa"/>
              <w:bottom w:w="80" w:type="dxa"/>
              <w:right w:w="100" w:type="dxa"/>
            </w:tcMar>
            <w:vAlign w:val="center"/>
          </w:tcPr>
          <w:p w14:paraId="1C014FEA"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E</w:t>
            </w:r>
          </w:p>
        </w:tc>
        <w:tc>
          <w:tcPr>
            <w:tcW w:w="3270" w:type="dxa"/>
            <w:tcMar>
              <w:top w:w="80" w:type="dxa"/>
              <w:left w:w="100" w:type="dxa"/>
              <w:bottom w:w="80" w:type="dxa"/>
              <w:right w:w="100" w:type="dxa"/>
            </w:tcMar>
            <w:vAlign w:val="center"/>
          </w:tcPr>
          <w:p w14:paraId="79A4DDDD" w14:textId="2D900866"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Auditeur indépendant</w:t>
            </w:r>
          </w:p>
        </w:tc>
      </w:tr>
      <w:tr w:rsidR="00DA1294" w:rsidRPr="002C5E91" w14:paraId="40C4F2CA" w14:textId="77777777" w:rsidTr="00DA1294">
        <w:tc>
          <w:tcPr>
            <w:tcW w:w="3315" w:type="dxa"/>
            <w:tcMar>
              <w:top w:w="80" w:type="dxa"/>
              <w:left w:w="100" w:type="dxa"/>
              <w:bottom w:w="80" w:type="dxa"/>
              <w:right w:w="100" w:type="dxa"/>
            </w:tcMar>
            <w:vAlign w:val="center"/>
          </w:tcPr>
          <w:p w14:paraId="0C1EAC8E"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Consultant pour la supervision des équipements médicaux et l'installation</w:t>
            </w:r>
          </w:p>
        </w:tc>
        <w:tc>
          <w:tcPr>
            <w:tcW w:w="1550" w:type="dxa"/>
            <w:tcMar>
              <w:top w:w="80" w:type="dxa"/>
              <w:left w:w="100" w:type="dxa"/>
              <w:bottom w:w="80" w:type="dxa"/>
              <w:right w:w="100" w:type="dxa"/>
            </w:tcMar>
            <w:vAlign w:val="center"/>
          </w:tcPr>
          <w:p w14:paraId="0FCE84C7"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Sélection Consultant Individuel (CI)</w:t>
            </w:r>
          </w:p>
        </w:tc>
        <w:tc>
          <w:tcPr>
            <w:tcW w:w="1561" w:type="dxa"/>
            <w:tcMar>
              <w:top w:w="80" w:type="dxa"/>
              <w:left w:w="100" w:type="dxa"/>
              <w:bottom w:w="80" w:type="dxa"/>
              <w:right w:w="100" w:type="dxa"/>
            </w:tcMar>
            <w:vAlign w:val="center"/>
          </w:tcPr>
          <w:p w14:paraId="00C87AD2"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C</w:t>
            </w:r>
          </w:p>
        </w:tc>
        <w:tc>
          <w:tcPr>
            <w:tcW w:w="3270" w:type="dxa"/>
            <w:tcMar>
              <w:top w:w="80" w:type="dxa"/>
              <w:left w:w="100" w:type="dxa"/>
              <w:bottom w:w="80" w:type="dxa"/>
              <w:right w:w="100" w:type="dxa"/>
            </w:tcMar>
            <w:vAlign w:val="center"/>
          </w:tcPr>
          <w:p w14:paraId="2FF76405" w14:textId="099F0C65" w:rsidR="00DA1294" w:rsidRPr="002C5E91" w:rsidRDefault="00DA1294">
            <w:pPr>
              <w:rPr>
                <w:rFonts w:asciiTheme="minorBidi" w:hAnsiTheme="minorBidi" w:cstheme="minorBidi"/>
                <w:sz w:val="22"/>
                <w:szCs w:val="22"/>
              </w:rPr>
            </w:pPr>
          </w:p>
        </w:tc>
      </w:tr>
      <w:tr w:rsidR="00DA1294" w:rsidRPr="002C5E91" w14:paraId="4ACC93EB" w14:textId="77777777" w:rsidTr="00DA1294">
        <w:tc>
          <w:tcPr>
            <w:tcW w:w="3315" w:type="dxa"/>
            <w:tcMar>
              <w:top w:w="80" w:type="dxa"/>
              <w:left w:w="100" w:type="dxa"/>
              <w:bottom w:w="80" w:type="dxa"/>
              <w:right w:w="100" w:type="dxa"/>
            </w:tcMar>
            <w:vAlign w:val="center"/>
          </w:tcPr>
          <w:p w14:paraId="5EA2FED8"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Mobilier et équipements informatiques pour l'UGP</w:t>
            </w:r>
          </w:p>
        </w:tc>
        <w:tc>
          <w:tcPr>
            <w:tcW w:w="1550" w:type="dxa"/>
            <w:tcMar>
              <w:top w:w="80" w:type="dxa"/>
              <w:left w:w="100" w:type="dxa"/>
              <w:bottom w:w="80" w:type="dxa"/>
              <w:right w:w="100" w:type="dxa"/>
            </w:tcMar>
            <w:vAlign w:val="center"/>
          </w:tcPr>
          <w:p w14:paraId="2E178354"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Consultation Nationale</w:t>
            </w:r>
          </w:p>
        </w:tc>
        <w:tc>
          <w:tcPr>
            <w:tcW w:w="1561" w:type="dxa"/>
            <w:tcMar>
              <w:top w:w="80" w:type="dxa"/>
              <w:left w:w="100" w:type="dxa"/>
              <w:bottom w:w="80" w:type="dxa"/>
              <w:right w:w="100" w:type="dxa"/>
            </w:tcMar>
            <w:vAlign w:val="center"/>
          </w:tcPr>
          <w:p w14:paraId="571605B5" w14:textId="77777777" w:rsidR="00DA1294" w:rsidRPr="002C5E91" w:rsidRDefault="00DA1294">
            <w:pPr>
              <w:jc w:val="center"/>
              <w:rPr>
                <w:rFonts w:asciiTheme="minorBidi" w:hAnsiTheme="minorBidi" w:cstheme="minorBidi"/>
                <w:sz w:val="22"/>
                <w:szCs w:val="22"/>
              </w:rPr>
            </w:pPr>
            <w:r w:rsidRPr="002C5E91">
              <w:rPr>
                <w:rFonts w:asciiTheme="minorBidi" w:eastAsia="Arial" w:hAnsiTheme="minorBidi" w:cstheme="minorBidi"/>
                <w:sz w:val="22"/>
                <w:szCs w:val="22"/>
              </w:rPr>
              <w:t>F</w:t>
            </w:r>
          </w:p>
        </w:tc>
        <w:tc>
          <w:tcPr>
            <w:tcW w:w="3270" w:type="dxa"/>
            <w:tcMar>
              <w:top w:w="80" w:type="dxa"/>
              <w:left w:w="100" w:type="dxa"/>
              <w:bottom w:w="80" w:type="dxa"/>
              <w:right w:w="100" w:type="dxa"/>
            </w:tcMar>
            <w:vAlign w:val="center"/>
          </w:tcPr>
          <w:p w14:paraId="436668BB" w14:textId="77777777" w:rsidR="00DA1294" w:rsidRPr="002C5E91" w:rsidRDefault="00DA1294">
            <w:pPr>
              <w:rPr>
                <w:rFonts w:asciiTheme="minorBidi" w:hAnsiTheme="minorBidi" w:cstheme="minorBidi"/>
                <w:sz w:val="22"/>
                <w:szCs w:val="22"/>
              </w:rPr>
            </w:pPr>
            <w:r w:rsidRPr="002C5E91">
              <w:rPr>
                <w:rFonts w:asciiTheme="minorBidi" w:eastAsia="Arial" w:hAnsiTheme="minorBidi" w:cstheme="minorBidi"/>
                <w:sz w:val="22"/>
                <w:szCs w:val="22"/>
              </w:rPr>
              <w:t>Fonctionnement UGP</w:t>
            </w:r>
          </w:p>
        </w:tc>
      </w:tr>
    </w:tbl>
    <w:p w14:paraId="255381E1" w14:textId="658F5BDE" w:rsidR="00363269" w:rsidRDefault="00000000">
      <w:pPr>
        <w:spacing w:before="120" w:after="200"/>
        <w:rPr>
          <w:rFonts w:asciiTheme="minorBidi" w:eastAsia="Arial" w:hAnsiTheme="minorBidi" w:cstheme="minorBidi"/>
          <w:i/>
          <w:iCs/>
          <w:color w:val="606060"/>
          <w:sz w:val="22"/>
          <w:szCs w:val="22"/>
        </w:rPr>
      </w:pPr>
      <w:r w:rsidRPr="002C5E91">
        <w:rPr>
          <w:rFonts w:asciiTheme="minorBidi" w:eastAsia="Arial" w:hAnsiTheme="minorBidi" w:cstheme="minorBidi"/>
          <w:i/>
          <w:iCs/>
          <w:color w:val="606060"/>
          <w:sz w:val="22"/>
          <w:szCs w:val="22"/>
        </w:rPr>
        <w:t>AOI : Appel d'Offres International</w:t>
      </w:r>
      <w:r w:rsidR="00DA1294" w:rsidRPr="002C5E91">
        <w:rPr>
          <w:rFonts w:asciiTheme="minorBidi" w:eastAsia="Arial" w:hAnsiTheme="minorBidi" w:cstheme="minorBidi"/>
          <w:i/>
          <w:iCs/>
          <w:color w:val="606060"/>
          <w:sz w:val="22"/>
          <w:szCs w:val="22"/>
        </w:rPr>
        <w:t>-----PM : Pays membres ----</w:t>
      </w:r>
      <w:r w:rsidRPr="002C5E91">
        <w:rPr>
          <w:rFonts w:asciiTheme="minorBidi" w:eastAsia="Arial" w:hAnsiTheme="minorBidi" w:cstheme="minorBidi"/>
          <w:i/>
          <w:iCs/>
          <w:color w:val="606060"/>
          <w:sz w:val="22"/>
          <w:szCs w:val="22"/>
        </w:rPr>
        <w:t xml:space="preserve"> SFQC : Sélection Fondée sur la Qualité et le Coût</w:t>
      </w:r>
      <w:r w:rsidR="00DA1294" w:rsidRPr="002C5E91">
        <w:rPr>
          <w:rFonts w:asciiTheme="minorBidi" w:eastAsia="Arial" w:hAnsiTheme="minorBidi" w:cstheme="minorBidi"/>
          <w:i/>
          <w:iCs/>
          <w:color w:val="606060"/>
          <w:sz w:val="22"/>
          <w:szCs w:val="22"/>
        </w:rPr>
        <w:t>------</w:t>
      </w:r>
      <w:r w:rsidRPr="002C5E91">
        <w:rPr>
          <w:rFonts w:asciiTheme="minorBidi" w:eastAsia="Arial" w:hAnsiTheme="minorBidi" w:cstheme="minorBidi"/>
          <w:i/>
          <w:iCs/>
          <w:color w:val="606060"/>
          <w:sz w:val="22"/>
          <w:szCs w:val="22"/>
        </w:rPr>
        <w:t>CI : Sélection d'un Consultant Individuel</w:t>
      </w:r>
    </w:p>
    <w:p w14:paraId="47C43E45" w14:textId="77777777" w:rsidR="006A61F9" w:rsidRPr="002C5E91" w:rsidRDefault="006A61F9">
      <w:pPr>
        <w:spacing w:before="120" w:after="200"/>
        <w:rPr>
          <w:rFonts w:asciiTheme="minorBidi" w:eastAsia="Arial" w:hAnsiTheme="minorBidi" w:cstheme="minorBidi"/>
          <w:i/>
          <w:iCs/>
          <w:color w:val="606060"/>
          <w:sz w:val="22"/>
          <w:szCs w:val="22"/>
        </w:rPr>
      </w:pPr>
    </w:p>
    <w:p w14:paraId="0FAA509C" w14:textId="77777777" w:rsidR="00363269" w:rsidRPr="002C5E91" w:rsidRDefault="00000000">
      <w:pPr>
        <w:pStyle w:val="Titre1"/>
        <w:pBdr>
          <w:bottom w:val="single" w:sz="6" w:space="4" w:color="1F3864"/>
        </w:pBdr>
        <w:spacing w:before="320" w:after="160"/>
        <w:rPr>
          <w:rFonts w:asciiTheme="minorBidi" w:hAnsiTheme="minorBidi" w:cstheme="minorBidi"/>
          <w:sz w:val="22"/>
          <w:szCs w:val="22"/>
        </w:rPr>
      </w:pPr>
      <w:r w:rsidRPr="002C5E91">
        <w:rPr>
          <w:rFonts w:asciiTheme="minorBidi" w:eastAsia="Arial" w:hAnsiTheme="minorBidi" w:cstheme="minorBidi"/>
          <w:b/>
          <w:bCs/>
          <w:color w:val="1F3864"/>
          <w:sz w:val="22"/>
          <w:szCs w:val="22"/>
        </w:rPr>
        <w:lastRenderedPageBreak/>
        <w:t>5. Avis spécifiques et publicité</w:t>
      </w:r>
    </w:p>
    <w:p w14:paraId="13E3292C" w14:textId="6A5737A1"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 xml:space="preserve">Les avis spécifiques de passation des marchés pour les acquisitions à effectuer par Appel d'Offres International (AOI) ou Appel d'Offres International réservé aux pays membres (AOI/PM), ainsi que les appels à manifestations d'intérêt pour les services de consultants, seront publiés au fur et à mesure de leur disponibilité sur le site internet de la BID, et sur </w:t>
      </w:r>
      <w:proofErr w:type="spellStart"/>
      <w:r w:rsidRPr="002C5E91">
        <w:rPr>
          <w:rFonts w:asciiTheme="minorBidi" w:eastAsia="Arial" w:hAnsiTheme="minorBidi" w:cstheme="minorBidi"/>
          <w:sz w:val="22"/>
          <w:szCs w:val="22"/>
        </w:rPr>
        <w:t>DgMarket</w:t>
      </w:r>
      <w:proofErr w:type="spellEnd"/>
      <w:r w:rsidRPr="002C5E91">
        <w:rPr>
          <w:rFonts w:asciiTheme="minorBidi" w:eastAsia="Arial" w:hAnsiTheme="minorBidi" w:cstheme="minorBidi"/>
          <w:sz w:val="22"/>
          <w:szCs w:val="22"/>
        </w:rPr>
        <w:t>, ainsi que sur le site internet du Ministère de la Santé / du Centre National de Cardiologie et dans au moins un journal de diffusion nationale en Mauritanie.</w:t>
      </w:r>
    </w:p>
    <w:p w14:paraId="0CAF2ED1" w14:textId="3F8907E9"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 xml:space="preserve">La </w:t>
      </w:r>
      <w:r w:rsidR="002C5E91" w:rsidRPr="002C5E91">
        <w:rPr>
          <w:rFonts w:asciiTheme="minorBidi" w:eastAsia="Arial" w:hAnsiTheme="minorBidi" w:cstheme="minorBidi"/>
          <w:sz w:val="22"/>
          <w:szCs w:val="22"/>
        </w:rPr>
        <w:t>préqualification</w:t>
      </w:r>
      <w:r w:rsidRPr="002C5E91">
        <w:rPr>
          <w:rFonts w:asciiTheme="minorBidi" w:eastAsia="Arial" w:hAnsiTheme="minorBidi" w:cstheme="minorBidi"/>
          <w:sz w:val="22"/>
          <w:szCs w:val="22"/>
        </w:rPr>
        <w:t xml:space="preserve"> de fournisseurs et d'entreprises n'est pas prévue pour les marchés du présent </w:t>
      </w:r>
      <w:proofErr w:type="gramStart"/>
      <w:r w:rsidRPr="002C5E91">
        <w:rPr>
          <w:rFonts w:asciiTheme="minorBidi" w:eastAsia="Arial" w:hAnsiTheme="minorBidi" w:cstheme="minorBidi"/>
          <w:sz w:val="22"/>
          <w:szCs w:val="22"/>
        </w:rPr>
        <w:t xml:space="preserve">projet </w:t>
      </w:r>
      <w:r w:rsidR="002C5E91">
        <w:rPr>
          <w:rFonts w:asciiTheme="minorBidi" w:eastAsia="Arial" w:hAnsiTheme="minorBidi" w:cstheme="minorBidi"/>
          <w:sz w:val="22"/>
          <w:szCs w:val="22"/>
        </w:rPr>
        <w:t>.</w:t>
      </w:r>
      <w:proofErr w:type="gramEnd"/>
    </w:p>
    <w:p w14:paraId="37A3B363" w14:textId="77777777" w:rsidR="00363269" w:rsidRPr="002C5E91" w:rsidRDefault="00000000">
      <w:pPr>
        <w:pStyle w:val="Titre1"/>
        <w:pBdr>
          <w:bottom w:val="single" w:sz="6" w:space="4" w:color="1F3864"/>
        </w:pBdr>
        <w:spacing w:before="320" w:after="160"/>
        <w:rPr>
          <w:rFonts w:asciiTheme="minorBidi" w:hAnsiTheme="minorBidi" w:cstheme="minorBidi"/>
          <w:sz w:val="22"/>
          <w:szCs w:val="22"/>
        </w:rPr>
      </w:pPr>
      <w:r w:rsidRPr="002C5E91">
        <w:rPr>
          <w:rFonts w:asciiTheme="minorBidi" w:eastAsia="Arial" w:hAnsiTheme="minorBidi" w:cstheme="minorBidi"/>
          <w:b/>
          <w:bCs/>
          <w:color w:val="1F3864"/>
          <w:sz w:val="22"/>
          <w:szCs w:val="22"/>
        </w:rPr>
        <w:t>6. Calendrier indicatif de mise en œuvre</w:t>
      </w:r>
    </w:p>
    <w:p w14:paraId="74B23725" w14:textId="652F343D" w:rsidR="00363269" w:rsidRPr="002C5E91" w:rsidRDefault="00000000" w:rsidP="002C5E91">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 xml:space="preserve">Le financement du projet sera mis en œuvre sur une durée de quarante-huit (48) mois à compter de </w:t>
      </w:r>
      <w:r w:rsidR="002C5E91" w:rsidRPr="002C5E91">
        <w:rPr>
          <w:rFonts w:asciiTheme="minorBidi" w:eastAsia="Arial" w:hAnsiTheme="minorBidi" w:cstheme="minorBidi"/>
          <w:sz w:val="22"/>
          <w:szCs w:val="22"/>
        </w:rPr>
        <w:t>juillet 2026</w:t>
      </w:r>
      <w:r w:rsidRPr="002C5E91">
        <w:rPr>
          <w:rFonts w:asciiTheme="minorBidi" w:eastAsia="Arial" w:hAnsiTheme="minorBidi" w:cstheme="minorBidi"/>
          <w:sz w:val="22"/>
          <w:szCs w:val="22"/>
        </w:rPr>
        <w:t xml:space="preserve"> :</w:t>
      </w:r>
      <w:r w:rsidR="002C5E91" w:rsidRPr="002C5E91">
        <w:rPr>
          <w:rFonts w:asciiTheme="minorBidi" w:hAnsiTheme="minorBidi" w:cstheme="minorBidi"/>
          <w:sz w:val="22"/>
          <w:szCs w:val="22"/>
        </w:rPr>
        <w:t xml:space="preserve"> </w:t>
      </w:r>
    </w:p>
    <w:p w14:paraId="1F6F1F5C" w14:textId="5E7A5B70" w:rsidR="00363269" w:rsidRPr="002C5E91" w:rsidRDefault="002C5E91" w:rsidP="002C5E91">
      <w:pPr>
        <w:spacing w:after="160" w:line="300" w:lineRule="auto"/>
        <w:jc w:val="both"/>
        <w:rPr>
          <w:rFonts w:asciiTheme="minorBidi" w:hAnsiTheme="minorBidi" w:cstheme="minorBidi"/>
          <w:sz w:val="22"/>
          <w:szCs w:val="22"/>
        </w:rPr>
      </w:pPr>
      <w:r w:rsidRPr="002C5E91">
        <w:rPr>
          <w:rFonts w:asciiTheme="minorBidi" w:eastAsia="Arial" w:hAnsiTheme="minorBidi" w:cstheme="minorBidi"/>
          <w:b/>
          <w:bCs/>
          <w:color w:val="1F3864"/>
          <w:sz w:val="22"/>
          <w:szCs w:val="22"/>
        </w:rPr>
        <w:t>7. Renseignements et contacts</w:t>
      </w:r>
    </w:p>
    <w:p w14:paraId="0512C0BA" w14:textId="77777777" w:rsidR="00363269" w:rsidRPr="002C5E91" w:rsidRDefault="00000000">
      <w:pPr>
        <w:spacing w:after="160" w:line="300" w:lineRule="auto"/>
        <w:jc w:val="both"/>
        <w:rPr>
          <w:rFonts w:asciiTheme="minorBidi" w:hAnsiTheme="minorBidi" w:cstheme="minorBidi"/>
          <w:sz w:val="22"/>
          <w:szCs w:val="22"/>
        </w:rPr>
      </w:pPr>
      <w:r w:rsidRPr="002C5E91">
        <w:rPr>
          <w:rFonts w:asciiTheme="minorBidi" w:eastAsia="Arial" w:hAnsiTheme="minorBidi" w:cstheme="minorBidi"/>
          <w:sz w:val="22"/>
          <w:szCs w:val="22"/>
        </w:rPr>
        <w:t>Les candidats intéressés et éligibles souhaitant être considérés pour la fourniture de biens, travaux et services de consultants au titre du projet, ou désirant obtenir des informations additionnelles, sont invités à contacter le Bénéficiaire à l'adresse ci-dessous :</w:t>
      </w:r>
    </w:p>
    <w:tbl>
      <w:tblPr>
        <w:tblW w:w="5000" w:type="pct"/>
        <w:tblBorders>
          <w:top w:val="single" w:sz="4" w:space="0" w:color="B0B0B0"/>
          <w:left w:val="single" w:sz="4" w:space="0" w:color="B0B0B0"/>
          <w:bottom w:val="single" w:sz="4" w:space="0" w:color="B0B0B0"/>
          <w:right w:val="single" w:sz="4" w:space="0" w:color="B0B0B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3172"/>
        <w:gridCol w:w="6524"/>
      </w:tblGrid>
      <w:tr w:rsidR="00363269" w:rsidRPr="002C5E91" w14:paraId="2C501D53" w14:textId="77777777" w:rsidTr="002C5E91">
        <w:tc>
          <w:tcPr>
            <w:tcW w:w="3172" w:type="dxa"/>
            <w:shd w:val="clear" w:color="auto" w:fill="EAF0F6"/>
            <w:tcMar>
              <w:top w:w="80" w:type="dxa"/>
              <w:left w:w="120" w:type="dxa"/>
              <w:bottom w:w="80" w:type="dxa"/>
              <w:right w:w="120" w:type="dxa"/>
            </w:tcMar>
            <w:vAlign w:val="center"/>
          </w:tcPr>
          <w:p w14:paraId="3B784ACE" w14:textId="77777777" w:rsidR="00363269" w:rsidRPr="002C5E91" w:rsidRDefault="00000000">
            <w:pPr>
              <w:rPr>
                <w:rFonts w:asciiTheme="minorBidi" w:hAnsiTheme="minorBidi" w:cstheme="minorBidi"/>
                <w:sz w:val="22"/>
                <w:szCs w:val="22"/>
              </w:rPr>
            </w:pPr>
            <w:r w:rsidRPr="002C5E91">
              <w:rPr>
                <w:rFonts w:asciiTheme="minorBidi" w:eastAsia="Arial" w:hAnsiTheme="minorBidi" w:cstheme="minorBidi"/>
                <w:b/>
                <w:bCs/>
                <w:sz w:val="22"/>
                <w:szCs w:val="22"/>
              </w:rPr>
              <w:t>Organisme</w:t>
            </w:r>
          </w:p>
        </w:tc>
        <w:tc>
          <w:tcPr>
            <w:tcW w:w="6524" w:type="dxa"/>
            <w:tcMar>
              <w:top w:w="80" w:type="dxa"/>
              <w:left w:w="120" w:type="dxa"/>
              <w:bottom w:w="80" w:type="dxa"/>
              <w:right w:w="120" w:type="dxa"/>
            </w:tcMar>
            <w:vAlign w:val="center"/>
          </w:tcPr>
          <w:p w14:paraId="10DA9343" w14:textId="2E04A55B" w:rsidR="00363269" w:rsidRPr="002C5E91" w:rsidRDefault="00000000" w:rsidP="002C5E91">
            <w:pPr>
              <w:jc w:val="center"/>
              <w:rPr>
                <w:rFonts w:asciiTheme="minorBidi" w:hAnsiTheme="minorBidi" w:cstheme="minorBidi"/>
                <w:sz w:val="22"/>
                <w:szCs w:val="22"/>
              </w:rPr>
            </w:pPr>
            <w:r w:rsidRPr="002C5E91">
              <w:rPr>
                <w:rFonts w:asciiTheme="minorBidi" w:eastAsia="Arial" w:hAnsiTheme="minorBidi" w:cstheme="minorBidi"/>
                <w:sz w:val="22"/>
                <w:szCs w:val="22"/>
              </w:rPr>
              <w:t>Unité de Gestion du Projet (UGP) — Extension du Centre National de Cardiologie</w:t>
            </w:r>
          </w:p>
        </w:tc>
      </w:tr>
      <w:tr w:rsidR="00363269" w:rsidRPr="002C5E91" w14:paraId="2AF4E768" w14:textId="77777777" w:rsidTr="002C5E91">
        <w:tc>
          <w:tcPr>
            <w:tcW w:w="3172" w:type="dxa"/>
            <w:shd w:val="clear" w:color="auto" w:fill="EAF0F6"/>
            <w:tcMar>
              <w:top w:w="80" w:type="dxa"/>
              <w:left w:w="120" w:type="dxa"/>
              <w:bottom w:w="80" w:type="dxa"/>
              <w:right w:w="120" w:type="dxa"/>
            </w:tcMar>
            <w:vAlign w:val="center"/>
          </w:tcPr>
          <w:p w14:paraId="1881C488" w14:textId="77777777" w:rsidR="00363269" w:rsidRPr="002C5E91" w:rsidRDefault="00000000">
            <w:pPr>
              <w:rPr>
                <w:rFonts w:asciiTheme="minorBidi" w:hAnsiTheme="minorBidi" w:cstheme="minorBidi"/>
                <w:sz w:val="22"/>
                <w:szCs w:val="22"/>
              </w:rPr>
            </w:pPr>
            <w:r w:rsidRPr="002C5E91">
              <w:rPr>
                <w:rFonts w:asciiTheme="minorBidi" w:eastAsia="Arial" w:hAnsiTheme="minorBidi" w:cstheme="minorBidi"/>
                <w:b/>
                <w:bCs/>
                <w:sz w:val="22"/>
                <w:szCs w:val="22"/>
              </w:rPr>
              <w:t>Nom de la personne à contacter</w:t>
            </w:r>
          </w:p>
        </w:tc>
        <w:tc>
          <w:tcPr>
            <w:tcW w:w="6524" w:type="dxa"/>
            <w:tcMar>
              <w:top w:w="80" w:type="dxa"/>
              <w:left w:w="120" w:type="dxa"/>
              <w:bottom w:w="80" w:type="dxa"/>
              <w:right w:w="120" w:type="dxa"/>
            </w:tcMar>
            <w:vAlign w:val="center"/>
          </w:tcPr>
          <w:p w14:paraId="455D64E8" w14:textId="77777777" w:rsidR="00363269" w:rsidRPr="002C5E91" w:rsidRDefault="00000000" w:rsidP="002C5E91">
            <w:pPr>
              <w:jc w:val="center"/>
              <w:rPr>
                <w:rFonts w:asciiTheme="minorBidi" w:hAnsiTheme="minorBidi" w:cstheme="minorBidi"/>
                <w:sz w:val="22"/>
                <w:szCs w:val="22"/>
              </w:rPr>
            </w:pPr>
            <w:proofErr w:type="spellStart"/>
            <w:r w:rsidRPr="002C5E91">
              <w:rPr>
                <w:rFonts w:asciiTheme="minorBidi" w:eastAsia="Arial" w:hAnsiTheme="minorBidi" w:cstheme="minorBidi"/>
                <w:sz w:val="22"/>
                <w:szCs w:val="22"/>
              </w:rPr>
              <w:t>Nadhirou</w:t>
            </w:r>
            <w:proofErr w:type="spellEnd"/>
            <w:r w:rsidRPr="002C5E91">
              <w:rPr>
                <w:rFonts w:asciiTheme="minorBidi" w:eastAsia="Arial" w:hAnsiTheme="minorBidi" w:cstheme="minorBidi"/>
                <w:sz w:val="22"/>
                <w:szCs w:val="22"/>
              </w:rPr>
              <w:t xml:space="preserve"> Abdoulaye KEBE, Coordinateur de l'UGP</w:t>
            </w:r>
          </w:p>
        </w:tc>
      </w:tr>
      <w:tr w:rsidR="00363269" w:rsidRPr="00A9637C" w14:paraId="360A6136" w14:textId="77777777" w:rsidTr="002C5E91">
        <w:tc>
          <w:tcPr>
            <w:tcW w:w="3172" w:type="dxa"/>
            <w:shd w:val="clear" w:color="auto" w:fill="EAF0F6"/>
            <w:tcMar>
              <w:top w:w="80" w:type="dxa"/>
              <w:left w:w="120" w:type="dxa"/>
              <w:bottom w:w="80" w:type="dxa"/>
              <w:right w:w="120" w:type="dxa"/>
            </w:tcMar>
            <w:vAlign w:val="center"/>
          </w:tcPr>
          <w:p w14:paraId="105E536E" w14:textId="77777777" w:rsidR="00363269" w:rsidRPr="002C5E91" w:rsidRDefault="00000000">
            <w:pPr>
              <w:rPr>
                <w:rFonts w:asciiTheme="minorBidi" w:hAnsiTheme="minorBidi" w:cstheme="minorBidi"/>
                <w:sz w:val="22"/>
                <w:szCs w:val="22"/>
              </w:rPr>
            </w:pPr>
            <w:r w:rsidRPr="002C5E91">
              <w:rPr>
                <w:rFonts w:asciiTheme="minorBidi" w:eastAsia="Arial" w:hAnsiTheme="minorBidi" w:cstheme="minorBidi"/>
                <w:b/>
                <w:bCs/>
                <w:sz w:val="22"/>
                <w:szCs w:val="22"/>
              </w:rPr>
              <w:t>Adresse</w:t>
            </w:r>
          </w:p>
        </w:tc>
        <w:tc>
          <w:tcPr>
            <w:tcW w:w="6524" w:type="dxa"/>
            <w:tcMar>
              <w:top w:w="80" w:type="dxa"/>
              <w:left w:w="120" w:type="dxa"/>
              <w:bottom w:w="80" w:type="dxa"/>
              <w:right w:w="120" w:type="dxa"/>
            </w:tcMar>
            <w:vAlign w:val="center"/>
          </w:tcPr>
          <w:p w14:paraId="0DB363DA" w14:textId="0953C469" w:rsidR="00363269" w:rsidRPr="00A9637C" w:rsidRDefault="002C5E91" w:rsidP="002C5E91">
            <w:pPr>
              <w:jc w:val="center"/>
              <w:rPr>
                <w:rFonts w:asciiTheme="minorBidi" w:hAnsiTheme="minorBidi" w:cstheme="minorBidi"/>
                <w:sz w:val="22"/>
                <w:szCs w:val="22"/>
                <w:lang w:val="en-US"/>
              </w:rPr>
            </w:pPr>
            <w:r w:rsidRPr="00A9637C">
              <w:rPr>
                <w:rFonts w:asciiTheme="minorBidi" w:hAnsiTheme="minorBidi" w:cstheme="minorBidi"/>
                <w:sz w:val="22"/>
                <w:szCs w:val="22"/>
                <w:lang w:val="en-US"/>
              </w:rPr>
              <w:t xml:space="preserve">NOT509 </w:t>
            </w:r>
            <w:proofErr w:type="spellStart"/>
            <w:r w:rsidRPr="00A9637C">
              <w:rPr>
                <w:rFonts w:asciiTheme="minorBidi" w:hAnsiTheme="minorBidi" w:cstheme="minorBidi"/>
                <w:sz w:val="22"/>
                <w:szCs w:val="22"/>
                <w:lang w:val="en-US"/>
              </w:rPr>
              <w:t>Tevrag</w:t>
            </w:r>
            <w:proofErr w:type="spellEnd"/>
            <w:r w:rsidRPr="00A9637C">
              <w:rPr>
                <w:rFonts w:asciiTheme="minorBidi" w:hAnsiTheme="minorBidi" w:cstheme="minorBidi"/>
                <w:sz w:val="22"/>
                <w:szCs w:val="22"/>
                <w:lang w:val="en-US"/>
              </w:rPr>
              <w:t xml:space="preserve"> </w:t>
            </w:r>
            <w:proofErr w:type="spellStart"/>
            <w:proofErr w:type="gramStart"/>
            <w:r w:rsidRPr="00A9637C">
              <w:rPr>
                <w:rFonts w:asciiTheme="minorBidi" w:hAnsiTheme="minorBidi" w:cstheme="minorBidi"/>
                <w:sz w:val="22"/>
                <w:szCs w:val="22"/>
                <w:lang w:val="en-US"/>
              </w:rPr>
              <w:t>zeina</w:t>
            </w:r>
            <w:proofErr w:type="spellEnd"/>
            <w:r w:rsidR="00A9637C" w:rsidRPr="00A9637C">
              <w:rPr>
                <w:rFonts w:asciiTheme="minorBidi" w:hAnsiTheme="minorBidi" w:cstheme="minorBidi"/>
                <w:sz w:val="22"/>
                <w:szCs w:val="22"/>
                <w:lang w:val="en-US"/>
              </w:rPr>
              <w:t> ;</w:t>
            </w:r>
            <w:proofErr w:type="gramEnd"/>
            <w:r w:rsidR="00A9637C" w:rsidRPr="00A9637C">
              <w:rPr>
                <w:rFonts w:asciiTheme="minorBidi" w:hAnsiTheme="minorBidi" w:cstheme="minorBidi"/>
                <w:sz w:val="22"/>
                <w:szCs w:val="22"/>
                <w:lang w:val="en-US"/>
              </w:rPr>
              <w:t xml:space="preserve"> rue Mohamed Said</w:t>
            </w:r>
            <w:r w:rsidR="00A9637C">
              <w:rPr>
                <w:rFonts w:asciiTheme="minorBidi" w:hAnsiTheme="minorBidi" w:cstheme="minorBidi"/>
                <w:sz w:val="22"/>
                <w:szCs w:val="22"/>
                <w:lang w:val="en-US"/>
              </w:rPr>
              <w:t xml:space="preserve"> </w:t>
            </w:r>
            <w:proofErr w:type="spellStart"/>
            <w:r w:rsidR="00A9637C">
              <w:rPr>
                <w:rFonts w:asciiTheme="minorBidi" w:hAnsiTheme="minorBidi" w:cstheme="minorBidi"/>
                <w:sz w:val="22"/>
                <w:szCs w:val="22"/>
                <w:lang w:val="en-US"/>
              </w:rPr>
              <w:t>Ould</w:t>
            </w:r>
            <w:proofErr w:type="spellEnd"/>
            <w:r w:rsidR="00A9637C">
              <w:rPr>
                <w:rFonts w:asciiTheme="minorBidi" w:hAnsiTheme="minorBidi" w:cstheme="minorBidi"/>
                <w:sz w:val="22"/>
                <w:szCs w:val="22"/>
                <w:lang w:val="en-US"/>
              </w:rPr>
              <w:t xml:space="preserve"> </w:t>
            </w:r>
            <w:proofErr w:type="spellStart"/>
            <w:r w:rsidR="00A9637C">
              <w:rPr>
                <w:rFonts w:asciiTheme="minorBidi" w:hAnsiTheme="minorBidi" w:cstheme="minorBidi"/>
                <w:sz w:val="22"/>
                <w:szCs w:val="22"/>
                <w:lang w:val="en-US"/>
              </w:rPr>
              <w:t>Hamody</w:t>
            </w:r>
            <w:proofErr w:type="spellEnd"/>
            <w:r w:rsidRPr="00A9637C">
              <w:rPr>
                <w:rFonts w:asciiTheme="minorBidi" w:hAnsiTheme="minorBidi" w:cstheme="minorBidi"/>
                <w:sz w:val="22"/>
                <w:szCs w:val="22"/>
                <w:lang w:val="en-US"/>
              </w:rPr>
              <w:t xml:space="preserve"> , Nouakchott-</w:t>
            </w:r>
            <w:proofErr w:type="spellStart"/>
            <w:r w:rsidRPr="00A9637C">
              <w:rPr>
                <w:rFonts w:asciiTheme="minorBidi" w:hAnsiTheme="minorBidi" w:cstheme="minorBidi"/>
                <w:sz w:val="22"/>
                <w:szCs w:val="22"/>
                <w:lang w:val="en-US"/>
              </w:rPr>
              <w:t>Mauritanie</w:t>
            </w:r>
            <w:proofErr w:type="spellEnd"/>
          </w:p>
        </w:tc>
      </w:tr>
      <w:tr w:rsidR="00363269" w:rsidRPr="002C5E91" w14:paraId="1FFB8730" w14:textId="77777777" w:rsidTr="002C5E91">
        <w:tc>
          <w:tcPr>
            <w:tcW w:w="3172" w:type="dxa"/>
            <w:shd w:val="clear" w:color="auto" w:fill="EAF0F6"/>
            <w:tcMar>
              <w:top w:w="80" w:type="dxa"/>
              <w:left w:w="120" w:type="dxa"/>
              <w:bottom w:w="80" w:type="dxa"/>
              <w:right w:w="120" w:type="dxa"/>
            </w:tcMar>
            <w:vAlign w:val="center"/>
          </w:tcPr>
          <w:p w14:paraId="4740253D" w14:textId="77777777" w:rsidR="00363269" w:rsidRPr="002C5E91" w:rsidRDefault="00000000">
            <w:pPr>
              <w:rPr>
                <w:rFonts w:asciiTheme="minorBidi" w:hAnsiTheme="minorBidi" w:cstheme="minorBidi"/>
                <w:sz w:val="22"/>
                <w:szCs w:val="22"/>
              </w:rPr>
            </w:pPr>
            <w:r w:rsidRPr="002C5E91">
              <w:rPr>
                <w:rFonts w:asciiTheme="minorBidi" w:eastAsia="Arial" w:hAnsiTheme="minorBidi" w:cstheme="minorBidi"/>
                <w:b/>
                <w:bCs/>
                <w:sz w:val="22"/>
                <w:szCs w:val="22"/>
              </w:rPr>
              <w:t>Téléphone</w:t>
            </w:r>
          </w:p>
        </w:tc>
        <w:tc>
          <w:tcPr>
            <w:tcW w:w="6524" w:type="dxa"/>
            <w:tcMar>
              <w:top w:w="80" w:type="dxa"/>
              <w:left w:w="120" w:type="dxa"/>
              <w:bottom w:w="80" w:type="dxa"/>
              <w:right w:w="120" w:type="dxa"/>
            </w:tcMar>
            <w:vAlign w:val="center"/>
          </w:tcPr>
          <w:p w14:paraId="02E18016" w14:textId="6D4B6CAD" w:rsidR="00363269" w:rsidRPr="002C5E91" w:rsidRDefault="002C5E91" w:rsidP="002C5E91">
            <w:pPr>
              <w:jc w:val="center"/>
              <w:rPr>
                <w:rFonts w:asciiTheme="minorBidi" w:hAnsiTheme="minorBidi" w:cstheme="minorBidi"/>
                <w:sz w:val="22"/>
                <w:szCs w:val="22"/>
              </w:rPr>
            </w:pPr>
            <w:r w:rsidRPr="002C5E91">
              <w:rPr>
                <w:rFonts w:asciiTheme="minorBidi" w:eastAsia="Arial" w:hAnsiTheme="minorBidi" w:cstheme="minorBidi"/>
                <w:sz w:val="22"/>
                <w:szCs w:val="22"/>
              </w:rPr>
              <w:t>00(222) 36 26 87 56</w:t>
            </w:r>
          </w:p>
        </w:tc>
      </w:tr>
      <w:tr w:rsidR="00363269" w:rsidRPr="002C5E91" w14:paraId="511744CE" w14:textId="77777777" w:rsidTr="002C5E91">
        <w:tc>
          <w:tcPr>
            <w:tcW w:w="3172" w:type="dxa"/>
            <w:shd w:val="clear" w:color="auto" w:fill="EAF0F6"/>
            <w:tcMar>
              <w:top w:w="80" w:type="dxa"/>
              <w:left w:w="120" w:type="dxa"/>
              <w:bottom w:w="80" w:type="dxa"/>
              <w:right w:w="120" w:type="dxa"/>
            </w:tcMar>
            <w:vAlign w:val="center"/>
          </w:tcPr>
          <w:p w14:paraId="41184B42" w14:textId="77777777" w:rsidR="00363269" w:rsidRPr="002C5E91" w:rsidRDefault="00000000">
            <w:pPr>
              <w:rPr>
                <w:rFonts w:asciiTheme="minorBidi" w:hAnsiTheme="minorBidi" w:cstheme="minorBidi"/>
                <w:sz w:val="22"/>
                <w:szCs w:val="22"/>
              </w:rPr>
            </w:pPr>
            <w:r w:rsidRPr="002C5E91">
              <w:rPr>
                <w:rFonts w:asciiTheme="minorBidi" w:eastAsia="Arial" w:hAnsiTheme="minorBidi" w:cstheme="minorBidi"/>
                <w:b/>
                <w:bCs/>
                <w:sz w:val="22"/>
                <w:szCs w:val="22"/>
              </w:rPr>
              <w:t>Courriel</w:t>
            </w:r>
          </w:p>
        </w:tc>
        <w:tc>
          <w:tcPr>
            <w:tcW w:w="6524" w:type="dxa"/>
            <w:tcMar>
              <w:top w:w="80" w:type="dxa"/>
              <w:left w:w="120" w:type="dxa"/>
              <w:bottom w:w="80" w:type="dxa"/>
              <w:right w:w="120" w:type="dxa"/>
            </w:tcMar>
            <w:vAlign w:val="center"/>
          </w:tcPr>
          <w:p w14:paraId="5C0BF087" w14:textId="1BBB379B" w:rsidR="00363269" w:rsidRPr="002C5E91" w:rsidRDefault="002C5E91" w:rsidP="002C5E91">
            <w:pPr>
              <w:jc w:val="center"/>
              <w:rPr>
                <w:rFonts w:asciiTheme="minorBidi" w:hAnsiTheme="minorBidi" w:cstheme="minorBidi"/>
                <w:sz w:val="22"/>
                <w:szCs w:val="22"/>
              </w:rPr>
            </w:pPr>
            <w:r w:rsidRPr="002C5E91">
              <w:rPr>
                <w:rFonts w:asciiTheme="minorBidi" w:eastAsia="Arial" w:hAnsiTheme="minorBidi" w:cstheme="minorBidi"/>
                <w:sz w:val="22"/>
                <w:szCs w:val="22"/>
              </w:rPr>
              <w:t>Kebenas79@gmail.com</w:t>
            </w:r>
          </w:p>
        </w:tc>
      </w:tr>
    </w:tbl>
    <w:p w14:paraId="67A9A1D6" w14:textId="77777777" w:rsidR="00363269" w:rsidRPr="002C5E91" w:rsidRDefault="00363269">
      <w:pPr>
        <w:spacing w:before="300"/>
        <w:rPr>
          <w:rFonts w:asciiTheme="minorBidi" w:hAnsiTheme="minorBidi" w:cstheme="minorBidi"/>
          <w:sz w:val="22"/>
          <w:szCs w:val="22"/>
        </w:rPr>
      </w:pPr>
    </w:p>
    <w:p w14:paraId="6397B8F3" w14:textId="28FD524B" w:rsidR="00363269" w:rsidRPr="002C5E91" w:rsidRDefault="00000000">
      <w:pPr>
        <w:spacing w:before="500" w:after="200"/>
        <w:jc w:val="right"/>
        <w:rPr>
          <w:rFonts w:asciiTheme="minorBidi" w:hAnsiTheme="minorBidi" w:cstheme="minorBidi"/>
          <w:sz w:val="22"/>
          <w:szCs w:val="22"/>
        </w:rPr>
      </w:pPr>
      <w:r w:rsidRPr="002C5E91">
        <w:rPr>
          <w:rFonts w:asciiTheme="minorBidi" w:eastAsia="Arial" w:hAnsiTheme="minorBidi" w:cstheme="minorBidi"/>
          <w:i/>
          <w:iCs/>
          <w:sz w:val="22"/>
          <w:szCs w:val="22"/>
        </w:rPr>
        <w:t xml:space="preserve">Nouakchott, le </w:t>
      </w:r>
      <w:r w:rsidR="002C5E91" w:rsidRPr="002C5E91">
        <w:rPr>
          <w:rFonts w:asciiTheme="minorBidi" w:eastAsia="Arial" w:hAnsiTheme="minorBidi" w:cstheme="minorBidi"/>
          <w:i/>
          <w:iCs/>
          <w:sz w:val="22"/>
          <w:szCs w:val="22"/>
        </w:rPr>
        <w:t>10 juillet 2026</w:t>
      </w:r>
    </w:p>
    <w:p w14:paraId="317F0891" w14:textId="77777777" w:rsidR="002C5E91" w:rsidRPr="002C5E91" w:rsidRDefault="002C5E91" w:rsidP="002C5E91">
      <w:pPr>
        <w:spacing w:before="100"/>
        <w:jc w:val="center"/>
        <w:rPr>
          <w:rFonts w:asciiTheme="minorBidi" w:eastAsia="Arial" w:hAnsiTheme="minorBidi" w:cstheme="minorBidi"/>
          <w:b/>
          <w:bCs/>
          <w:sz w:val="24"/>
          <w:szCs w:val="24"/>
        </w:rPr>
      </w:pPr>
    </w:p>
    <w:p w14:paraId="4E9F40E8" w14:textId="1B8DFF12" w:rsidR="00363269" w:rsidRPr="002C5E91" w:rsidRDefault="00000000" w:rsidP="002C5E91">
      <w:pPr>
        <w:spacing w:before="100"/>
        <w:jc w:val="center"/>
        <w:rPr>
          <w:rFonts w:asciiTheme="minorBidi" w:hAnsiTheme="minorBidi" w:cstheme="minorBidi"/>
          <w:b/>
          <w:bCs/>
          <w:sz w:val="24"/>
          <w:szCs w:val="24"/>
        </w:rPr>
      </w:pPr>
      <w:r w:rsidRPr="002C5E91">
        <w:rPr>
          <w:rFonts w:asciiTheme="minorBidi" w:eastAsia="Arial" w:hAnsiTheme="minorBidi" w:cstheme="minorBidi"/>
          <w:b/>
          <w:bCs/>
          <w:sz w:val="24"/>
          <w:szCs w:val="24"/>
        </w:rPr>
        <w:t>Pour l'Unité de Gestion du Projet (UGP)</w:t>
      </w:r>
    </w:p>
    <w:p w14:paraId="4E89DD12" w14:textId="77777777" w:rsidR="00363269" w:rsidRPr="002C5E91" w:rsidRDefault="00000000" w:rsidP="002C5E91">
      <w:pPr>
        <w:spacing w:before="60"/>
        <w:jc w:val="center"/>
        <w:rPr>
          <w:rFonts w:asciiTheme="minorBidi" w:hAnsiTheme="minorBidi" w:cstheme="minorBidi"/>
          <w:b/>
          <w:bCs/>
          <w:sz w:val="24"/>
          <w:szCs w:val="24"/>
        </w:rPr>
      </w:pPr>
      <w:proofErr w:type="spellStart"/>
      <w:r w:rsidRPr="002C5E91">
        <w:rPr>
          <w:rFonts w:asciiTheme="minorBidi" w:eastAsia="Arial" w:hAnsiTheme="minorBidi" w:cstheme="minorBidi"/>
          <w:b/>
          <w:bCs/>
          <w:sz w:val="24"/>
          <w:szCs w:val="24"/>
        </w:rPr>
        <w:t>Nadhirou</w:t>
      </w:r>
      <w:proofErr w:type="spellEnd"/>
      <w:r w:rsidRPr="002C5E91">
        <w:rPr>
          <w:rFonts w:asciiTheme="minorBidi" w:eastAsia="Arial" w:hAnsiTheme="minorBidi" w:cstheme="minorBidi"/>
          <w:b/>
          <w:bCs/>
          <w:sz w:val="24"/>
          <w:szCs w:val="24"/>
        </w:rPr>
        <w:t xml:space="preserve"> Abdoulaye KEBE, Coordinateur</w:t>
      </w:r>
    </w:p>
    <w:sectPr w:rsidR="00363269" w:rsidRPr="002C5E91">
      <w:headerReference w:type="even" r:id="rId7"/>
      <w:headerReference w:type="default" r:id="rId8"/>
      <w:footerReference w:type="default" r:id="rId9"/>
      <w:headerReference w:type="first" r:id="rId10"/>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85268" w14:textId="77777777" w:rsidR="00FE78EE" w:rsidRDefault="00FE78EE">
      <w:r>
        <w:separator/>
      </w:r>
    </w:p>
  </w:endnote>
  <w:endnote w:type="continuationSeparator" w:id="0">
    <w:p w14:paraId="2EE1B191" w14:textId="77777777" w:rsidR="00FE78EE" w:rsidRDefault="00FE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188C" w14:textId="77777777" w:rsidR="00363269" w:rsidRDefault="00000000">
    <w:pPr>
      <w:pBdr>
        <w:top w:val="single" w:sz="4" w:space="4" w:color="B0B0B0"/>
      </w:pBdr>
      <w:jc w:val="center"/>
    </w:pPr>
    <w:r>
      <w:rPr>
        <w:rFonts w:ascii="Arial" w:eastAsia="Arial" w:hAnsi="Arial" w:cs="Arial"/>
        <w:color w:val="808080"/>
        <w:sz w:val="16"/>
        <w:szCs w:val="16"/>
      </w:rPr>
      <w:t xml:space="preserve">AGPM – Projet d'Extension du Centre National de Cardiologie (MRT-1053) — Page </w:t>
    </w:r>
    <w:r>
      <w:rPr>
        <w:rFonts w:ascii="Arial" w:eastAsia="Arial" w:hAnsi="Arial" w:cs="Arial"/>
        <w:color w:val="808080"/>
        <w:sz w:val="16"/>
        <w:szCs w:val="16"/>
      </w:rPr>
      <w:fldChar w:fldCharType="begin"/>
    </w:r>
    <w:r>
      <w:rPr>
        <w:rFonts w:ascii="Arial" w:eastAsia="Arial" w:hAnsi="Arial" w:cs="Arial"/>
        <w:color w:val="808080"/>
        <w:sz w:val="16"/>
        <w:szCs w:val="16"/>
      </w:rPr>
      <w:instrText>PAGE</w:instrText>
    </w:r>
    <w:r>
      <w:rPr>
        <w:rFonts w:ascii="Arial" w:eastAsia="Arial" w:hAnsi="Arial" w:cs="Arial"/>
        <w:color w:val="808080"/>
        <w:sz w:val="16"/>
        <w:szCs w:val="16"/>
      </w:rPr>
      <w:fldChar w:fldCharType="separate"/>
    </w:r>
    <w:r w:rsidR="00DA1294">
      <w:rPr>
        <w:rFonts w:ascii="Arial" w:eastAsia="Arial" w:hAnsi="Arial" w:cs="Arial"/>
        <w:noProof/>
        <w:color w:val="808080"/>
        <w:sz w:val="16"/>
        <w:szCs w:val="16"/>
      </w:rPr>
      <w:t>1</w:t>
    </w:r>
    <w:r>
      <w:rPr>
        <w:rFonts w:ascii="Arial" w:eastAsia="Arial" w:hAnsi="Arial" w:cs="Arial"/>
        <w:color w:val="808080"/>
        <w:sz w:val="16"/>
        <w:szCs w:val="16"/>
      </w:rPr>
      <w:fldChar w:fldCharType="end"/>
    </w:r>
    <w:r>
      <w:rPr>
        <w:rFonts w:ascii="Arial" w:eastAsia="Arial" w:hAnsi="Arial" w:cs="Arial"/>
        <w:color w:val="808080"/>
        <w:sz w:val="16"/>
        <w:szCs w:val="16"/>
      </w:rPr>
      <w:t xml:space="preserve"> / </w:t>
    </w:r>
    <w:r>
      <w:rPr>
        <w:rFonts w:ascii="Arial" w:eastAsia="Arial" w:hAnsi="Arial" w:cs="Arial"/>
        <w:color w:val="808080"/>
        <w:sz w:val="16"/>
        <w:szCs w:val="16"/>
      </w:rPr>
      <w:fldChar w:fldCharType="begin"/>
    </w:r>
    <w:r>
      <w:rPr>
        <w:rFonts w:ascii="Arial" w:eastAsia="Arial" w:hAnsi="Arial" w:cs="Arial"/>
        <w:color w:val="808080"/>
        <w:sz w:val="16"/>
        <w:szCs w:val="16"/>
      </w:rPr>
      <w:instrText>NUMPAGES</w:instrText>
    </w:r>
    <w:r>
      <w:rPr>
        <w:rFonts w:ascii="Arial" w:eastAsia="Arial" w:hAnsi="Arial" w:cs="Arial"/>
        <w:color w:val="808080"/>
        <w:sz w:val="16"/>
        <w:szCs w:val="16"/>
      </w:rPr>
      <w:fldChar w:fldCharType="separate"/>
    </w:r>
    <w:r w:rsidR="00DA1294">
      <w:rPr>
        <w:rFonts w:ascii="Arial" w:eastAsia="Arial" w:hAnsi="Arial" w:cs="Arial"/>
        <w:noProof/>
        <w:color w:val="808080"/>
        <w:sz w:val="16"/>
        <w:szCs w:val="16"/>
      </w:rPr>
      <w:t>2</w:t>
    </w:r>
    <w:r>
      <w:rPr>
        <w:rFonts w:ascii="Arial" w:eastAsia="Arial" w:hAnsi="Arial" w:cs="Arial"/>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DB998" w14:textId="77777777" w:rsidR="00FE78EE" w:rsidRDefault="00FE78EE">
      <w:r>
        <w:separator/>
      </w:r>
    </w:p>
  </w:footnote>
  <w:footnote w:type="continuationSeparator" w:id="0">
    <w:p w14:paraId="47DB01D1" w14:textId="77777777" w:rsidR="00FE78EE" w:rsidRDefault="00FE7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FB8D" w14:textId="5AE47AEF" w:rsidR="00C34574" w:rsidRDefault="00C34574">
    <w:pPr>
      <w:pStyle w:val="En-tte"/>
    </w:pPr>
    <w:r>
      <w:rPr>
        <w:noProof/>
      </w:rPr>
      <mc:AlternateContent>
        <mc:Choice Requires="wps">
          <w:drawing>
            <wp:anchor distT="0" distB="0" distL="0" distR="0" simplePos="0" relativeHeight="251659264" behindDoc="0" locked="0" layoutInCell="1" allowOverlap="1" wp14:anchorId="0A4D1911" wp14:editId="3E010FE4">
              <wp:simplePos x="635" y="635"/>
              <wp:positionH relativeFrom="page">
                <wp:align>left</wp:align>
              </wp:positionH>
              <wp:positionV relativeFrom="page">
                <wp:align>top</wp:align>
              </wp:positionV>
              <wp:extent cx="793750" cy="345440"/>
              <wp:effectExtent l="0" t="0" r="6350" b="16510"/>
              <wp:wrapNone/>
              <wp:docPr id="1899553865"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492BB7C5" w14:textId="2D35D456" w:rsidR="00C34574" w:rsidRPr="00C34574" w:rsidRDefault="00C34574" w:rsidP="00C34574">
                          <w:pPr>
                            <w:rPr>
                              <w:rFonts w:ascii="Aptos" w:eastAsia="Aptos" w:hAnsi="Aptos" w:cs="Aptos"/>
                              <w:noProof/>
                              <w:color w:val="000000"/>
                            </w:rPr>
                          </w:pPr>
                          <w:r w:rsidRPr="00C34574">
                            <w:rPr>
                              <w:rFonts w:ascii="Aptos" w:eastAsia="Aptos" w:hAnsi="Aptos" w:cs="Aptos"/>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0A4D1911" id="_x0000_t202" coordsize="21600,21600" o:spt="202" path="m,l,21600r21600,l21600,xe">
              <v:stroke joinstyle="miter"/>
              <v:path gradientshapeok="t" o:connecttype="rect"/>
            </v:shapetype>
            <v:shape id="Text Box 2" o:spid="_x0000_s1026" type="#_x0000_t202" alt="Protected" style="position:absolute;margin-left:0;margin-top:0;width:62.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fill o:detectmouseclick="t"/>
              <v:textbox style="mso-fit-shape-to-text:t" inset="20pt,15pt,0,0">
                <w:txbxContent>
                  <w:p w14:paraId="492BB7C5" w14:textId="2D35D456" w:rsidR="00C34574" w:rsidRPr="00C34574" w:rsidRDefault="00C34574" w:rsidP="00C34574">
                    <w:pPr>
                      <w:rPr>
                        <w:rFonts w:ascii="Aptos" w:eastAsia="Aptos" w:hAnsi="Aptos" w:cs="Aptos"/>
                        <w:noProof/>
                        <w:color w:val="000000"/>
                      </w:rPr>
                    </w:pPr>
                    <w:r w:rsidRPr="00C34574">
                      <w:rPr>
                        <w:rFonts w:ascii="Aptos" w:eastAsia="Aptos" w:hAnsi="Aptos" w:cs="Aptos"/>
                        <w:noProof/>
                        <w:color w:val="00000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DA86" w14:textId="1DF42A35" w:rsidR="00363269" w:rsidRDefault="00C34574">
    <w:pPr>
      <w:jc w:val="right"/>
    </w:pPr>
    <w:r>
      <w:rPr>
        <w:rFonts w:ascii="Arial" w:eastAsia="Arial" w:hAnsi="Arial" w:cs="Arial"/>
        <w:i/>
        <w:iCs/>
        <w:noProof/>
        <w:color w:val="808080"/>
        <w:sz w:val="16"/>
        <w:szCs w:val="16"/>
      </w:rPr>
      <mc:AlternateContent>
        <mc:Choice Requires="wps">
          <w:drawing>
            <wp:anchor distT="0" distB="0" distL="0" distR="0" simplePos="0" relativeHeight="251660288" behindDoc="0" locked="0" layoutInCell="1" allowOverlap="1" wp14:anchorId="3B0406F3" wp14:editId="4987EF2D">
              <wp:simplePos x="700088" y="452438"/>
              <wp:positionH relativeFrom="page">
                <wp:align>left</wp:align>
              </wp:positionH>
              <wp:positionV relativeFrom="page">
                <wp:align>top</wp:align>
              </wp:positionV>
              <wp:extent cx="793750" cy="345440"/>
              <wp:effectExtent l="0" t="0" r="6350" b="16510"/>
              <wp:wrapNone/>
              <wp:docPr id="1872292757"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03D28C72" w14:textId="3F62AB09" w:rsidR="00C34574" w:rsidRPr="00C34574" w:rsidRDefault="00C34574" w:rsidP="00C34574">
                          <w:pPr>
                            <w:rPr>
                              <w:rFonts w:ascii="Aptos" w:eastAsia="Aptos" w:hAnsi="Aptos" w:cs="Aptos"/>
                              <w:noProof/>
                              <w:color w:val="000000"/>
                            </w:rPr>
                          </w:pPr>
                          <w:r w:rsidRPr="00C34574">
                            <w:rPr>
                              <w:rFonts w:ascii="Aptos" w:eastAsia="Aptos" w:hAnsi="Aptos" w:cs="Aptos"/>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3B0406F3" id="_x0000_t202" coordsize="21600,21600" o:spt="202" path="m,l,21600r21600,l21600,xe">
              <v:stroke joinstyle="miter"/>
              <v:path gradientshapeok="t" o:connecttype="rect"/>
            </v:shapetype>
            <v:shape id="Text Box 3" o:spid="_x0000_s1027" type="#_x0000_t202" alt="Protected" style="position:absolute;left:0;text-align:left;margin-left:0;margin-top:0;width:62.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fill o:detectmouseclick="t"/>
              <v:textbox style="mso-fit-shape-to-text:t" inset="20pt,15pt,0,0">
                <w:txbxContent>
                  <w:p w14:paraId="03D28C72" w14:textId="3F62AB09" w:rsidR="00C34574" w:rsidRPr="00C34574" w:rsidRDefault="00C34574" w:rsidP="00C34574">
                    <w:pPr>
                      <w:rPr>
                        <w:rFonts w:ascii="Aptos" w:eastAsia="Aptos" w:hAnsi="Aptos" w:cs="Aptos"/>
                        <w:noProof/>
                        <w:color w:val="000000"/>
                      </w:rPr>
                    </w:pPr>
                    <w:r w:rsidRPr="00C34574">
                      <w:rPr>
                        <w:rFonts w:ascii="Aptos" w:eastAsia="Aptos" w:hAnsi="Aptos" w:cs="Aptos"/>
                        <w:noProof/>
                        <w:color w:val="000000"/>
                      </w:rPr>
                      <w:t>Protected</w:t>
                    </w:r>
                  </w:p>
                </w:txbxContent>
              </v:textbox>
              <w10:wrap anchorx="page" anchory="page"/>
            </v:shape>
          </w:pict>
        </mc:Fallback>
      </mc:AlternateContent>
    </w:r>
    <w:r>
      <w:rPr>
        <w:rFonts w:ascii="Arial" w:eastAsia="Arial" w:hAnsi="Arial" w:cs="Arial"/>
        <w:i/>
        <w:iCs/>
        <w:color w:val="808080"/>
        <w:sz w:val="16"/>
        <w:szCs w:val="16"/>
      </w:rPr>
      <w:t>Protégé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A05C" w14:textId="5694270B" w:rsidR="00C34574" w:rsidRDefault="00C34574">
    <w:pPr>
      <w:pStyle w:val="En-tte"/>
    </w:pPr>
    <w:r>
      <w:rPr>
        <w:noProof/>
      </w:rPr>
      <mc:AlternateContent>
        <mc:Choice Requires="wps">
          <w:drawing>
            <wp:anchor distT="0" distB="0" distL="0" distR="0" simplePos="0" relativeHeight="251658240" behindDoc="0" locked="0" layoutInCell="1" allowOverlap="1" wp14:anchorId="0CAAAE36" wp14:editId="4A2C6DB9">
              <wp:simplePos x="635" y="635"/>
              <wp:positionH relativeFrom="page">
                <wp:align>left</wp:align>
              </wp:positionH>
              <wp:positionV relativeFrom="page">
                <wp:align>top</wp:align>
              </wp:positionV>
              <wp:extent cx="793750" cy="345440"/>
              <wp:effectExtent l="0" t="0" r="6350" b="16510"/>
              <wp:wrapNone/>
              <wp:docPr id="1857143891"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5C5DAE7" w14:textId="226BBD04" w:rsidR="00C34574" w:rsidRPr="00C34574" w:rsidRDefault="00C34574" w:rsidP="00C34574">
                          <w:pPr>
                            <w:rPr>
                              <w:rFonts w:ascii="Aptos" w:eastAsia="Aptos" w:hAnsi="Aptos" w:cs="Aptos"/>
                              <w:noProof/>
                              <w:color w:val="000000"/>
                            </w:rPr>
                          </w:pPr>
                          <w:r w:rsidRPr="00C34574">
                            <w:rPr>
                              <w:rFonts w:ascii="Aptos" w:eastAsia="Aptos" w:hAnsi="Aptos" w:cs="Aptos"/>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0CAAAE36" id="_x0000_t202" coordsize="21600,21600" o:spt="202" path="m,l,21600r21600,l21600,xe">
              <v:stroke joinstyle="miter"/>
              <v:path gradientshapeok="t" o:connecttype="rect"/>
            </v:shapetype>
            <v:shape id="Text Box 1" o:spid="_x0000_s1028" type="#_x0000_t202" alt="Protected"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fill o:detectmouseclick="t"/>
              <v:textbox style="mso-fit-shape-to-text:t" inset="20pt,15pt,0,0">
                <w:txbxContent>
                  <w:p w14:paraId="55C5DAE7" w14:textId="226BBD04" w:rsidR="00C34574" w:rsidRPr="00C34574" w:rsidRDefault="00C34574" w:rsidP="00C34574">
                    <w:pPr>
                      <w:rPr>
                        <w:rFonts w:ascii="Aptos" w:eastAsia="Aptos" w:hAnsi="Aptos" w:cs="Aptos"/>
                        <w:noProof/>
                        <w:color w:val="000000"/>
                      </w:rPr>
                    </w:pPr>
                    <w:r w:rsidRPr="00C34574">
                      <w:rPr>
                        <w:rFonts w:ascii="Aptos" w:eastAsia="Aptos" w:hAnsi="Aptos" w:cs="Aptos"/>
                        <w:noProof/>
                        <w:color w:val="00000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11345"/>
    <w:multiLevelType w:val="hybridMultilevel"/>
    <w:tmpl w:val="067C20F2"/>
    <w:lvl w:ilvl="0" w:tplc="6D2EE56E">
      <w:start w:val="1"/>
      <w:numFmt w:val="bullet"/>
      <w:lvlText w:val="●"/>
      <w:lvlJc w:val="left"/>
      <w:pPr>
        <w:ind w:left="720" w:hanging="360"/>
      </w:pPr>
    </w:lvl>
    <w:lvl w:ilvl="1" w:tplc="5F10475A">
      <w:start w:val="1"/>
      <w:numFmt w:val="bullet"/>
      <w:lvlText w:val="○"/>
      <w:lvlJc w:val="left"/>
      <w:pPr>
        <w:ind w:left="1440" w:hanging="360"/>
      </w:pPr>
    </w:lvl>
    <w:lvl w:ilvl="2" w:tplc="BD8C476E">
      <w:start w:val="1"/>
      <w:numFmt w:val="bullet"/>
      <w:lvlText w:val="■"/>
      <w:lvlJc w:val="left"/>
      <w:pPr>
        <w:ind w:left="2160" w:hanging="360"/>
      </w:pPr>
    </w:lvl>
    <w:lvl w:ilvl="3" w:tplc="AF30746C">
      <w:start w:val="1"/>
      <w:numFmt w:val="bullet"/>
      <w:lvlText w:val="●"/>
      <w:lvlJc w:val="left"/>
      <w:pPr>
        <w:ind w:left="2880" w:hanging="360"/>
      </w:pPr>
    </w:lvl>
    <w:lvl w:ilvl="4" w:tplc="E9FE6CAE">
      <w:start w:val="1"/>
      <w:numFmt w:val="bullet"/>
      <w:lvlText w:val="○"/>
      <w:lvlJc w:val="left"/>
      <w:pPr>
        <w:ind w:left="3600" w:hanging="360"/>
      </w:pPr>
    </w:lvl>
    <w:lvl w:ilvl="5" w:tplc="C3D445D4">
      <w:start w:val="1"/>
      <w:numFmt w:val="bullet"/>
      <w:lvlText w:val="■"/>
      <w:lvlJc w:val="left"/>
      <w:pPr>
        <w:ind w:left="4320" w:hanging="360"/>
      </w:pPr>
    </w:lvl>
    <w:lvl w:ilvl="6" w:tplc="269C9892">
      <w:start w:val="1"/>
      <w:numFmt w:val="bullet"/>
      <w:lvlText w:val="●"/>
      <w:lvlJc w:val="left"/>
      <w:pPr>
        <w:ind w:left="5040" w:hanging="360"/>
      </w:pPr>
    </w:lvl>
    <w:lvl w:ilvl="7" w:tplc="A354764E">
      <w:start w:val="1"/>
      <w:numFmt w:val="bullet"/>
      <w:lvlText w:val="●"/>
      <w:lvlJc w:val="left"/>
      <w:pPr>
        <w:ind w:left="5760" w:hanging="360"/>
      </w:pPr>
    </w:lvl>
    <w:lvl w:ilvl="8" w:tplc="0DE2DE6A">
      <w:start w:val="1"/>
      <w:numFmt w:val="bullet"/>
      <w:lvlText w:val="●"/>
      <w:lvlJc w:val="left"/>
      <w:pPr>
        <w:ind w:left="6480" w:hanging="360"/>
      </w:pPr>
    </w:lvl>
  </w:abstractNum>
  <w:num w:numId="1" w16cid:durableId="18852143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69"/>
    <w:rsid w:val="002C5E91"/>
    <w:rsid w:val="00363269"/>
    <w:rsid w:val="0067389C"/>
    <w:rsid w:val="006A61F9"/>
    <w:rsid w:val="00896C95"/>
    <w:rsid w:val="008E2E82"/>
    <w:rsid w:val="00A9637C"/>
    <w:rsid w:val="00C34574"/>
    <w:rsid w:val="00DA1294"/>
    <w:rsid w:val="00E5191C"/>
    <w:rsid w:val="00EA4EB7"/>
    <w:rsid w:val="00FE78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5729A"/>
  <w15:docId w15:val="{98CB2D65-DD58-4CF3-9B4B-D1C8C24A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Rvision">
    <w:name w:val="Revision"/>
    <w:hidden/>
    <w:uiPriority w:val="99"/>
    <w:semiHidden/>
    <w:rsid w:val="00C34574"/>
  </w:style>
  <w:style w:type="paragraph" w:styleId="En-tte">
    <w:name w:val="header"/>
    <w:basedOn w:val="Normal"/>
    <w:link w:val="En-tteCar"/>
    <w:uiPriority w:val="99"/>
    <w:unhideWhenUsed/>
    <w:rsid w:val="00C34574"/>
    <w:pPr>
      <w:tabs>
        <w:tab w:val="center" w:pos="4513"/>
        <w:tab w:val="right" w:pos="9026"/>
      </w:tabs>
    </w:pPr>
  </w:style>
  <w:style w:type="character" w:customStyle="1" w:styleId="En-tteCar">
    <w:name w:val="En-tête Car"/>
    <w:basedOn w:val="Policepardfaut"/>
    <w:link w:val="En-tte"/>
    <w:uiPriority w:val="99"/>
    <w:rsid w:val="00C34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990</Words>
  <Characters>5450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3</cp:revision>
  <dcterms:created xsi:type="dcterms:W3CDTF">2026-07-27T10:03:00Z</dcterms:created>
  <dcterms:modified xsi:type="dcterms:W3CDTF">2026-07-27T15:53:00Z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6eb1c453,7138e449,6f98eb95</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2026-07-27T00:28:59Z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1105aa25-3b51-4340-8b8c-28f56645ea78</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