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F374F" w14:textId="77777777" w:rsidR="005130C3" w:rsidRPr="00AD5EE1" w:rsidRDefault="005130C3">
      <w:pPr>
        <w:pStyle w:val="Heading1a"/>
        <w:keepNext w:val="0"/>
        <w:keepLines w:val="0"/>
        <w:tabs>
          <w:tab w:val="clear" w:pos="-720"/>
        </w:tabs>
        <w:suppressAutoHyphens w:val="0"/>
        <w:rPr>
          <w:bCs/>
          <w:smallCaps w:val="0"/>
        </w:rPr>
      </w:pPr>
      <w:r w:rsidRPr="00AD5EE1">
        <w:rPr>
          <w:bCs/>
          <w:smallCaps w:val="0"/>
        </w:rPr>
        <w:t>GENERAL PROCUREMENT NOTICE</w:t>
      </w:r>
    </w:p>
    <w:p w14:paraId="08B9D640" w14:textId="77777777" w:rsidR="005130C3" w:rsidRPr="00AD5EE1" w:rsidRDefault="005130C3">
      <w:pPr>
        <w:suppressAutoHyphens/>
        <w:rPr>
          <w:rFonts w:ascii="Times New Roman" w:hAnsi="Times New Roman"/>
          <w:spacing w:val="-2"/>
        </w:rPr>
      </w:pPr>
    </w:p>
    <w:p w14:paraId="5C5D152A" w14:textId="1D00EECD" w:rsidR="005F40FB" w:rsidRPr="00AD5EE1" w:rsidRDefault="00D7302C" w:rsidP="003818BD">
      <w:pPr>
        <w:suppressAutoHyphens/>
        <w:rPr>
          <w:rFonts w:ascii="Times New Roman" w:hAnsi="Times New Roman"/>
          <w:spacing w:val="-2"/>
          <w:sz w:val="24"/>
          <w:szCs w:val="24"/>
        </w:rPr>
      </w:pPr>
      <w:r w:rsidRPr="00AD5EE1">
        <w:rPr>
          <w:rFonts w:ascii="Times New Roman" w:hAnsi="Times New Roman"/>
          <w:b/>
          <w:bCs/>
          <w:spacing w:val="-2"/>
          <w:sz w:val="24"/>
          <w:szCs w:val="24"/>
        </w:rPr>
        <w:t>Entity</w:t>
      </w:r>
      <w:r w:rsidR="00F50C13" w:rsidRPr="00AD5EE1">
        <w:rPr>
          <w:rFonts w:ascii="Times New Roman" w:hAnsi="Times New Roman"/>
          <w:b/>
          <w:bCs/>
          <w:spacing w:val="-2"/>
          <w:sz w:val="24"/>
          <w:szCs w:val="24"/>
        </w:rPr>
        <w:t>:</w:t>
      </w:r>
      <w:r w:rsidR="00F50C13" w:rsidRPr="00AD5EE1">
        <w:rPr>
          <w:rFonts w:ascii="Times New Roman" w:hAnsi="Times New Roman"/>
          <w:spacing w:val="-2"/>
          <w:sz w:val="24"/>
          <w:szCs w:val="24"/>
        </w:rPr>
        <w:t xml:space="preserve"> </w:t>
      </w:r>
      <w:r w:rsidRPr="00AD5EE1">
        <w:rPr>
          <w:rFonts w:ascii="Times New Roman" w:hAnsi="Times New Roman"/>
          <w:spacing w:val="-2"/>
          <w:sz w:val="24"/>
          <w:szCs w:val="24"/>
        </w:rPr>
        <w:t>Islamic Financial Services Board (IFSB)</w:t>
      </w:r>
    </w:p>
    <w:p w14:paraId="018032A9" w14:textId="77777777" w:rsidR="00D7302C" w:rsidRPr="00AD5EE1" w:rsidRDefault="00790458" w:rsidP="00D7302C">
      <w:pPr>
        <w:rPr>
          <w:spacing w:val="-2"/>
          <w:sz w:val="24"/>
          <w:szCs w:val="24"/>
        </w:rPr>
      </w:pPr>
      <w:r w:rsidRPr="00AD5EE1">
        <w:rPr>
          <w:rFonts w:ascii="Times New Roman" w:hAnsi="Times New Roman"/>
          <w:b/>
          <w:bCs/>
          <w:spacing w:val="-2"/>
          <w:sz w:val="24"/>
          <w:szCs w:val="24"/>
        </w:rPr>
        <w:t>Project Name:</w:t>
      </w:r>
      <w:r w:rsidRPr="00AD5EE1">
        <w:rPr>
          <w:rFonts w:ascii="Times New Roman" w:hAnsi="Times New Roman"/>
          <w:spacing w:val="-2"/>
          <w:sz w:val="24"/>
          <w:szCs w:val="24"/>
        </w:rPr>
        <w:t xml:space="preserve"> </w:t>
      </w:r>
      <w:r w:rsidR="00D7302C" w:rsidRPr="00AD5EE1">
        <w:rPr>
          <w:spacing w:val="-2"/>
          <w:sz w:val="24"/>
          <w:szCs w:val="24"/>
        </w:rPr>
        <w:t>Islamic Finance Legal Framework Guidelines and Database Project</w:t>
      </w:r>
    </w:p>
    <w:p w14:paraId="2D288E12" w14:textId="768E0754" w:rsidR="00E531CB" w:rsidRPr="00AD5EE1" w:rsidRDefault="007279C8" w:rsidP="00E531CB">
      <w:pPr>
        <w:suppressAutoHyphens/>
        <w:rPr>
          <w:rFonts w:ascii="Times New Roman" w:hAnsi="Times New Roman"/>
          <w:spacing w:val="-2"/>
          <w:sz w:val="24"/>
          <w:szCs w:val="24"/>
        </w:rPr>
      </w:pPr>
      <w:r w:rsidRPr="00AD5EE1">
        <w:rPr>
          <w:rFonts w:ascii="Times New Roman" w:hAnsi="Times New Roman"/>
          <w:b/>
          <w:bCs/>
          <w:spacing w:val="-2"/>
          <w:sz w:val="24"/>
          <w:szCs w:val="24"/>
        </w:rPr>
        <w:t>Sector:</w:t>
      </w:r>
      <w:r w:rsidRPr="00AD5EE1">
        <w:rPr>
          <w:rFonts w:ascii="Times New Roman" w:hAnsi="Times New Roman"/>
          <w:spacing w:val="-2"/>
          <w:sz w:val="24"/>
          <w:szCs w:val="24"/>
        </w:rPr>
        <w:t xml:space="preserve"> </w:t>
      </w:r>
      <w:r w:rsidR="0055476E" w:rsidRPr="00AD5EE1">
        <w:rPr>
          <w:rFonts w:ascii="Times New Roman" w:hAnsi="Times New Roman"/>
          <w:spacing w:val="-2"/>
          <w:sz w:val="24"/>
          <w:szCs w:val="24"/>
        </w:rPr>
        <w:t xml:space="preserve">Islamic </w:t>
      </w:r>
      <w:r w:rsidR="007327C9" w:rsidRPr="00AD5EE1">
        <w:rPr>
          <w:rFonts w:ascii="Times New Roman" w:hAnsi="Times New Roman"/>
          <w:spacing w:val="-2"/>
          <w:sz w:val="24"/>
          <w:szCs w:val="24"/>
        </w:rPr>
        <w:t xml:space="preserve">Banking and </w:t>
      </w:r>
      <w:r w:rsidR="0055476E" w:rsidRPr="00AD5EE1">
        <w:rPr>
          <w:rFonts w:ascii="Times New Roman" w:hAnsi="Times New Roman"/>
          <w:spacing w:val="-2"/>
          <w:sz w:val="24"/>
          <w:szCs w:val="24"/>
        </w:rPr>
        <w:t>Finance</w:t>
      </w:r>
      <w:r w:rsidR="00BE58D4" w:rsidRPr="00AD5EE1">
        <w:rPr>
          <w:rFonts w:ascii="Times New Roman" w:hAnsi="Times New Roman"/>
          <w:spacing w:val="-2"/>
          <w:sz w:val="24"/>
          <w:szCs w:val="24"/>
        </w:rPr>
        <w:t xml:space="preserve"> </w:t>
      </w:r>
    </w:p>
    <w:p w14:paraId="46D44CD7" w14:textId="3562E2E4" w:rsidR="00591E90" w:rsidRPr="00AD5EE1" w:rsidRDefault="00A07D64" w:rsidP="00920788">
      <w:pPr>
        <w:suppressAutoHyphens/>
        <w:rPr>
          <w:rFonts w:ascii="Times New Roman" w:hAnsi="Times New Roman"/>
          <w:sz w:val="24"/>
          <w:szCs w:val="24"/>
        </w:rPr>
      </w:pPr>
      <w:r w:rsidRPr="00AD5EE1">
        <w:rPr>
          <w:rFonts w:ascii="Times New Roman" w:hAnsi="Times New Roman"/>
          <w:b/>
          <w:bCs/>
          <w:sz w:val="24"/>
          <w:szCs w:val="24"/>
        </w:rPr>
        <w:t>Mode of Financing:</w:t>
      </w:r>
      <w:r w:rsidRPr="00AD5EE1">
        <w:rPr>
          <w:rFonts w:ascii="Times New Roman" w:hAnsi="Times New Roman"/>
          <w:sz w:val="24"/>
          <w:szCs w:val="24"/>
        </w:rPr>
        <w:t xml:space="preserve"> </w:t>
      </w:r>
      <w:r w:rsidR="00322FC3" w:rsidRPr="00AD5EE1">
        <w:rPr>
          <w:rFonts w:ascii="Times New Roman" w:hAnsi="Times New Roman"/>
          <w:sz w:val="24"/>
          <w:szCs w:val="24"/>
        </w:rPr>
        <w:t>Islamic Finance</w:t>
      </w:r>
      <w:r w:rsidRPr="00AD5EE1">
        <w:rPr>
          <w:rFonts w:ascii="Times New Roman" w:hAnsi="Times New Roman"/>
          <w:sz w:val="24"/>
          <w:szCs w:val="24"/>
        </w:rPr>
        <w:t xml:space="preserve"> Grant </w:t>
      </w:r>
    </w:p>
    <w:p w14:paraId="3AE76D8F" w14:textId="00CC04A5" w:rsidR="005F40FB" w:rsidRPr="00AD5EE1" w:rsidRDefault="005F40FB" w:rsidP="003818BD">
      <w:pPr>
        <w:pStyle w:val="BodyText"/>
        <w:rPr>
          <w:rFonts w:ascii="Times New Roman" w:hAnsi="Times New Roman"/>
          <w:szCs w:val="24"/>
        </w:rPr>
      </w:pPr>
      <w:r w:rsidRPr="00AD5EE1">
        <w:rPr>
          <w:rFonts w:ascii="Times New Roman" w:hAnsi="Times New Roman"/>
          <w:b/>
          <w:bCs/>
          <w:szCs w:val="24"/>
        </w:rPr>
        <w:t>Financing No</w:t>
      </w:r>
      <w:r w:rsidR="00EB4709" w:rsidRPr="00AD5EE1">
        <w:rPr>
          <w:rFonts w:ascii="Times New Roman" w:hAnsi="Times New Roman"/>
          <w:b/>
          <w:bCs/>
          <w:szCs w:val="24"/>
        </w:rPr>
        <w:t>:</w:t>
      </w:r>
      <w:r w:rsidR="00EB4709" w:rsidRPr="00AD5EE1">
        <w:rPr>
          <w:rFonts w:ascii="Times New Roman" w:hAnsi="Times New Roman"/>
          <w:szCs w:val="24"/>
        </w:rPr>
        <w:t xml:space="preserve"> </w:t>
      </w:r>
      <w:r w:rsidR="00D7302C" w:rsidRPr="00AD5EE1">
        <w:rPr>
          <w:rFonts w:ascii="Times New Roman" w:hAnsi="Times New Roman"/>
          <w:szCs w:val="24"/>
        </w:rPr>
        <w:t>ZZZ2852</w:t>
      </w:r>
    </w:p>
    <w:p w14:paraId="5B62EC40" w14:textId="77777777" w:rsidR="005130C3" w:rsidRPr="00AD5EE1" w:rsidRDefault="005130C3">
      <w:pPr>
        <w:pStyle w:val="ChapterNumber"/>
        <w:tabs>
          <w:tab w:val="clear" w:pos="-720"/>
        </w:tabs>
        <w:rPr>
          <w:rFonts w:ascii="Times New Roman" w:hAnsi="Times New Roman"/>
          <w:spacing w:val="-2"/>
        </w:rPr>
      </w:pPr>
    </w:p>
    <w:p w14:paraId="7D0E4344" w14:textId="4C6267E2" w:rsidR="005130C3" w:rsidRPr="00AD5EE1" w:rsidRDefault="005130C3" w:rsidP="00E531CB">
      <w:pPr>
        <w:suppressAutoHyphens/>
        <w:jc w:val="both"/>
        <w:rPr>
          <w:rFonts w:ascii="Times New Roman" w:hAnsi="Times New Roman"/>
          <w:i/>
          <w:iCs/>
          <w:spacing w:val="-2"/>
          <w:sz w:val="24"/>
          <w:szCs w:val="24"/>
        </w:rPr>
      </w:pPr>
      <w:r w:rsidRPr="00AD5EE1">
        <w:rPr>
          <w:rFonts w:ascii="Times New Roman" w:hAnsi="Times New Roman"/>
          <w:spacing w:val="-2"/>
          <w:sz w:val="24"/>
          <w:szCs w:val="24"/>
        </w:rPr>
        <w:t xml:space="preserve">The </w:t>
      </w:r>
      <w:r w:rsidR="001D5A25" w:rsidRPr="00AD5EE1">
        <w:rPr>
          <w:rFonts w:ascii="Times New Roman" w:hAnsi="Times New Roman"/>
          <w:i/>
          <w:iCs/>
          <w:spacing w:val="-2"/>
          <w:sz w:val="24"/>
          <w:szCs w:val="24"/>
        </w:rPr>
        <w:t xml:space="preserve">Islamic Development Bank Institute </w:t>
      </w:r>
      <w:r w:rsidR="001D5A25" w:rsidRPr="00AD5EE1">
        <w:rPr>
          <w:rFonts w:ascii="Times New Roman" w:hAnsi="Times New Roman"/>
          <w:spacing w:val="-2"/>
          <w:sz w:val="24"/>
          <w:szCs w:val="24"/>
        </w:rPr>
        <w:t xml:space="preserve">has approved </w:t>
      </w:r>
      <w:r w:rsidR="00D7302C" w:rsidRPr="00AD5EE1">
        <w:rPr>
          <w:rFonts w:ascii="Times New Roman" w:hAnsi="Times New Roman"/>
          <w:spacing w:val="-2"/>
          <w:sz w:val="24"/>
          <w:szCs w:val="24"/>
        </w:rPr>
        <w:t xml:space="preserve">a </w:t>
      </w:r>
      <w:r w:rsidR="001D5A25" w:rsidRPr="00AD5EE1">
        <w:rPr>
          <w:rFonts w:ascii="Times New Roman" w:hAnsi="Times New Roman"/>
          <w:spacing w:val="-2"/>
          <w:sz w:val="24"/>
          <w:szCs w:val="24"/>
        </w:rPr>
        <w:t xml:space="preserve">grant </w:t>
      </w:r>
      <w:r w:rsidR="00D7302C" w:rsidRPr="00AD5EE1">
        <w:rPr>
          <w:rFonts w:ascii="Times New Roman" w:hAnsi="Times New Roman"/>
          <w:spacing w:val="-2"/>
          <w:sz w:val="24"/>
          <w:szCs w:val="24"/>
        </w:rPr>
        <w:t xml:space="preserve">ID 163,787 </w:t>
      </w:r>
      <w:r w:rsidR="00216103" w:rsidRPr="00AD5EE1">
        <w:rPr>
          <w:rFonts w:ascii="Times New Roman" w:hAnsi="Times New Roman"/>
          <w:spacing w:val="-2"/>
          <w:sz w:val="24"/>
          <w:szCs w:val="24"/>
        </w:rPr>
        <w:t xml:space="preserve">(Islamic Dinar One Hundred and </w:t>
      </w:r>
      <w:r w:rsidR="00D7302C" w:rsidRPr="00AD5EE1">
        <w:rPr>
          <w:rFonts w:ascii="Times New Roman" w:hAnsi="Times New Roman"/>
          <w:spacing w:val="-2"/>
          <w:sz w:val="24"/>
          <w:szCs w:val="24"/>
        </w:rPr>
        <w:t>Six</w:t>
      </w:r>
      <w:r w:rsidR="00103958" w:rsidRPr="00AD5EE1">
        <w:rPr>
          <w:rFonts w:ascii="Times New Roman" w:hAnsi="Times New Roman"/>
          <w:spacing w:val="-2"/>
          <w:sz w:val="24"/>
          <w:szCs w:val="24"/>
        </w:rPr>
        <w:t xml:space="preserve">ty-Three </w:t>
      </w:r>
      <w:r w:rsidR="00216103" w:rsidRPr="00AD5EE1">
        <w:rPr>
          <w:rFonts w:ascii="Times New Roman" w:hAnsi="Times New Roman"/>
          <w:spacing w:val="-2"/>
          <w:sz w:val="24"/>
          <w:szCs w:val="24"/>
        </w:rPr>
        <w:t xml:space="preserve">Thousand </w:t>
      </w:r>
      <w:r w:rsidR="00D7302C" w:rsidRPr="00AD5EE1">
        <w:rPr>
          <w:rFonts w:ascii="Times New Roman" w:hAnsi="Times New Roman"/>
          <w:spacing w:val="-2"/>
          <w:sz w:val="24"/>
          <w:szCs w:val="24"/>
        </w:rPr>
        <w:t>Seven</w:t>
      </w:r>
      <w:r w:rsidR="00103958" w:rsidRPr="00AD5EE1">
        <w:rPr>
          <w:rFonts w:ascii="Times New Roman" w:hAnsi="Times New Roman"/>
          <w:spacing w:val="-2"/>
          <w:sz w:val="24"/>
          <w:szCs w:val="24"/>
        </w:rPr>
        <w:t xml:space="preserve"> </w:t>
      </w:r>
      <w:r w:rsidR="00216103" w:rsidRPr="00AD5EE1">
        <w:rPr>
          <w:rFonts w:ascii="Times New Roman" w:hAnsi="Times New Roman"/>
          <w:spacing w:val="-2"/>
          <w:sz w:val="24"/>
          <w:szCs w:val="24"/>
        </w:rPr>
        <w:t xml:space="preserve">Hundred and </w:t>
      </w:r>
      <w:r w:rsidR="00D7302C" w:rsidRPr="00AD5EE1">
        <w:rPr>
          <w:rFonts w:ascii="Times New Roman" w:hAnsi="Times New Roman"/>
          <w:spacing w:val="-2"/>
          <w:sz w:val="24"/>
          <w:szCs w:val="24"/>
        </w:rPr>
        <w:t>Eight</w:t>
      </w:r>
      <w:r w:rsidR="00103958" w:rsidRPr="00AD5EE1">
        <w:rPr>
          <w:rFonts w:ascii="Times New Roman" w:hAnsi="Times New Roman"/>
          <w:spacing w:val="-2"/>
          <w:sz w:val="24"/>
          <w:szCs w:val="24"/>
        </w:rPr>
        <w:t>y</w:t>
      </w:r>
      <w:r w:rsidR="00E531CB" w:rsidRPr="00AD5EE1">
        <w:rPr>
          <w:rFonts w:ascii="Times New Roman" w:hAnsi="Times New Roman"/>
          <w:spacing w:val="-2"/>
          <w:sz w:val="24"/>
          <w:szCs w:val="24"/>
        </w:rPr>
        <w:t>-</w:t>
      </w:r>
      <w:r w:rsidR="00D7302C" w:rsidRPr="00AD5EE1">
        <w:rPr>
          <w:rFonts w:ascii="Times New Roman" w:hAnsi="Times New Roman"/>
          <w:spacing w:val="-2"/>
          <w:sz w:val="24"/>
          <w:szCs w:val="24"/>
        </w:rPr>
        <w:t>Seven</w:t>
      </w:r>
      <w:r w:rsidR="00216103" w:rsidRPr="00AD5EE1">
        <w:rPr>
          <w:rFonts w:ascii="Times New Roman" w:hAnsi="Times New Roman"/>
          <w:spacing w:val="-2"/>
          <w:sz w:val="24"/>
          <w:szCs w:val="24"/>
        </w:rPr>
        <w:t xml:space="preserve">), approximately USD </w:t>
      </w:r>
      <w:r w:rsidR="00E531CB" w:rsidRPr="00AD5EE1">
        <w:rPr>
          <w:rFonts w:ascii="Times New Roman" w:hAnsi="Times New Roman"/>
          <w:spacing w:val="-2"/>
          <w:sz w:val="24"/>
          <w:szCs w:val="24"/>
        </w:rPr>
        <w:t>2</w:t>
      </w:r>
      <w:r w:rsidR="00D7302C" w:rsidRPr="00AD5EE1">
        <w:rPr>
          <w:rFonts w:ascii="Times New Roman" w:hAnsi="Times New Roman"/>
          <w:spacing w:val="-2"/>
          <w:sz w:val="24"/>
          <w:szCs w:val="24"/>
        </w:rPr>
        <w:t>22</w:t>
      </w:r>
      <w:r w:rsidR="00E531CB" w:rsidRPr="00AD5EE1">
        <w:rPr>
          <w:rFonts w:ascii="Times New Roman" w:hAnsi="Times New Roman"/>
          <w:spacing w:val="-2"/>
          <w:sz w:val="24"/>
          <w:szCs w:val="24"/>
        </w:rPr>
        <w:t>,</w:t>
      </w:r>
      <w:r w:rsidR="00D7302C" w:rsidRPr="00AD5EE1">
        <w:rPr>
          <w:rFonts w:ascii="Times New Roman" w:hAnsi="Times New Roman"/>
          <w:spacing w:val="-2"/>
          <w:sz w:val="24"/>
          <w:szCs w:val="24"/>
        </w:rPr>
        <w:t>75</w:t>
      </w:r>
      <w:r w:rsidR="00E531CB" w:rsidRPr="00AD5EE1">
        <w:rPr>
          <w:rFonts w:ascii="Times New Roman" w:hAnsi="Times New Roman"/>
          <w:spacing w:val="-2"/>
          <w:sz w:val="24"/>
          <w:szCs w:val="24"/>
        </w:rPr>
        <w:t xml:space="preserve">0 </w:t>
      </w:r>
      <w:r w:rsidR="00216103" w:rsidRPr="00AD5EE1">
        <w:rPr>
          <w:rFonts w:ascii="Times New Roman" w:hAnsi="Times New Roman"/>
          <w:spacing w:val="-2"/>
          <w:sz w:val="24"/>
          <w:szCs w:val="24"/>
        </w:rPr>
        <w:t xml:space="preserve">(United States Dollar Two Hundred </w:t>
      </w:r>
      <w:r w:rsidR="00D7302C" w:rsidRPr="00AD5EE1">
        <w:rPr>
          <w:rFonts w:ascii="Times New Roman" w:hAnsi="Times New Roman"/>
          <w:spacing w:val="-2"/>
          <w:sz w:val="24"/>
          <w:szCs w:val="24"/>
        </w:rPr>
        <w:t>Twenty-Two</w:t>
      </w:r>
      <w:r w:rsidR="00103958" w:rsidRPr="00AD5EE1">
        <w:rPr>
          <w:rFonts w:ascii="Times New Roman" w:hAnsi="Times New Roman"/>
          <w:spacing w:val="-2"/>
          <w:sz w:val="24"/>
          <w:szCs w:val="24"/>
        </w:rPr>
        <w:t xml:space="preserve"> </w:t>
      </w:r>
      <w:r w:rsidR="00216103" w:rsidRPr="00AD5EE1">
        <w:rPr>
          <w:rFonts w:ascii="Times New Roman" w:hAnsi="Times New Roman"/>
          <w:spacing w:val="-2"/>
          <w:sz w:val="24"/>
          <w:szCs w:val="24"/>
        </w:rPr>
        <w:t xml:space="preserve">Thousand </w:t>
      </w:r>
      <w:r w:rsidR="00D7302C" w:rsidRPr="00AD5EE1">
        <w:rPr>
          <w:rFonts w:ascii="Times New Roman" w:hAnsi="Times New Roman"/>
          <w:spacing w:val="-2"/>
          <w:sz w:val="24"/>
          <w:szCs w:val="24"/>
        </w:rPr>
        <w:t xml:space="preserve">Seven Hundred and Fifty </w:t>
      </w:r>
      <w:r w:rsidR="00216103" w:rsidRPr="00AD5EE1">
        <w:rPr>
          <w:rFonts w:ascii="Times New Roman" w:hAnsi="Times New Roman"/>
          <w:spacing w:val="-2"/>
          <w:sz w:val="24"/>
          <w:szCs w:val="24"/>
        </w:rPr>
        <w:t xml:space="preserve">equivalent) </w:t>
      </w:r>
      <w:r w:rsidR="001D5A25" w:rsidRPr="00AD5EE1">
        <w:rPr>
          <w:rFonts w:ascii="Times New Roman" w:hAnsi="Times New Roman"/>
          <w:spacing w:val="-2"/>
          <w:sz w:val="24"/>
          <w:szCs w:val="24"/>
        </w:rPr>
        <w:t>financing</w:t>
      </w:r>
      <w:r w:rsidRPr="00AD5EE1">
        <w:rPr>
          <w:rFonts w:ascii="Times New Roman" w:hAnsi="Times New Roman"/>
          <w:spacing w:val="-2"/>
          <w:sz w:val="24"/>
          <w:szCs w:val="24"/>
        </w:rPr>
        <w:t xml:space="preserve"> </w:t>
      </w:r>
      <w:r w:rsidR="00D15A24" w:rsidRPr="00AD5EE1">
        <w:rPr>
          <w:rFonts w:ascii="Times New Roman" w:hAnsi="Times New Roman"/>
          <w:spacing w:val="-2"/>
          <w:sz w:val="24"/>
          <w:szCs w:val="24"/>
        </w:rPr>
        <w:t xml:space="preserve">for </w:t>
      </w:r>
      <w:r w:rsidR="00D7302C" w:rsidRPr="00AD5EE1">
        <w:rPr>
          <w:rFonts w:ascii="Times New Roman" w:hAnsi="Times New Roman"/>
          <w:spacing w:val="-2"/>
          <w:sz w:val="24"/>
          <w:szCs w:val="24"/>
        </w:rPr>
        <w:t>Islamic Financial Services Board (IFSB) to</w:t>
      </w:r>
      <w:r w:rsidR="00FA0B65" w:rsidRPr="00AD5EE1">
        <w:rPr>
          <w:rFonts w:ascii="Times New Roman" w:hAnsi="Times New Roman"/>
          <w:spacing w:val="-2"/>
          <w:sz w:val="24"/>
          <w:szCs w:val="24"/>
        </w:rPr>
        <w:t xml:space="preserve"> establish a comprehensive global database and an interactive digital platform for Islamic finance legislations, providing centralized access to relevant legal texts, comparative legal analysis, and guidance to support harmonization efforts across jurisdictions. Additionally, the project aims to</w:t>
      </w:r>
      <w:r w:rsidR="00D7302C" w:rsidRPr="00AD5EE1">
        <w:rPr>
          <w:rFonts w:ascii="Times New Roman" w:hAnsi="Times New Roman"/>
          <w:spacing w:val="-2"/>
          <w:sz w:val="24"/>
          <w:szCs w:val="24"/>
        </w:rPr>
        <w:t xml:space="preserve"> develop a principle-based legal framework that facilitates the adaptation of national laws and regulations to the specificities of Islamic finance, based on sound legal reasoning and best practices.</w:t>
      </w:r>
      <w:r w:rsidRPr="00AD5EE1">
        <w:rPr>
          <w:rFonts w:ascii="Times New Roman" w:hAnsi="Times New Roman"/>
          <w:spacing w:val="-2"/>
          <w:sz w:val="24"/>
          <w:szCs w:val="24"/>
        </w:rPr>
        <w:t xml:space="preserve"> </w:t>
      </w:r>
    </w:p>
    <w:p w14:paraId="15D35EB9" w14:textId="27B33A89" w:rsidR="005130C3" w:rsidRPr="00AD5EE1" w:rsidRDefault="005130C3" w:rsidP="00E315D8">
      <w:pPr>
        <w:suppressAutoHyphens/>
        <w:spacing w:before="120" w:after="120"/>
        <w:jc w:val="both"/>
        <w:rPr>
          <w:rFonts w:ascii="Times New Roman" w:hAnsi="Times New Roman"/>
          <w:spacing w:val="-2"/>
          <w:sz w:val="24"/>
        </w:rPr>
      </w:pPr>
      <w:r w:rsidRPr="00A96A27">
        <w:rPr>
          <w:rFonts w:ascii="Times New Roman" w:hAnsi="Times New Roman"/>
          <w:spacing w:val="-2"/>
          <w:sz w:val="24"/>
        </w:rPr>
        <w:t xml:space="preserve">The </w:t>
      </w:r>
      <w:r w:rsidR="00F0555B" w:rsidRPr="00A96A27">
        <w:rPr>
          <w:rFonts w:ascii="Times New Roman" w:hAnsi="Times New Roman"/>
          <w:spacing w:val="-2"/>
          <w:sz w:val="24"/>
        </w:rPr>
        <w:t xml:space="preserve">project has </w:t>
      </w:r>
      <w:r w:rsidR="00272092" w:rsidRPr="00A96A27">
        <w:rPr>
          <w:rFonts w:ascii="Times New Roman" w:hAnsi="Times New Roman"/>
          <w:spacing w:val="-2"/>
          <w:sz w:val="24"/>
        </w:rPr>
        <w:t xml:space="preserve">a Consultancy Service for </w:t>
      </w:r>
      <w:r w:rsidRPr="00A96A27">
        <w:rPr>
          <w:rFonts w:ascii="Times New Roman" w:hAnsi="Times New Roman"/>
          <w:spacing w:val="-2"/>
          <w:sz w:val="24"/>
        </w:rPr>
        <w:t>the following</w:t>
      </w:r>
      <w:r w:rsidR="001D5A25" w:rsidRPr="00A96A27">
        <w:rPr>
          <w:rFonts w:ascii="Times New Roman" w:hAnsi="Times New Roman"/>
          <w:spacing w:val="-2"/>
          <w:sz w:val="24"/>
        </w:rPr>
        <w:t xml:space="preserve"> </w:t>
      </w:r>
      <w:r w:rsidR="00D7302C" w:rsidRPr="00A96A27">
        <w:rPr>
          <w:rFonts w:ascii="Times New Roman" w:hAnsi="Times New Roman"/>
          <w:spacing w:val="-2"/>
          <w:sz w:val="24"/>
        </w:rPr>
        <w:t>components</w:t>
      </w:r>
      <w:r w:rsidR="001D5A25" w:rsidRPr="00A96A27">
        <w:rPr>
          <w:rFonts w:ascii="Times New Roman" w:hAnsi="Times New Roman"/>
          <w:spacing w:val="-2"/>
          <w:sz w:val="24"/>
        </w:rPr>
        <w:t>:</w:t>
      </w:r>
      <w:r w:rsidRPr="00AD5EE1">
        <w:rPr>
          <w:rFonts w:ascii="Times New Roman" w:hAnsi="Times New Roman"/>
          <w:spacing w:val="-2"/>
          <w:sz w:val="24"/>
        </w:rPr>
        <w:t xml:space="preserve"> </w:t>
      </w:r>
    </w:p>
    <w:p w14:paraId="16CA0AEB" w14:textId="21AABDA5" w:rsidR="00D7302C" w:rsidRPr="00AD5EE1" w:rsidRDefault="00D7302C" w:rsidP="00D7302C">
      <w:pPr>
        <w:spacing w:before="120"/>
        <w:jc w:val="both"/>
        <w:rPr>
          <w:rFonts w:asciiTheme="majorBidi" w:hAnsiTheme="majorBidi" w:cstheme="majorBidi"/>
          <w:sz w:val="24"/>
          <w:szCs w:val="24"/>
        </w:rPr>
      </w:pPr>
      <w:r w:rsidRPr="00AD5EE1">
        <w:rPr>
          <w:rFonts w:asciiTheme="majorBidi" w:hAnsiTheme="majorBidi" w:cstheme="majorBidi"/>
          <w:b/>
          <w:bCs/>
          <w:sz w:val="24"/>
          <w:szCs w:val="24"/>
        </w:rPr>
        <w:t>Component 1 -</w:t>
      </w:r>
      <w:r w:rsidRPr="00AD5EE1">
        <w:rPr>
          <w:rFonts w:asciiTheme="majorBidi" w:hAnsiTheme="majorBidi" w:cstheme="majorBidi"/>
          <w:sz w:val="24"/>
          <w:szCs w:val="24"/>
        </w:rPr>
        <w:t xml:space="preserve"> </w:t>
      </w:r>
      <w:r w:rsidRPr="00AD5EE1">
        <w:rPr>
          <w:rFonts w:asciiTheme="majorBidi" w:hAnsiTheme="majorBidi" w:cstheme="majorBidi"/>
          <w:b/>
          <w:bCs/>
          <w:sz w:val="24"/>
          <w:szCs w:val="24"/>
        </w:rPr>
        <w:t>Collation and Coding of Relevant Laws and Regulations:</w:t>
      </w:r>
      <w:r w:rsidRPr="00AD5EE1">
        <w:rPr>
          <w:rFonts w:asciiTheme="majorBidi" w:hAnsiTheme="majorBidi" w:cstheme="majorBidi"/>
          <w:sz w:val="24"/>
          <w:szCs w:val="24"/>
        </w:rPr>
        <w:t xml:space="preserve"> This initial phase serves as the foundation for a comprehensive review of national legal frameworks governing Islamic finance. It focuses on the systematic gathering and organization of data across diverse sectors, including </w:t>
      </w:r>
      <w:r w:rsidR="00FA0B65" w:rsidRPr="00AD5EE1">
        <w:rPr>
          <w:rFonts w:asciiTheme="majorBidi" w:hAnsiTheme="majorBidi" w:cstheme="majorBidi"/>
          <w:sz w:val="24"/>
          <w:szCs w:val="24"/>
        </w:rPr>
        <w:t xml:space="preserve">central banking, Islamic </w:t>
      </w:r>
      <w:r w:rsidRPr="00AD5EE1">
        <w:rPr>
          <w:rFonts w:asciiTheme="majorBidi" w:hAnsiTheme="majorBidi" w:cstheme="majorBidi"/>
          <w:sz w:val="24"/>
          <w:szCs w:val="24"/>
        </w:rPr>
        <w:t xml:space="preserve">banking, </w:t>
      </w:r>
      <w:r w:rsidR="00FA0B65" w:rsidRPr="00AD5EE1">
        <w:rPr>
          <w:rFonts w:asciiTheme="majorBidi" w:hAnsiTheme="majorBidi" w:cstheme="majorBidi"/>
          <w:sz w:val="24"/>
          <w:szCs w:val="24"/>
        </w:rPr>
        <w:t>Islamic capital markets, and Islamic insurance laws</w:t>
      </w:r>
      <w:r w:rsidR="004E139C" w:rsidRPr="00AD5EE1">
        <w:rPr>
          <w:rFonts w:asciiTheme="majorBidi" w:hAnsiTheme="majorBidi" w:cstheme="majorBidi"/>
          <w:sz w:val="24"/>
          <w:szCs w:val="24"/>
        </w:rPr>
        <w:t xml:space="preserve">, </w:t>
      </w:r>
      <w:r w:rsidRPr="00AD5EE1">
        <w:rPr>
          <w:rFonts w:asciiTheme="majorBidi" w:hAnsiTheme="majorBidi" w:cstheme="majorBidi"/>
          <w:sz w:val="24"/>
          <w:szCs w:val="24"/>
        </w:rPr>
        <w:t>to ensure all relevant statutory adaptations are identified and categorized.</w:t>
      </w:r>
    </w:p>
    <w:p w14:paraId="1E6F774D" w14:textId="142B5179" w:rsidR="00D7302C" w:rsidRPr="00AD5EE1" w:rsidRDefault="00D7302C" w:rsidP="00D7302C">
      <w:pPr>
        <w:spacing w:before="120"/>
        <w:jc w:val="both"/>
        <w:rPr>
          <w:rFonts w:asciiTheme="majorBidi" w:hAnsiTheme="majorBidi" w:cstheme="majorBidi"/>
          <w:sz w:val="24"/>
          <w:szCs w:val="24"/>
        </w:rPr>
      </w:pPr>
      <w:r w:rsidRPr="00AD5EE1">
        <w:rPr>
          <w:rFonts w:asciiTheme="majorBidi" w:hAnsiTheme="majorBidi" w:cstheme="majorBidi"/>
          <w:b/>
          <w:bCs/>
          <w:sz w:val="24"/>
          <w:szCs w:val="24"/>
        </w:rPr>
        <w:t>Component 2 - AI powered Database Digital Platform Development:</w:t>
      </w:r>
      <w:r w:rsidRPr="00AD5EE1">
        <w:rPr>
          <w:rFonts w:asciiTheme="majorBidi" w:hAnsiTheme="majorBidi" w:cstheme="majorBidi"/>
          <w:sz w:val="24"/>
          <w:szCs w:val="24"/>
        </w:rPr>
        <w:t xml:space="preserve"> This component transforms the outputs of the collation and coding phase into a sophisticated global digital platform. By centralizing Islamic finance regulations within an AI-driven framework, the platform serves as a premier reference for comparative analysis and international knowledge sharing. </w:t>
      </w:r>
    </w:p>
    <w:p w14:paraId="354086C3" w14:textId="3F6BC46B" w:rsidR="00D7302C" w:rsidRPr="00AD5EE1" w:rsidRDefault="00D7302C" w:rsidP="00D7302C">
      <w:pPr>
        <w:spacing w:before="120"/>
        <w:jc w:val="both"/>
        <w:rPr>
          <w:rFonts w:asciiTheme="majorBidi" w:hAnsiTheme="majorBidi" w:cstheme="majorBidi"/>
          <w:sz w:val="24"/>
          <w:szCs w:val="24"/>
        </w:rPr>
      </w:pPr>
      <w:r w:rsidRPr="00AD5EE1">
        <w:rPr>
          <w:rFonts w:asciiTheme="majorBidi" w:hAnsiTheme="majorBidi" w:cstheme="majorBidi"/>
          <w:b/>
          <w:bCs/>
          <w:sz w:val="24"/>
          <w:szCs w:val="24"/>
        </w:rPr>
        <w:t>Component 3 - Drafting and Reviewing of the Principle-Based Guidelines:</w:t>
      </w:r>
      <w:r w:rsidRPr="00AD5EE1">
        <w:rPr>
          <w:rFonts w:asciiTheme="majorBidi" w:hAnsiTheme="majorBidi" w:cstheme="majorBidi"/>
          <w:sz w:val="24"/>
          <w:szCs w:val="24"/>
        </w:rPr>
        <w:t xml:space="preserve"> This component creates the core output by leveraging rigorous legal analysis. It draws on the best international practices to formulate the framework’s guiding principles. </w:t>
      </w:r>
    </w:p>
    <w:p w14:paraId="050AFBF4" w14:textId="74A5028B" w:rsidR="005130C3" w:rsidRPr="00AD5EE1" w:rsidRDefault="003B360E" w:rsidP="004E139C">
      <w:pPr>
        <w:spacing w:before="240"/>
        <w:jc w:val="both"/>
        <w:rPr>
          <w:rFonts w:ascii="Times New Roman" w:hAnsi="Times New Roman"/>
          <w:iCs/>
          <w:spacing w:val="-2"/>
          <w:sz w:val="24"/>
        </w:rPr>
      </w:pPr>
      <w:r w:rsidRPr="00AD5EE1">
        <w:rPr>
          <w:rFonts w:ascii="Times New Roman" w:hAnsi="Times New Roman"/>
          <w:spacing w:val="-2"/>
          <w:sz w:val="24"/>
        </w:rPr>
        <w:t xml:space="preserve">Procurement of contracts financed by the Islamic Development Bank will be conducted through the procedures specified under the Guidelines for the Procurement of Consultant Services under Islamic Development Bank Project Financing (April 2019, </w:t>
      </w:r>
      <w:r w:rsidR="005E3E0B" w:rsidRPr="00AD5EE1">
        <w:rPr>
          <w:rFonts w:ascii="Times New Roman" w:hAnsi="Times New Roman"/>
          <w:spacing w:val="-2"/>
          <w:sz w:val="24"/>
        </w:rPr>
        <w:t>revised</w:t>
      </w:r>
      <w:r w:rsidRPr="00AD5EE1">
        <w:rPr>
          <w:rFonts w:ascii="Times New Roman" w:hAnsi="Times New Roman"/>
          <w:spacing w:val="-2"/>
          <w:sz w:val="24"/>
        </w:rPr>
        <w:t xml:space="preserve"> in February 2023) and is open to all eligible bidders as defined in the guidelines.</w:t>
      </w:r>
      <w:r w:rsidR="00DF62EB" w:rsidRPr="00AD5EE1">
        <w:rPr>
          <w:rFonts w:ascii="Times New Roman" w:hAnsi="Times New Roman"/>
          <w:spacing w:val="-2"/>
          <w:sz w:val="24"/>
        </w:rPr>
        <w:t xml:space="preserve"> </w:t>
      </w:r>
    </w:p>
    <w:p w14:paraId="2D9B0BC7" w14:textId="264ADF7D" w:rsidR="00E574FD" w:rsidRPr="00AD5EE1" w:rsidRDefault="005D5F34" w:rsidP="00DB5377">
      <w:pPr>
        <w:spacing w:before="400" w:after="200"/>
        <w:ind w:right="200"/>
        <w:jc w:val="both"/>
        <w:rPr>
          <w:rFonts w:ascii="Times New Roman" w:hAnsi="Times New Roman"/>
          <w:spacing w:val="-2"/>
          <w:sz w:val="24"/>
          <w:u w:val="single"/>
        </w:rPr>
      </w:pPr>
      <w:r w:rsidRPr="00AD5EE1">
        <w:rPr>
          <w:rFonts w:ascii="Times New Roman" w:hAnsi="Times New Roman"/>
          <w:spacing w:val="-2"/>
          <w:sz w:val="24"/>
          <w:u w:val="single"/>
        </w:rPr>
        <w:t xml:space="preserve">Requests for Expression of Interest for contracts for consultancy services will be announced as they become available on </w:t>
      </w:r>
      <w:r w:rsidR="003A3B2B" w:rsidRPr="00AD5EE1">
        <w:rPr>
          <w:rFonts w:ascii="Times New Roman" w:hAnsi="Times New Roman"/>
          <w:spacing w:val="-2"/>
          <w:sz w:val="24"/>
          <w:u w:val="single"/>
        </w:rPr>
        <w:t xml:space="preserve">the </w:t>
      </w:r>
      <w:r w:rsidRPr="00AD5EE1">
        <w:rPr>
          <w:rFonts w:ascii="Times New Roman" w:hAnsi="Times New Roman"/>
          <w:spacing w:val="-2"/>
          <w:sz w:val="24"/>
          <w:u w:val="single"/>
        </w:rPr>
        <w:t xml:space="preserve">IsDB Website and DG Market. </w:t>
      </w:r>
    </w:p>
    <w:p w14:paraId="1550C77A" w14:textId="60E95040" w:rsidR="00DB5377" w:rsidRPr="00AD5EE1" w:rsidRDefault="004E139C" w:rsidP="00F81A3C">
      <w:pPr>
        <w:spacing w:before="360" w:after="200"/>
        <w:ind w:right="202"/>
        <w:jc w:val="both"/>
        <w:rPr>
          <w:rFonts w:ascii="Times New Roman" w:hAnsi="Times New Roman"/>
          <w:spacing w:val="-2"/>
          <w:sz w:val="24"/>
        </w:rPr>
      </w:pPr>
      <w:r w:rsidRPr="00AD5EE1">
        <w:rPr>
          <w:rFonts w:ascii="Times New Roman" w:hAnsi="Times New Roman"/>
          <w:spacing w:val="-2"/>
          <w:sz w:val="24"/>
        </w:rPr>
        <w:t>Eligible firms interested in providing consulting services for this project, or those seeking further details, should contact the Beneficiary at the address below:</w:t>
      </w:r>
    </w:p>
    <w:p w14:paraId="485012BE" w14:textId="60D9148B" w:rsidR="00313A6E" w:rsidRPr="00AD5EE1" w:rsidRDefault="004E139C" w:rsidP="004E139C">
      <w:pPr>
        <w:spacing w:before="360" w:after="200"/>
        <w:ind w:right="202"/>
        <w:jc w:val="both"/>
        <w:rPr>
          <w:rFonts w:ascii="Times New Roman" w:hAnsi="Times New Roman"/>
          <w:spacing w:val="-2"/>
          <w:sz w:val="24"/>
        </w:rPr>
      </w:pPr>
      <w:r w:rsidRPr="00AD5EE1">
        <w:rPr>
          <w:rFonts w:ascii="Times New Roman" w:hAnsi="Times New Roman"/>
          <w:spacing w:val="-2"/>
          <w:sz w:val="24"/>
        </w:rPr>
        <w:t>ISLAMIC FINANCIAL SERVICES BOARD (IFSB)</w:t>
      </w:r>
      <w:r w:rsidR="00F81A3C" w:rsidRPr="00AD5EE1">
        <w:rPr>
          <w:rFonts w:ascii="Times New Roman" w:hAnsi="Times New Roman"/>
          <w:spacing w:val="-2"/>
          <w:sz w:val="24"/>
        </w:rPr>
        <w:t xml:space="preserve"> </w:t>
      </w:r>
    </w:p>
    <w:p w14:paraId="42EBD79E" w14:textId="0C9C9F33" w:rsidR="00313A6E" w:rsidRPr="00AD5EE1" w:rsidRDefault="00313A6E" w:rsidP="00F81A3C">
      <w:pPr>
        <w:suppressAutoHyphens/>
        <w:spacing w:before="120" w:after="120"/>
        <w:jc w:val="both"/>
        <w:rPr>
          <w:rFonts w:asciiTheme="majorBidi" w:eastAsia="Calibri" w:hAnsiTheme="majorBidi" w:cstheme="majorBidi"/>
          <w:spacing w:val="-2"/>
          <w:sz w:val="24"/>
          <w:szCs w:val="22"/>
        </w:rPr>
      </w:pPr>
      <w:r w:rsidRPr="00AD5EE1">
        <w:rPr>
          <w:rFonts w:asciiTheme="majorBidi" w:eastAsia="Calibri" w:hAnsiTheme="majorBidi" w:cstheme="majorBidi"/>
          <w:b/>
          <w:bCs/>
          <w:spacing w:val="-2"/>
          <w:sz w:val="24"/>
          <w:szCs w:val="22"/>
        </w:rPr>
        <w:t>Attention:</w:t>
      </w:r>
      <w:r w:rsidRPr="00AD5EE1">
        <w:rPr>
          <w:rFonts w:asciiTheme="majorBidi" w:eastAsia="Calibri" w:hAnsiTheme="majorBidi" w:cstheme="majorBidi"/>
          <w:spacing w:val="-2"/>
          <w:sz w:val="24"/>
          <w:szCs w:val="22"/>
        </w:rPr>
        <w:t xml:space="preserve">       </w:t>
      </w:r>
      <w:r w:rsidR="004E139C" w:rsidRPr="00AD5EE1">
        <w:rPr>
          <w:rFonts w:ascii="Times New Roman" w:hAnsi="Times New Roman"/>
          <w:spacing w:val="-2"/>
          <w:sz w:val="24"/>
          <w:szCs w:val="24"/>
        </w:rPr>
        <w:t>Islamic Financial Services Board (IFSB)</w:t>
      </w:r>
    </w:p>
    <w:p w14:paraId="5D9859E6" w14:textId="2A82C0F7" w:rsidR="00EF369A" w:rsidRPr="00A37740" w:rsidRDefault="00313A6E" w:rsidP="00F81A3C">
      <w:pPr>
        <w:spacing w:before="120" w:after="120"/>
        <w:ind w:right="202"/>
        <w:jc w:val="both"/>
        <w:rPr>
          <w:rFonts w:ascii="Times New Roman" w:hAnsi="Times New Roman"/>
          <w:spacing w:val="-2"/>
          <w:sz w:val="24"/>
        </w:rPr>
      </w:pPr>
      <w:r w:rsidRPr="00AD5EE1">
        <w:rPr>
          <w:rFonts w:asciiTheme="majorBidi" w:eastAsia="Calibri" w:hAnsiTheme="majorBidi" w:cstheme="majorBidi"/>
          <w:b/>
          <w:bCs/>
          <w:spacing w:val="-2"/>
          <w:sz w:val="24"/>
          <w:szCs w:val="22"/>
        </w:rPr>
        <w:t>Email:</w:t>
      </w:r>
      <w:r w:rsidRPr="00AD5EE1">
        <w:rPr>
          <w:rFonts w:asciiTheme="majorBidi" w:eastAsia="Calibri" w:hAnsiTheme="majorBidi" w:cstheme="majorBidi"/>
          <w:spacing w:val="-2"/>
          <w:sz w:val="24"/>
          <w:szCs w:val="22"/>
        </w:rPr>
        <w:tab/>
      </w:r>
      <w:r w:rsidRPr="00AD5EE1">
        <w:rPr>
          <w:rFonts w:asciiTheme="majorBidi" w:eastAsia="Calibri" w:hAnsiTheme="majorBidi" w:cstheme="majorBidi"/>
          <w:spacing w:val="-2"/>
          <w:sz w:val="24"/>
          <w:szCs w:val="22"/>
        </w:rPr>
        <w:tab/>
      </w:r>
      <w:hyperlink r:id="rId8" w:history="1">
        <w:r w:rsidR="003D134F" w:rsidRPr="00AD5EE1">
          <w:rPr>
            <w:rStyle w:val="Hyperlink"/>
            <w:rFonts w:ascii="Times New Roman" w:hAnsi="Times New Roman"/>
            <w:spacing w:val="-2"/>
            <w:sz w:val="24"/>
          </w:rPr>
          <w:t>ifsb_procument@ifsb.org</w:t>
        </w:r>
      </w:hyperlink>
      <w:r w:rsidR="003D134F">
        <w:rPr>
          <w:rFonts w:ascii="Times New Roman" w:hAnsi="Times New Roman"/>
          <w:spacing w:val="-2"/>
          <w:sz w:val="24"/>
        </w:rPr>
        <w:t xml:space="preserve"> </w:t>
      </w:r>
    </w:p>
    <w:sectPr w:rsidR="00EF369A" w:rsidRPr="00A37740" w:rsidSect="000672E7">
      <w:headerReference w:type="even" r:id="rId9"/>
      <w:endnotePr>
        <w:numFmt w:val="decimal"/>
      </w:endnotePr>
      <w:pgSz w:w="11907" w:h="16839" w:code="9"/>
      <w:pgMar w:top="1104" w:right="1467" w:bottom="1440" w:left="1260" w:header="426"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C8C8" w14:textId="77777777" w:rsidR="00713AA0" w:rsidRDefault="00713AA0">
      <w:r>
        <w:separator/>
      </w:r>
    </w:p>
  </w:endnote>
  <w:endnote w:type="continuationSeparator" w:id="0">
    <w:p w14:paraId="21A2928A" w14:textId="77777777" w:rsidR="00713AA0" w:rsidRDefault="00713AA0">
      <w:r>
        <w:rPr>
          <w:sz w:val="24"/>
        </w:rPr>
        <w:t xml:space="preserve"> </w:t>
      </w:r>
    </w:p>
  </w:endnote>
  <w:endnote w:type="continuationNotice" w:id="1">
    <w:p w14:paraId="47C2A9B7" w14:textId="77777777" w:rsidR="00713AA0" w:rsidRDefault="00713AA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3FAEF" w14:textId="77777777" w:rsidR="00713AA0" w:rsidRDefault="00713AA0">
      <w:r>
        <w:rPr>
          <w:sz w:val="24"/>
        </w:rPr>
        <w:separator/>
      </w:r>
    </w:p>
  </w:footnote>
  <w:footnote w:type="continuationSeparator" w:id="0">
    <w:p w14:paraId="118125C6" w14:textId="77777777" w:rsidR="00713AA0" w:rsidRDefault="0071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2E54" w14:textId="07DAD703" w:rsidR="00BC7634" w:rsidRDefault="00BC7634">
    <w:pPr>
      <w:pStyle w:val="Header"/>
    </w:pPr>
    <w:r>
      <w:rPr>
        <w:noProof/>
      </w:rPr>
      <mc:AlternateContent>
        <mc:Choice Requires="wps">
          <w:drawing>
            <wp:anchor distT="0" distB="0" distL="114300" distR="114300" simplePos="0" relativeHeight="251660288" behindDoc="0" locked="0" layoutInCell="0" allowOverlap="1" wp14:anchorId="717744A3" wp14:editId="2E13B8FA">
              <wp:simplePos x="0" y="0"/>
              <wp:positionH relativeFrom="page">
                <wp:posOffset>0</wp:posOffset>
              </wp:positionH>
              <wp:positionV relativeFrom="page">
                <wp:posOffset>190500</wp:posOffset>
              </wp:positionV>
              <wp:extent cx="7560945" cy="273050"/>
              <wp:effectExtent l="0" t="0" r="0" b="12700"/>
              <wp:wrapNone/>
              <wp:docPr id="2" name="MSIPCM4ee3484dbc0faa3324c6fafa" descr="{&quot;HashCode&quot;:-1813103172,&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7744A3" id="_x0000_t202" coordsize="21600,21600" o:spt="202" path="m,l,21600r21600,l21600,xe">
              <v:stroke joinstyle="miter"/>
              <v:path gradientshapeok="t" o:connecttype="rect"/>
            </v:shapetype>
            <v:shape id="MSIPCM4ee3484dbc0faa3324c6fafa" o:spid="_x0000_s1026" type="#_x0000_t202" alt="{&quot;HashCode&quot;:-1813103172,&quot;Height&quot;:841.0,&quot;Width&quot;:595.0,&quot;Placement&quot;:&quot;Header&quot;,&quot;Index&quot;:&quot;OddAndEven&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Er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" o:allowincell="f" filled="f" stroked="f" strokeweight=".5pt">
              <v:textbox inset="20pt,0,,0">
                <w:txbxContent>
                  <w:p w14:paraId="47237EBC" w14:textId="49CCC560" w:rsidR="00BC7634" w:rsidRPr="00BC7634" w:rsidRDefault="00BC7634" w:rsidP="00BC7634">
                    <w:pPr>
                      <w:rPr>
                        <w:rFonts w:ascii="Calibri" w:hAnsi="Calibri" w:cs="Calibri"/>
                        <w:color w:val="000000"/>
                        <w:sz w:val="20"/>
                      </w:rPr>
                    </w:pPr>
                    <w:r w:rsidRPr="00BC7634">
                      <w:rPr>
                        <w:rFonts w:ascii="Calibri" w:hAnsi="Calibri" w:cs="Calibri"/>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43B0"/>
    <w:multiLevelType w:val="hybridMultilevel"/>
    <w:tmpl w:val="CF08217A"/>
    <w:lvl w:ilvl="0" w:tplc="0409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0F719A8"/>
    <w:multiLevelType w:val="hybridMultilevel"/>
    <w:tmpl w:val="DBBC44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13C347C"/>
    <w:multiLevelType w:val="hybridMultilevel"/>
    <w:tmpl w:val="62D86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8E4147"/>
    <w:multiLevelType w:val="hybridMultilevel"/>
    <w:tmpl w:val="13BC90C0"/>
    <w:lvl w:ilvl="0" w:tplc="837CB63C">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8A6EA1"/>
    <w:multiLevelType w:val="hybridMultilevel"/>
    <w:tmpl w:val="D4928FB8"/>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717FD"/>
    <w:multiLevelType w:val="hybridMultilevel"/>
    <w:tmpl w:val="16540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1B12"/>
    <w:multiLevelType w:val="hybridMultilevel"/>
    <w:tmpl w:val="4C26A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4B5503"/>
    <w:multiLevelType w:val="hybridMultilevel"/>
    <w:tmpl w:val="4B6E4AE8"/>
    <w:lvl w:ilvl="0" w:tplc="637296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100A5"/>
    <w:multiLevelType w:val="hybridMultilevel"/>
    <w:tmpl w:val="E7BEF076"/>
    <w:lvl w:ilvl="0" w:tplc="5DA63C80">
      <w:numFmt w:val="bullet"/>
      <w:lvlText w:val="‑"/>
      <w:lvlJc w:val="left"/>
      <w:pPr>
        <w:ind w:left="1800" w:hanging="360"/>
      </w:pPr>
      <w:rPr>
        <w:rFonts w:ascii="Yu Gothic UI Semilight" w:eastAsia="Yu Gothic UI Semilight" w:hAnsi="Yu Gothic UI Semilight" w:hint="eastAsi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D8E0527"/>
    <w:multiLevelType w:val="hybridMultilevel"/>
    <w:tmpl w:val="A10C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8477C"/>
    <w:multiLevelType w:val="hybridMultilevel"/>
    <w:tmpl w:val="FF866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319149">
    <w:abstractNumId w:val="5"/>
  </w:num>
  <w:num w:numId="2" w16cid:durableId="793406557">
    <w:abstractNumId w:val="7"/>
  </w:num>
  <w:num w:numId="3" w16cid:durableId="55981859">
    <w:abstractNumId w:val="3"/>
  </w:num>
  <w:num w:numId="4" w16cid:durableId="1549754977">
    <w:abstractNumId w:val="9"/>
  </w:num>
  <w:num w:numId="5" w16cid:durableId="529493172">
    <w:abstractNumId w:val="4"/>
  </w:num>
  <w:num w:numId="6" w16cid:durableId="1665014975">
    <w:abstractNumId w:val="0"/>
  </w:num>
  <w:num w:numId="7" w16cid:durableId="1569682505">
    <w:abstractNumId w:val="1"/>
  </w:num>
  <w:num w:numId="8" w16cid:durableId="1203244881">
    <w:abstractNumId w:val="6"/>
  </w:num>
  <w:num w:numId="9" w16cid:durableId="141893788">
    <w:abstractNumId w:val="2"/>
  </w:num>
  <w:num w:numId="10" w16cid:durableId="814949958">
    <w:abstractNumId w:val="10"/>
  </w:num>
  <w:num w:numId="11" w16cid:durableId="2137789615">
    <w:abstractNumId w:val="8"/>
  </w:num>
  <w:num w:numId="12" w16cid:durableId="15237820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WxMDEwNjc0sTQ2NTRS0lEKTi0uzszPAykwrAUAW23AKiwAAAA="/>
  </w:docVars>
  <w:rsids>
    <w:rsidRoot w:val="005130C3"/>
    <w:rsid w:val="00004C01"/>
    <w:rsid w:val="0001394F"/>
    <w:rsid w:val="00024B25"/>
    <w:rsid w:val="00035F97"/>
    <w:rsid w:val="00037F1C"/>
    <w:rsid w:val="000672E7"/>
    <w:rsid w:val="00073C60"/>
    <w:rsid w:val="0008270C"/>
    <w:rsid w:val="0008577E"/>
    <w:rsid w:val="00087A5D"/>
    <w:rsid w:val="0009213A"/>
    <w:rsid w:val="000B3C65"/>
    <w:rsid w:val="000D0B4C"/>
    <w:rsid w:val="000F4D9A"/>
    <w:rsid w:val="0010171D"/>
    <w:rsid w:val="00103958"/>
    <w:rsid w:val="001744B5"/>
    <w:rsid w:val="00190C88"/>
    <w:rsid w:val="001942C9"/>
    <w:rsid w:val="001B38AC"/>
    <w:rsid w:val="001B53B8"/>
    <w:rsid w:val="001D5A25"/>
    <w:rsid w:val="001F4D12"/>
    <w:rsid w:val="001F65C4"/>
    <w:rsid w:val="00216103"/>
    <w:rsid w:val="00233A25"/>
    <w:rsid w:val="002378BD"/>
    <w:rsid w:val="00240380"/>
    <w:rsid w:val="00244F20"/>
    <w:rsid w:val="00272092"/>
    <w:rsid w:val="002C5423"/>
    <w:rsid w:val="00304057"/>
    <w:rsid w:val="00313A6E"/>
    <w:rsid w:val="00322FC3"/>
    <w:rsid w:val="0033717F"/>
    <w:rsid w:val="00343FB8"/>
    <w:rsid w:val="00347B31"/>
    <w:rsid w:val="00370543"/>
    <w:rsid w:val="003818BD"/>
    <w:rsid w:val="003A3B2B"/>
    <w:rsid w:val="003B360E"/>
    <w:rsid w:val="003B7563"/>
    <w:rsid w:val="003D134F"/>
    <w:rsid w:val="003E2F16"/>
    <w:rsid w:val="003E42BF"/>
    <w:rsid w:val="003F5CF1"/>
    <w:rsid w:val="00410A67"/>
    <w:rsid w:val="00411482"/>
    <w:rsid w:val="00414433"/>
    <w:rsid w:val="0042166F"/>
    <w:rsid w:val="00440F14"/>
    <w:rsid w:val="00446758"/>
    <w:rsid w:val="00456400"/>
    <w:rsid w:val="00457B5D"/>
    <w:rsid w:val="00472074"/>
    <w:rsid w:val="00493725"/>
    <w:rsid w:val="004A5F59"/>
    <w:rsid w:val="004C417A"/>
    <w:rsid w:val="004E139C"/>
    <w:rsid w:val="004F2409"/>
    <w:rsid w:val="005130C3"/>
    <w:rsid w:val="00514999"/>
    <w:rsid w:val="00515A19"/>
    <w:rsid w:val="0055476E"/>
    <w:rsid w:val="00557532"/>
    <w:rsid w:val="0058450F"/>
    <w:rsid w:val="00591E90"/>
    <w:rsid w:val="00596C54"/>
    <w:rsid w:val="005C4E63"/>
    <w:rsid w:val="005C7504"/>
    <w:rsid w:val="005D1F6B"/>
    <w:rsid w:val="005D5F34"/>
    <w:rsid w:val="005E0060"/>
    <w:rsid w:val="005E3E0B"/>
    <w:rsid w:val="005F40FB"/>
    <w:rsid w:val="0060370A"/>
    <w:rsid w:val="00606DA8"/>
    <w:rsid w:val="00623851"/>
    <w:rsid w:val="00633BF6"/>
    <w:rsid w:val="00645A79"/>
    <w:rsid w:val="0065085F"/>
    <w:rsid w:val="00677A84"/>
    <w:rsid w:val="00685429"/>
    <w:rsid w:val="00693295"/>
    <w:rsid w:val="0069701F"/>
    <w:rsid w:val="006C61FF"/>
    <w:rsid w:val="006C780E"/>
    <w:rsid w:val="006D1046"/>
    <w:rsid w:val="006E2CD0"/>
    <w:rsid w:val="006E45CD"/>
    <w:rsid w:val="006F77EA"/>
    <w:rsid w:val="0071170D"/>
    <w:rsid w:val="00713AA0"/>
    <w:rsid w:val="00714115"/>
    <w:rsid w:val="007279C8"/>
    <w:rsid w:val="007327C9"/>
    <w:rsid w:val="007360B0"/>
    <w:rsid w:val="00737AC3"/>
    <w:rsid w:val="00772158"/>
    <w:rsid w:val="007757C0"/>
    <w:rsid w:val="00784716"/>
    <w:rsid w:val="00790458"/>
    <w:rsid w:val="007A56B0"/>
    <w:rsid w:val="007B2DE3"/>
    <w:rsid w:val="007B7103"/>
    <w:rsid w:val="007C1FC7"/>
    <w:rsid w:val="007C347A"/>
    <w:rsid w:val="007D23F5"/>
    <w:rsid w:val="007F2386"/>
    <w:rsid w:val="00811900"/>
    <w:rsid w:val="0081297F"/>
    <w:rsid w:val="008136F4"/>
    <w:rsid w:val="008268E8"/>
    <w:rsid w:val="00837EB4"/>
    <w:rsid w:val="00846B37"/>
    <w:rsid w:val="008A723F"/>
    <w:rsid w:val="008B6149"/>
    <w:rsid w:val="008C6246"/>
    <w:rsid w:val="008D3D96"/>
    <w:rsid w:val="008E47FB"/>
    <w:rsid w:val="008F60F9"/>
    <w:rsid w:val="008F7EA6"/>
    <w:rsid w:val="009063C5"/>
    <w:rsid w:val="00920788"/>
    <w:rsid w:val="00924F5F"/>
    <w:rsid w:val="00944DFB"/>
    <w:rsid w:val="009462BF"/>
    <w:rsid w:val="009865B1"/>
    <w:rsid w:val="009E3989"/>
    <w:rsid w:val="009E4E88"/>
    <w:rsid w:val="009E7C2D"/>
    <w:rsid w:val="009F23EC"/>
    <w:rsid w:val="00A07D64"/>
    <w:rsid w:val="00A11A76"/>
    <w:rsid w:val="00A2771A"/>
    <w:rsid w:val="00A35CA3"/>
    <w:rsid w:val="00A37740"/>
    <w:rsid w:val="00A54B9D"/>
    <w:rsid w:val="00A7131F"/>
    <w:rsid w:val="00A903DD"/>
    <w:rsid w:val="00A92C92"/>
    <w:rsid w:val="00A93FAE"/>
    <w:rsid w:val="00A94FE4"/>
    <w:rsid w:val="00A96A27"/>
    <w:rsid w:val="00AB6B93"/>
    <w:rsid w:val="00AC3470"/>
    <w:rsid w:val="00AC39A1"/>
    <w:rsid w:val="00AD5EE1"/>
    <w:rsid w:val="00AD6056"/>
    <w:rsid w:val="00B058DD"/>
    <w:rsid w:val="00B31590"/>
    <w:rsid w:val="00B37961"/>
    <w:rsid w:val="00B575C1"/>
    <w:rsid w:val="00B87413"/>
    <w:rsid w:val="00B96F14"/>
    <w:rsid w:val="00BB518E"/>
    <w:rsid w:val="00BC7634"/>
    <w:rsid w:val="00BD33E3"/>
    <w:rsid w:val="00BE58D4"/>
    <w:rsid w:val="00BF37E5"/>
    <w:rsid w:val="00BF774E"/>
    <w:rsid w:val="00C12FE6"/>
    <w:rsid w:val="00C87D46"/>
    <w:rsid w:val="00CC78F9"/>
    <w:rsid w:val="00CF1A04"/>
    <w:rsid w:val="00D04375"/>
    <w:rsid w:val="00D15A24"/>
    <w:rsid w:val="00D40631"/>
    <w:rsid w:val="00D477D3"/>
    <w:rsid w:val="00D52227"/>
    <w:rsid w:val="00D628D6"/>
    <w:rsid w:val="00D7302C"/>
    <w:rsid w:val="00D879CE"/>
    <w:rsid w:val="00D9176D"/>
    <w:rsid w:val="00D95C2C"/>
    <w:rsid w:val="00D96FC4"/>
    <w:rsid w:val="00DB4804"/>
    <w:rsid w:val="00DB5377"/>
    <w:rsid w:val="00DB62EA"/>
    <w:rsid w:val="00DB78F4"/>
    <w:rsid w:val="00DE017B"/>
    <w:rsid w:val="00DF62EB"/>
    <w:rsid w:val="00E03FA9"/>
    <w:rsid w:val="00E1795B"/>
    <w:rsid w:val="00E315D8"/>
    <w:rsid w:val="00E327FB"/>
    <w:rsid w:val="00E531CB"/>
    <w:rsid w:val="00E5358B"/>
    <w:rsid w:val="00E574FD"/>
    <w:rsid w:val="00E57BF2"/>
    <w:rsid w:val="00E612DE"/>
    <w:rsid w:val="00E706F3"/>
    <w:rsid w:val="00EA31F8"/>
    <w:rsid w:val="00EA3994"/>
    <w:rsid w:val="00EB4709"/>
    <w:rsid w:val="00EC4BD3"/>
    <w:rsid w:val="00EC7758"/>
    <w:rsid w:val="00EF369A"/>
    <w:rsid w:val="00F0555B"/>
    <w:rsid w:val="00F16E2C"/>
    <w:rsid w:val="00F26132"/>
    <w:rsid w:val="00F46D60"/>
    <w:rsid w:val="00F50C13"/>
    <w:rsid w:val="00F5133B"/>
    <w:rsid w:val="00F54E29"/>
    <w:rsid w:val="00F57864"/>
    <w:rsid w:val="00F646EA"/>
    <w:rsid w:val="00F81A3C"/>
    <w:rsid w:val="00F822DF"/>
    <w:rsid w:val="00F83572"/>
    <w:rsid w:val="00FA0B65"/>
    <w:rsid w:val="00FC6C8B"/>
    <w:rsid w:val="00FE439A"/>
    <w:rsid w:val="7257D6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48545"/>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2"/>
    </w:rPr>
  </w:style>
  <w:style w:type="paragraph" w:styleId="Heading1">
    <w:name w:val="heading 1"/>
    <w:basedOn w:val="Normal"/>
    <w:next w:val="Normal"/>
    <w:qFormat/>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pPr>
      <w:keepNext/>
      <w:keepLines/>
      <w:tabs>
        <w:tab w:val="left" w:pos="-720"/>
      </w:tabs>
      <w:suppressAutoHyphens/>
      <w:jc w:val="center"/>
      <w:outlineLvl w:val="1"/>
    </w:pPr>
    <w:rPr>
      <w:b/>
      <w:smallCaps/>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b/>
      <w:i/>
    </w:r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paragraph" w:styleId="Heading9">
    <w:name w:val="heading 9"/>
    <w:basedOn w:val="Normal"/>
    <w:next w:val="Normal"/>
    <w:qFormat/>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style>
  <w:style w:type="paragraph" w:customStyle="1" w:styleId="ChapterNumber">
    <w:name w:val="ChapterNumber"/>
    <w:pPr>
      <w:tabs>
        <w:tab w:val="left" w:pos="-720"/>
      </w:tabs>
      <w:suppressAutoHyphens/>
    </w:pPr>
    <w:rPr>
      <w:rFonts w:ascii="CG Times" w:hAnsi="CG Times"/>
      <w:sz w:val="22"/>
    </w:rPr>
  </w:style>
  <w:style w:type="paragraph" w:styleId="Footer">
    <w:name w:val="footer"/>
    <w:basedOn w:val="Normal"/>
    <w:pPr>
      <w:tabs>
        <w:tab w:val="left" w:pos="360"/>
        <w:tab w:val="right" w:pos="9000"/>
      </w:tabs>
      <w:suppressAutoHyphens/>
    </w:pPr>
  </w:style>
  <w:style w:type="character" w:styleId="FootnoteReference">
    <w:name w:val="footnote reference"/>
    <w:semiHidden/>
    <w:rPr>
      <w:rFonts w:ascii="CG Times" w:hAnsi="CG Times"/>
      <w:noProof w:val="0"/>
      <w:sz w:val="22"/>
      <w:vertAlign w:val="superscript"/>
      <w:lang w:val="en-US"/>
    </w:rPr>
  </w:style>
  <w:style w:type="paragraph" w:styleId="FootnoteText">
    <w:name w:val="footnote text"/>
    <w:basedOn w:val="Normal"/>
    <w:semiHidden/>
    <w:pPr>
      <w:tabs>
        <w:tab w:val="left" w:pos="-720"/>
      </w:tabs>
      <w:suppressAutoHyphens/>
    </w:pPr>
    <w:rPr>
      <w:rFonts w:ascii="Times New Roman" w:hAnsi="Times New Roman"/>
      <w:sz w:val="20"/>
    </w:rPr>
  </w:style>
  <w:style w:type="paragraph" w:styleId="Header">
    <w:name w:val="header"/>
    <w:basedOn w:val="Normal"/>
    <w:pPr>
      <w:tabs>
        <w:tab w:val="left" w:pos="360"/>
        <w:tab w:val="left" w:pos="7560"/>
        <w:tab w:val="left" w:pos="8280"/>
        <w:tab w:val="left" w:pos="9000"/>
      </w:tabs>
      <w:suppressAutoHyphens/>
    </w:pPr>
  </w:style>
  <w:style w:type="paragraph" w:styleId="NormalIndent">
    <w:name w:val="Normal Indent"/>
    <w:basedOn w:val="Normal"/>
    <w:pPr>
      <w:tabs>
        <w:tab w:val="left" w:pos="-720"/>
      </w:tabs>
      <w:suppressAutoHyphens/>
    </w:pPr>
  </w:style>
  <w:style w:type="paragraph" w:customStyle="1" w:styleId="TextBox">
    <w:name w:val="Text Box"/>
    <w:pPr>
      <w:keepNext/>
      <w:keepLines/>
      <w:tabs>
        <w:tab w:val="left" w:pos="-720"/>
      </w:tabs>
      <w:suppressAutoHyphens/>
      <w:jc w:val="both"/>
    </w:pPr>
    <w:rPr>
      <w:spacing w:val="-2"/>
      <w:sz w:val="22"/>
    </w:rPr>
  </w:style>
  <w:style w:type="paragraph" w:customStyle="1" w:styleId="TextBoxdots">
    <w:name w:val="Text Box (dots)"/>
    <w:pPr>
      <w:keepNext/>
      <w:keepLines/>
      <w:tabs>
        <w:tab w:val="left" w:pos="-720"/>
      </w:tabs>
      <w:suppressAutoHyphens/>
      <w:jc w:val="both"/>
    </w:pPr>
    <w:rPr>
      <w:spacing w:val="-2"/>
      <w:sz w:val="22"/>
    </w:rPr>
  </w:style>
  <w:style w:type="paragraph" w:customStyle="1" w:styleId="TextBoxFramed">
    <w:name w:val="Text Box Framed"/>
    <w:pPr>
      <w:keepNext/>
      <w:keepLines/>
      <w:tabs>
        <w:tab w:val="left" w:pos="-720"/>
      </w:tabs>
      <w:suppressAutoHyphens/>
    </w:pPr>
    <w:rPr>
      <w:sz w:val="22"/>
    </w:rPr>
  </w:style>
  <w:style w:type="paragraph" w:customStyle="1" w:styleId="TextBoxUnframed">
    <w:name w:val="Text Box Unframed"/>
    <w:pPr>
      <w:keepNext/>
      <w:keepLines/>
      <w:tabs>
        <w:tab w:val="left" w:pos="-720"/>
      </w:tabs>
      <w:suppressAutoHyphens/>
    </w:pPr>
    <w:rPr>
      <w:sz w:val="22"/>
    </w:rPr>
  </w:style>
  <w:style w:type="paragraph" w:customStyle="1" w:styleId="TOC11">
    <w:name w:val="TOC 11"/>
    <w:pPr>
      <w:tabs>
        <w:tab w:val="left" w:pos="360"/>
      </w:tabs>
      <w:suppressAutoHyphens/>
    </w:pPr>
    <w:rPr>
      <w:rFonts w:ascii="CG Times" w:hAnsi="CG Times"/>
      <w:smallCaps/>
      <w:sz w:val="22"/>
    </w:r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customStyle="1" w:styleId="BankNormal">
    <w:name w:val="BankNormal"/>
    <w:pPr>
      <w:tabs>
        <w:tab w:val="left" w:pos="-720"/>
      </w:tabs>
      <w:suppressAutoHyphens/>
    </w:pPr>
    <w:rPr>
      <w:rFonts w:ascii="CG Times" w:hAnsi="CG Times"/>
      <w:sz w:val="22"/>
    </w:rPr>
  </w:style>
  <w:style w:type="paragraph" w:customStyle="1" w:styleId="Heading1a">
    <w:name w:val="Heading 1a"/>
    <w:pPr>
      <w:keepNext/>
      <w:keepLines/>
      <w:tabs>
        <w:tab w:val="left" w:pos="-720"/>
      </w:tabs>
      <w:suppressAutoHyphens/>
      <w:jc w:val="center"/>
    </w:pPr>
    <w:rPr>
      <w:b/>
      <w:smallCaps/>
      <w:sz w:val="32"/>
    </w:r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EndnoteText">
    <w:name w:val="endnote text"/>
    <w:basedOn w:val="Normal"/>
    <w:semiHidden/>
    <w:pPr>
      <w:tabs>
        <w:tab w:val="left" w:pos="-720"/>
      </w:tabs>
      <w:suppressAutoHyphens/>
    </w:pPr>
    <w:rPr>
      <w:rFonts w:ascii="Times New Roman" w:hAnsi="Times New Roman"/>
      <w:sz w:val="20"/>
    </w:rPr>
  </w:style>
  <w:style w:type="character" w:styleId="EndnoteReference">
    <w:name w:val="endnote reference"/>
    <w:semiHidden/>
    <w:rPr>
      <w:rFonts w:ascii="CG Times" w:hAnsi="CG Times"/>
      <w:noProof w:val="0"/>
      <w:sz w:val="22"/>
      <w:vertAlign w:val="superscript"/>
      <w:lang w:val="en-US"/>
    </w:r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suppressAutoHyphens/>
    </w:pPr>
    <w:rPr>
      <w:spacing w:val="-2"/>
      <w:sz w:val="24"/>
    </w:rPr>
  </w:style>
  <w:style w:type="character" w:styleId="Hyperlink">
    <w:name w:val="Hyperlink"/>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List Paragraph2,Text,References,سرد الفقرات,Bullets,Liste 1,Numbered List Paragraph,ReferencesCxSpLast,Medium Grid 1 - Accent 21,List Paragraph nowy,Paragraphe  revu,Paragraphe de liste1"/>
    <w:basedOn w:val="Normal"/>
    <w:link w:val="ListParagraphChar"/>
    <w:uiPriority w:val="34"/>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List Paragraph2 Char,Text Char,References Char,سرد الفقرات Char,Bullets Char,Liste 1 Char,Numbered List Paragraph Char,ReferencesCxSpLast Char,List Paragraph nowy Char"/>
    <w:basedOn w:val="DefaultParagraphFont"/>
    <w:link w:val="ListParagraph"/>
    <w:uiPriority w:val="34"/>
    <w:qFormat/>
    <w:rsid w:val="009865B1"/>
    <w:rPr>
      <w:rFonts w:asciiTheme="minorHAnsi" w:eastAsiaTheme="minorEastAsia" w:hAnsiTheme="minorHAnsi" w:cstheme="minorBidi"/>
      <w:lang w:val="en-GB"/>
    </w:rPr>
  </w:style>
  <w:style w:type="character" w:styleId="UnresolvedMention">
    <w:name w:val="Unresolved Mention"/>
    <w:basedOn w:val="DefaultParagraphFont"/>
    <w:uiPriority w:val="99"/>
    <w:semiHidden/>
    <w:unhideWhenUsed/>
    <w:rsid w:val="00AD6056"/>
    <w:rPr>
      <w:color w:val="605E5C"/>
      <w:shd w:val="clear" w:color="auto" w:fill="E1DFDD"/>
    </w:rPr>
  </w:style>
  <w:style w:type="character" w:styleId="CommentReference">
    <w:name w:val="annotation reference"/>
    <w:basedOn w:val="DefaultParagraphFont"/>
    <w:semiHidden/>
    <w:unhideWhenUsed/>
    <w:rsid w:val="00F26132"/>
    <w:rPr>
      <w:sz w:val="16"/>
      <w:szCs w:val="16"/>
    </w:rPr>
  </w:style>
  <w:style w:type="paragraph" w:styleId="CommentText">
    <w:name w:val="annotation text"/>
    <w:basedOn w:val="Normal"/>
    <w:link w:val="CommentTextChar"/>
    <w:unhideWhenUsed/>
    <w:rsid w:val="00F26132"/>
    <w:rPr>
      <w:sz w:val="20"/>
    </w:rPr>
  </w:style>
  <w:style w:type="character" w:customStyle="1" w:styleId="CommentTextChar">
    <w:name w:val="Comment Text Char"/>
    <w:basedOn w:val="DefaultParagraphFont"/>
    <w:link w:val="CommentText"/>
    <w:rsid w:val="00F26132"/>
    <w:rPr>
      <w:rFonts w:ascii="CG Times" w:hAnsi="CG Times"/>
    </w:rPr>
  </w:style>
  <w:style w:type="paragraph" w:styleId="CommentSubject">
    <w:name w:val="annotation subject"/>
    <w:basedOn w:val="CommentText"/>
    <w:next w:val="CommentText"/>
    <w:link w:val="CommentSubjectChar"/>
    <w:semiHidden/>
    <w:unhideWhenUsed/>
    <w:rsid w:val="00F26132"/>
    <w:rPr>
      <w:b/>
      <w:bCs/>
    </w:rPr>
  </w:style>
  <w:style w:type="character" w:customStyle="1" w:styleId="CommentSubjectChar">
    <w:name w:val="Comment Subject Char"/>
    <w:basedOn w:val="CommentTextChar"/>
    <w:link w:val="CommentSubject"/>
    <w:semiHidden/>
    <w:rsid w:val="00F26132"/>
    <w:rPr>
      <w:rFonts w:ascii="CG Times" w:hAnsi="CG Times"/>
      <w:b/>
      <w:bCs/>
    </w:rPr>
  </w:style>
  <w:style w:type="paragraph" w:styleId="NormalWeb">
    <w:name w:val="Normal (Web)"/>
    <w:basedOn w:val="Normal"/>
    <w:semiHidden/>
    <w:unhideWhenUsed/>
    <w:rsid w:val="00D7302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sb_procument@ifsb.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B88C14-9115-4AE5-B46D-326BCBDB9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GPN</vt:lpstr>
    </vt:vector>
  </TitlesOfParts>
  <Company>The World Bank</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meken</dc:creator>
  <cp:keywords>procurement, GPN, IDB</cp:keywords>
  <cp:lastModifiedBy>Mehmet Fehmi Eken</cp:lastModifiedBy>
  <cp:revision>3</cp:revision>
  <cp:lastPrinted>2009-03-05T06:40:00Z</cp:lastPrinted>
  <dcterms:created xsi:type="dcterms:W3CDTF">2026-05-31T12:31:00Z</dcterms:created>
  <dcterms:modified xsi:type="dcterms:W3CDTF">2026-06-01T08:03:00Z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f4adf7-25a7-4f52-a61a-df7190f1d881_Enabled">
    <vt:lpwstr>true</vt:lpwstr>
  </property>
  <property fmtid="{D5CDD505-2E9C-101B-9397-08002B2CF9AE}" pid="3" name="MSIP_Label_9ef4adf7-25a7-4f52-a61a-df7190f1d881_SetDate">
    <vt:lpwstr>2023-05-02T08:04:49Z</vt:lpwstr>
  </property>
  <property fmtid="{D5CDD505-2E9C-101B-9397-08002B2CF9AE}" pid="4" name="MSIP_Label_9ef4adf7-25a7-4f52-a61a-df7190f1d881_Method">
    <vt:lpwstr>Standard</vt:lpwstr>
  </property>
  <property fmtid="{D5CDD505-2E9C-101B-9397-08002B2CF9AE}" pid="5" name="MSIP_Label_9ef4adf7-25a7-4f52-a61a-df7190f1d881_Name">
    <vt:lpwstr>Category C - Protected</vt:lpwstr>
  </property>
  <property fmtid="{D5CDD505-2E9C-101B-9397-08002B2CF9AE}" pid="6" name="MSIP_Label_9ef4adf7-25a7-4f52-a61a-df7190f1d881_SiteId">
    <vt:lpwstr>8fa69c26-409d-43e5-973c-17a8be1a7f35</vt:lpwstr>
  </property>
  <property fmtid="{D5CDD505-2E9C-101B-9397-08002B2CF9AE}" pid="7" name="MSIP_Label_9ef4adf7-25a7-4f52-a61a-df7190f1d881_ActionId">
    <vt:lpwstr>83dda9f1-fb1f-43fe-99c4-137a66823b3e</vt:lpwstr>
  </property>
  <property fmtid="{D5CDD505-2E9C-101B-9397-08002B2CF9AE}" pid="8" name="MSIP_Label_9ef4adf7-25a7-4f52-a61a-df7190f1d881_ContentBits">
    <vt:lpwstr>1</vt:lpwstr>
  </property>
  <property fmtid="{D5CDD505-2E9C-101B-9397-08002B2CF9AE}" pid="9" name="GrammarlyDocumentId">
    <vt:lpwstr>9f5e949f8ed1ac25b002043970577e051d12d274550ae4fbf071c677038c3c37</vt:lpwstr>
  </property>
</Properties>
</file>