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927D0" w14:textId="77777777" w:rsidR="00CC3751" w:rsidRPr="00CB5E71" w:rsidRDefault="00CC3751" w:rsidP="00CC3751">
      <w:pPr>
        <w:tabs>
          <w:tab w:val="left" w:pos="720"/>
        </w:tabs>
        <w:spacing w:after="0" w:line="240" w:lineRule="auto"/>
        <w:jc w:val="center"/>
        <w:rPr>
          <w:rFonts w:asciiTheme="majorBidi" w:eastAsia="Times New Roman" w:hAnsiTheme="majorBidi" w:cstheme="majorBidi"/>
          <w:b/>
          <w:bCs/>
          <w:smallCaps/>
          <w:sz w:val="24"/>
          <w:szCs w:val="24"/>
        </w:rPr>
      </w:pPr>
      <w:r w:rsidRPr="00CB5E71">
        <w:rPr>
          <w:rFonts w:asciiTheme="majorBidi" w:eastAsia="Times New Roman" w:hAnsiTheme="majorBidi" w:cstheme="majorBidi"/>
          <w:b/>
          <w:bCs/>
          <w:smallCaps/>
          <w:sz w:val="24"/>
          <w:szCs w:val="24"/>
        </w:rPr>
        <w:t>DEMANDE DE MANIFESTATIONS D'INTÉRÊT</w:t>
      </w:r>
    </w:p>
    <w:p w14:paraId="573917AD" w14:textId="77777777" w:rsidR="00CC3751" w:rsidRPr="00CB5E71" w:rsidRDefault="00CC3751" w:rsidP="00CC3751">
      <w:pPr>
        <w:tabs>
          <w:tab w:val="left" w:pos="720"/>
        </w:tabs>
        <w:spacing w:after="0" w:line="240" w:lineRule="auto"/>
        <w:jc w:val="center"/>
        <w:rPr>
          <w:rFonts w:asciiTheme="majorBidi" w:eastAsia="Times New Roman" w:hAnsiTheme="majorBidi" w:cstheme="majorBidi"/>
          <w:b/>
          <w:bCs/>
          <w:smallCaps/>
          <w:sz w:val="24"/>
          <w:szCs w:val="24"/>
        </w:rPr>
      </w:pPr>
      <w:r w:rsidRPr="00CB5E71">
        <w:rPr>
          <w:rFonts w:asciiTheme="majorBidi" w:eastAsia="Times New Roman" w:hAnsiTheme="majorBidi" w:cstheme="majorBidi"/>
          <w:b/>
          <w:bCs/>
          <w:smallCaps/>
          <w:sz w:val="24"/>
          <w:szCs w:val="24"/>
        </w:rPr>
        <w:t>(SERVICES DE CONSULTATION – SÉLECTION DE CABINETS)</w:t>
      </w:r>
    </w:p>
    <w:p w14:paraId="444E1BC4" w14:textId="77777777" w:rsidR="00CC3751" w:rsidRPr="00CB5E71" w:rsidRDefault="00CC3751" w:rsidP="00CC3751">
      <w:pPr>
        <w:suppressAutoHyphens/>
        <w:spacing w:after="0" w:line="240" w:lineRule="auto"/>
        <w:rPr>
          <w:rFonts w:asciiTheme="majorBidi" w:eastAsia="Calibri" w:hAnsiTheme="majorBidi" w:cstheme="majorBidi"/>
          <w:spacing w:val="-2"/>
          <w:sz w:val="24"/>
          <w:szCs w:val="24"/>
        </w:rPr>
      </w:pPr>
    </w:p>
    <w:p w14:paraId="038C18D5" w14:textId="2AF95D80" w:rsidR="00CC3751" w:rsidRPr="00CB5E71" w:rsidRDefault="00CC3751" w:rsidP="001D0ECF">
      <w:pPr>
        <w:suppressAutoHyphens/>
        <w:spacing w:after="0" w:line="240" w:lineRule="auto"/>
        <w:rPr>
          <w:rFonts w:asciiTheme="majorBidi" w:hAnsiTheme="majorBidi" w:cstheme="majorBidi"/>
          <w:spacing w:val="-2"/>
          <w:sz w:val="24"/>
          <w:szCs w:val="24"/>
        </w:rPr>
      </w:pPr>
      <w:r w:rsidRPr="00CB5E71">
        <w:rPr>
          <w:rFonts w:asciiTheme="majorBidi" w:hAnsiTheme="majorBidi" w:cstheme="majorBidi"/>
          <w:b/>
          <w:bCs/>
          <w:spacing w:val="-2"/>
          <w:sz w:val="24"/>
          <w:szCs w:val="24"/>
        </w:rPr>
        <w:t xml:space="preserve">Pays : </w:t>
      </w:r>
      <w:r w:rsidRPr="00CB5E71">
        <w:rPr>
          <w:rFonts w:asciiTheme="majorBidi" w:hAnsiTheme="majorBidi" w:cstheme="majorBidi"/>
          <w:spacing w:val="-2"/>
          <w:sz w:val="24"/>
          <w:szCs w:val="24"/>
        </w:rPr>
        <w:t>République de Djibouti</w:t>
      </w:r>
    </w:p>
    <w:p w14:paraId="55458D00" w14:textId="77777777" w:rsidR="00D1015F" w:rsidRPr="00CB5E71" w:rsidRDefault="00CC3751" w:rsidP="00D1015F">
      <w:pPr>
        <w:suppressAutoHyphens/>
        <w:spacing w:after="0" w:line="240" w:lineRule="auto"/>
        <w:rPr>
          <w:rFonts w:asciiTheme="majorBidi" w:hAnsiTheme="majorBidi" w:cstheme="majorBidi"/>
          <w:spacing w:val="-2"/>
          <w:sz w:val="24"/>
          <w:szCs w:val="24"/>
        </w:rPr>
      </w:pPr>
      <w:r w:rsidRPr="00CB5E71">
        <w:rPr>
          <w:rFonts w:asciiTheme="majorBidi" w:hAnsiTheme="majorBidi" w:cstheme="majorBidi"/>
          <w:b/>
          <w:bCs/>
          <w:spacing w:val="-2"/>
          <w:sz w:val="24"/>
          <w:szCs w:val="24"/>
        </w:rPr>
        <w:t xml:space="preserve">Nom du projet : </w:t>
      </w:r>
      <w:r w:rsidRPr="00CB5E71">
        <w:rPr>
          <w:rFonts w:asciiTheme="majorBidi" w:hAnsiTheme="majorBidi" w:cstheme="majorBidi"/>
          <w:spacing w:val="-2"/>
          <w:sz w:val="24"/>
          <w:szCs w:val="24"/>
        </w:rPr>
        <w:t>Subvention en matière de finance islamique à la Banque centrale de Djibouti pour l’élaboration d’une stratégie et d’une feuille de route en matière de finance islamique</w:t>
      </w:r>
    </w:p>
    <w:p w14:paraId="3588A405" w14:textId="07F5F458" w:rsidR="00CC3751" w:rsidRPr="00CB5E71" w:rsidRDefault="00CC3751" w:rsidP="00D1015F">
      <w:pPr>
        <w:suppressAutoHyphens/>
        <w:spacing w:after="0" w:line="240" w:lineRule="auto"/>
        <w:rPr>
          <w:rFonts w:asciiTheme="majorBidi" w:hAnsiTheme="majorBidi" w:cstheme="majorBidi"/>
          <w:spacing w:val="-2"/>
          <w:sz w:val="24"/>
          <w:szCs w:val="24"/>
        </w:rPr>
      </w:pPr>
      <w:r w:rsidRPr="00CB5E71">
        <w:rPr>
          <w:rFonts w:asciiTheme="majorBidi" w:hAnsiTheme="majorBidi" w:cstheme="majorBidi"/>
          <w:b/>
          <w:bCs/>
          <w:spacing w:val="-2"/>
          <w:sz w:val="24"/>
          <w:szCs w:val="24"/>
        </w:rPr>
        <w:t xml:space="preserve">Secteur : </w:t>
      </w:r>
      <w:r w:rsidRPr="00CB5E71">
        <w:rPr>
          <w:rFonts w:asciiTheme="majorBidi" w:hAnsiTheme="majorBidi" w:cstheme="majorBidi"/>
          <w:spacing w:val="-2"/>
          <w:sz w:val="24"/>
          <w:szCs w:val="24"/>
        </w:rPr>
        <w:t>Finance islamique / Développement du secteur financier</w:t>
      </w:r>
    </w:p>
    <w:p w14:paraId="6BE787A4" w14:textId="2C4B8F59" w:rsidR="00061192" w:rsidRPr="00CB5E71" w:rsidRDefault="00CC3751" w:rsidP="00061192">
      <w:pPr>
        <w:suppressAutoHyphens/>
        <w:spacing w:after="0" w:line="240" w:lineRule="auto"/>
        <w:rPr>
          <w:rFonts w:asciiTheme="majorBidi" w:hAnsiTheme="majorBidi" w:cstheme="majorBidi"/>
          <w:sz w:val="24"/>
          <w:szCs w:val="24"/>
        </w:rPr>
      </w:pPr>
      <w:r w:rsidRPr="00CB5E71">
        <w:rPr>
          <w:rFonts w:asciiTheme="majorBidi" w:hAnsiTheme="majorBidi" w:cstheme="majorBidi"/>
          <w:b/>
          <w:bCs/>
          <w:sz w:val="24"/>
          <w:szCs w:val="24"/>
        </w:rPr>
        <w:t xml:space="preserve">Modalités de financement : </w:t>
      </w:r>
      <w:r w:rsidRPr="00CB5E71">
        <w:rPr>
          <w:rFonts w:asciiTheme="majorBidi" w:hAnsiTheme="majorBidi" w:cstheme="majorBidi"/>
          <w:sz w:val="24"/>
          <w:szCs w:val="24"/>
        </w:rPr>
        <w:t>Subvention d'assistance technique</w:t>
      </w:r>
    </w:p>
    <w:p w14:paraId="387FBF56" w14:textId="336922C7" w:rsidR="00CC3751" w:rsidRPr="00CB5E71" w:rsidRDefault="00CC3751" w:rsidP="00061192">
      <w:pPr>
        <w:suppressAutoHyphens/>
        <w:spacing w:after="0" w:line="240" w:lineRule="auto"/>
        <w:rPr>
          <w:rFonts w:asciiTheme="majorBidi" w:hAnsiTheme="majorBidi" w:cstheme="majorBidi"/>
          <w:sz w:val="24"/>
          <w:szCs w:val="24"/>
        </w:rPr>
      </w:pPr>
      <w:r w:rsidRPr="00CB5E71">
        <w:rPr>
          <w:rFonts w:asciiTheme="majorBidi" w:hAnsiTheme="majorBidi" w:cstheme="majorBidi"/>
          <w:b/>
          <w:bCs/>
          <w:sz w:val="24"/>
          <w:szCs w:val="24"/>
        </w:rPr>
        <w:t xml:space="preserve">Numéro de financement : </w:t>
      </w:r>
      <w:r w:rsidR="00061192" w:rsidRPr="00CB5E71">
        <w:rPr>
          <w:rFonts w:asciiTheme="majorBidi" w:hAnsiTheme="majorBidi" w:cstheme="majorBidi"/>
          <w:sz w:val="24"/>
          <w:szCs w:val="24"/>
        </w:rPr>
        <w:t>DJI1032</w:t>
      </w:r>
    </w:p>
    <w:p w14:paraId="17DC063C" w14:textId="77777777" w:rsidR="00CC3751" w:rsidRPr="00CB5E71" w:rsidRDefault="00CC3751" w:rsidP="00CC3751">
      <w:pPr>
        <w:pStyle w:val="ChapterNumber"/>
        <w:tabs>
          <w:tab w:val="clear" w:pos="-720"/>
        </w:tabs>
        <w:rPr>
          <w:rFonts w:asciiTheme="majorBidi" w:hAnsiTheme="majorBidi" w:cstheme="majorBidi"/>
          <w:spacing w:val="-2"/>
          <w:sz w:val="24"/>
          <w:szCs w:val="24"/>
        </w:rPr>
      </w:pPr>
    </w:p>
    <w:p w14:paraId="240CC8CC" w14:textId="2DF85858" w:rsidR="00B35877" w:rsidRPr="00CB5E71" w:rsidRDefault="004D72DE" w:rsidP="00B35877">
      <w:pPr>
        <w:spacing w:after="120"/>
        <w:rPr>
          <w:rFonts w:asciiTheme="majorBidi" w:hAnsiTheme="majorBidi" w:cstheme="majorBidi"/>
          <w:spacing w:val="-2"/>
          <w:sz w:val="24"/>
          <w:szCs w:val="24"/>
          <w:lang w:val="fr-FR"/>
        </w:rPr>
      </w:pPr>
      <w:r w:rsidRPr="00CB5E71">
        <w:rPr>
          <w:rFonts w:asciiTheme="majorBidi" w:hAnsiTheme="majorBidi" w:cstheme="majorBidi"/>
          <w:sz w:val="24"/>
          <w:szCs w:val="24"/>
        </w:rPr>
        <w:t>L’Institut de la Banque islamique de développement (IsDBI) a approuvé une subvention d’assistance technique destinée à soutenir la Banque centrale de Djibouti (BCD) dans le développement d’un écosystème financier islamique complet en République de Djibouti</w:t>
      </w:r>
      <w:r w:rsidR="00B35877" w:rsidRPr="00CB5E71">
        <w:rPr>
          <w:rFonts w:asciiTheme="majorBidi" w:hAnsiTheme="majorBidi" w:cstheme="majorBidi"/>
          <w:spacing w:val="-2"/>
          <w:sz w:val="24"/>
          <w:szCs w:val="24"/>
          <w:lang w:val="fr-FR"/>
        </w:rPr>
        <w:t xml:space="preserve">, et a l’intention d’utiliser une partie des sommes accordées pour financer des services de consultant.  </w:t>
      </w:r>
    </w:p>
    <w:p w14:paraId="0819C806" w14:textId="5849D9DB" w:rsidR="00B35877" w:rsidRPr="00CB5E71" w:rsidRDefault="00B35877" w:rsidP="0064334A">
      <w:pPr>
        <w:rPr>
          <w:rFonts w:asciiTheme="majorBidi" w:hAnsiTheme="majorBidi" w:cstheme="majorBidi"/>
          <w:spacing w:val="-2"/>
          <w:sz w:val="24"/>
          <w:szCs w:val="24"/>
          <w:lang w:val="fr-FR"/>
        </w:rPr>
      </w:pPr>
      <w:r w:rsidRPr="00CB5E71">
        <w:rPr>
          <w:rFonts w:asciiTheme="majorBidi" w:hAnsiTheme="majorBidi" w:cstheme="majorBidi"/>
          <w:spacing w:val="-2"/>
          <w:sz w:val="24"/>
          <w:szCs w:val="24"/>
          <w:lang w:val="fr-FR"/>
        </w:rPr>
        <w:t>Les services comprennent</w:t>
      </w:r>
      <w:r w:rsidR="003250D6" w:rsidRPr="00CB5E71">
        <w:rPr>
          <w:rFonts w:asciiTheme="majorBidi" w:hAnsiTheme="majorBidi" w:cstheme="majorBidi"/>
          <w:spacing w:val="-2"/>
          <w:sz w:val="24"/>
          <w:szCs w:val="24"/>
          <w:lang w:val="fr-FR"/>
        </w:rPr>
        <w:t> :</w:t>
      </w:r>
    </w:p>
    <w:p w14:paraId="28DE6B42" w14:textId="77777777" w:rsidR="003250D6" w:rsidRPr="00CB5E71" w:rsidRDefault="003250D6" w:rsidP="003250D6">
      <w:pPr>
        <w:pStyle w:val="ListParagraph"/>
        <w:numPr>
          <w:ilvl w:val="0"/>
          <w:numId w:val="4"/>
        </w:numPr>
        <w:spacing w:after="120" w:line="240" w:lineRule="auto"/>
        <w:rPr>
          <w:rFonts w:asciiTheme="majorBidi" w:hAnsiTheme="majorBidi" w:cstheme="majorBidi"/>
          <w:color w:val="1F1F1F"/>
          <w:sz w:val="24"/>
          <w:szCs w:val="24"/>
        </w:rPr>
      </w:pPr>
      <w:r w:rsidRPr="00CB5E71">
        <w:rPr>
          <w:rFonts w:asciiTheme="majorBidi" w:hAnsiTheme="majorBidi" w:cstheme="majorBidi"/>
          <w:color w:val="1F1F1F"/>
          <w:sz w:val="24"/>
          <w:szCs w:val="24"/>
        </w:rPr>
        <w:t>Réaliser une évaluation complète de l'écosystème de la finance islamique à Djibouti.</w:t>
      </w:r>
    </w:p>
    <w:p w14:paraId="77C58BE1" w14:textId="77777777" w:rsidR="003250D6" w:rsidRPr="00CB5E71" w:rsidRDefault="003250D6" w:rsidP="003250D6">
      <w:pPr>
        <w:pStyle w:val="ListParagraph"/>
        <w:numPr>
          <w:ilvl w:val="0"/>
          <w:numId w:val="4"/>
        </w:numPr>
        <w:spacing w:after="120" w:line="240" w:lineRule="auto"/>
        <w:rPr>
          <w:rFonts w:asciiTheme="majorBidi" w:hAnsiTheme="majorBidi" w:cstheme="majorBidi"/>
          <w:color w:val="1F1F1F"/>
          <w:sz w:val="24"/>
          <w:szCs w:val="24"/>
        </w:rPr>
      </w:pPr>
      <w:r w:rsidRPr="00CB5E71">
        <w:rPr>
          <w:rFonts w:asciiTheme="majorBidi" w:hAnsiTheme="majorBidi" w:cstheme="majorBidi"/>
          <w:color w:val="1F1F1F"/>
          <w:sz w:val="24"/>
          <w:szCs w:val="24"/>
        </w:rPr>
        <w:t>Élaborer une stratégie nationale en matière de finance islamique et une feuille de route pour sa mise en œuvre.</w:t>
      </w:r>
    </w:p>
    <w:p w14:paraId="70942CD3" w14:textId="77777777" w:rsidR="003250D6" w:rsidRPr="00CB5E71" w:rsidRDefault="003250D6" w:rsidP="003250D6">
      <w:pPr>
        <w:pStyle w:val="ListParagraph"/>
        <w:numPr>
          <w:ilvl w:val="0"/>
          <w:numId w:val="4"/>
        </w:numPr>
        <w:spacing w:after="120" w:line="240" w:lineRule="auto"/>
        <w:rPr>
          <w:rFonts w:asciiTheme="majorBidi" w:hAnsiTheme="majorBidi" w:cstheme="majorBidi"/>
          <w:color w:val="1F1F1F"/>
          <w:sz w:val="24"/>
          <w:szCs w:val="24"/>
        </w:rPr>
      </w:pPr>
      <w:r w:rsidRPr="00CB5E71">
        <w:rPr>
          <w:rFonts w:asciiTheme="majorBidi" w:hAnsiTheme="majorBidi" w:cstheme="majorBidi"/>
          <w:color w:val="1F1F1F"/>
          <w:sz w:val="24"/>
          <w:szCs w:val="24"/>
        </w:rPr>
        <w:t>Réviser et améliorer le cadre juridique et réglementaire régissant la banque islamique.</w:t>
      </w:r>
    </w:p>
    <w:p w14:paraId="7F887EAE" w14:textId="77777777" w:rsidR="003250D6" w:rsidRPr="00CB5E71" w:rsidRDefault="003250D6" w:rsidP="003250D6">
      <w:pPr>
        <w:pStyle w:val="ListParagraph"/>
        <w:numPr>
          <w:ilvl w:val="0"/>
          <w:numId w:val="4"/>
        </w:numPr>
        <w:spacing w:after="120" w:line="240" w:lineRule="auto"/>
        <w:rPr>
          <w:rFonts w:asciiTheme="majorBidi" w:hAnsiTheme="majorBidi" w:cstheme="majorBidi"/>
          <w:color w:val="1F1F1F"/>
          <w:sz w:val="24"/>
          <w:szCs w:val="24"/>
        </w:rPr>
      </w:pPr>
      <w:r w:rsidRPr="00CB5E71">
        <w:rPr>
          <w:rFonts w:asciiTheme="majorBidi" w:hAnsiTheme="majorBidi" w:cstheme="majorBidi"/>
          <w:color w:val="1F1F1F"/>
          <w:sz w:val="24"/>
          <w:szCs w:val="24"/>
        </w:rPr>
        <w:t>Mettre en place un cadre juridique et réglementaire dédié à la microfinance islamique.</w:t>
      </w:r>
    </w:p>
    <w:p w14:paraId="3270C5EF" w14:textId="77777777" w:rsidR="003250D6" w:rsidRPr="00CB5E71" w:rsidRDefault="003250D6" w:rsidP="003250D6">
      <w:pPr>
        <w:pStyle w:val="ListParagraph"/>
        <w:numPr>
          <w:ilvl w:val="0"/>
          <w:numId w:val="4"/>
        </w:numPr>
        <w:spacing w:after="120" w:line="240" w:lineRule="auto"/>
        <w:rPr>
          <w:rFonts w:asciiTheme="majorBidi" w:hAnsiTheme="majorBidi" w:cstheme="majorBidi"/>
          <w:color w:val="1F1F1F"/>
          <w:sz w:val="24"/>
          <w:szCs w:val="24"/>
        </w:rPr>
      </w:pPr>
      <w:r w:rsidRPr="00CB5E71">
        <w:rPr>
          <w:rFonts w:asciiTheme="majorBidi" w:hAnsiTheme="majorBidi" w:cstheme="majorBidi"/>
          <w:color w:val="1F1F1F"/>
          <w:sz w:val="24"/>
          <w:szCs w:val="24"/>
        </w:rPr>
        <w:t>Formuler des recommandations politiques concrètes pour renforcer le secteur de la finance islamique.</w:t>
      </w:r>
    </w:p>
    <w:p w14:paraId="197DA9BA" w14:textId="6A454FDC" w:rsidR="004D72DE" w:rsidRPr="00CB5E71" w:rsidRDefault="004D72DE" w:rsidP="0064334A">
      <w:pPr>
        <w:rPr>
          <w:rFonts w:asciiTheme="majorBidi" w:eastAsia="Times New Roman" w:hAnsiTheme="majorBidi" w:cstheme="majorBidi"/>
          <w:spacing w:val="-2"/>
          <w:sz w:val="24"/>
          <w:szCs w:val="24"/>
        </w:rPr>
      </w:pPr>
      <w:r w:rsidRPr="00CB5E71">
        <w:rPr>
          <w:rFonts w:asciiTheme="majorBidi" w:eastAsia="Times New Roman" w:hAnsiTheme="majorBidi" w:cstheme="majorBidi"/>
          <w:spacing w:val="-2"/>
          <w:sz w:val="24"/>
          <w:szCs w:val="24"/>
        </w:rPr>
        <w:t xml:space="preserve">Le projet </w:t>
      </w:r>
      <w:r w:rsidRPr="00CB5E71">
        <w:rPr>
          <w:rFonts w:asciiTheme="majorBidi" w:eastAsia="Times New Roman" w:hAnsiTheme="majorBidi" w:cstheme="majorBidi"/>
          <w:b/>
          <w:bCs/>
          <w:spacing w:val="-2"/>
          <w:sz w:val="24"/>
          <w:szCs w:val="24"/>
        </w:rPr>
        <w:t>de termes de référence (</w:t>
      </w:r>
      <w:proofErr w:type="spellStart"/>
      <w:r w:rsidRPr="00CB5E71">
        <w:rPr>
          <w:rFonts w:asciiTheme="majorBidi" w:eastAsia="Times New Roman" w:hAnsiTheme="majorBidi" w:cstheme="majorBidi"/>
          <w:b/>
          <w:bCs/>
          <w:spacing w:val="-2"/>
          <w:sz w:val="24"/>
          <w:szCs w:val="24"/>
        </w:rPr>
        <w:t>TdR</w:t>
      </w:r>
      <w:proofErr w:type="spellEnd"/>
      <w:r w:rsidRPr="00CB5E71">
        <w:rPr>
          <w:rFonts w:asciiTheme="majorBidi" w:eastAsia="Times New Roman" w:hAnsiTheme="majorBidi" w:cstheme="majorBidi"/>
          <w:b/>
          <w:bCs/>
          <w:spacing w:val="-2"/>
          <w:sz w:val="24"/>
          <w:szCs w:val="24"/>
        </w:rPr>
        <w:t xml:space="preserve">) </w:t>
      </w:r>
      <w:r w:rsidRPr="00CB5E71">
        <w:rPr>
          <w:rFonts w:asciiTheme="majorBidi" w:eastAsia="Times New Roman" w:hAnsiTheme="majorBidi" w:cstheme="majorBidi"/>
          <w:spacing w:val="-2"/>
          <w:sz w:val="24"/>
          <w:szCs w:val="24"/>
        </w:rPr>
        <w:t>de la mission est joint à l'annexe 1.</w:t>
      </w:r>
    </w:p>
    <w:p w14:paraId="38B8D253" w14:textId="77796B04" w:rsidR="00B35877" w:rsidRPr="00CB5E71" w:rsidRDefault="004D72DE" w:rsidP="00B35877">
      <w:pPr>
        <w:spacing w:after="120"/>
        <w:rPr>
          <w:rFonts w:asciiTheme="majorBidi" w:hAnsiTheme="majorBidi" w:cstheme="majorBidi"/>
          <w:spacing w:val="-2"/>
          <w:sz w:val="24"/>
          <w:szCs w:val="24"/>
          <w:lang w:val="fr-FR"/>
        </w:rPr>
      </w:pPr>
      <w:r w:rsidRPr="00CB5E71">
        <w:rPr>
          <w:rFonts w:asciiTheme="majorBidi" w:eastAsia="Times New Roman" w:hAnsiTheme="majorBidi" w:cstheme="majorBidi"/>
          <w:spacing w:val="-2"/>
          <w:sz w:val="24"/>
          <w:szCs w:val="24"/>
        </w:rPr>
        <w:t xml:space="preserve">L’Institut de la Banque islamique de développement invite </w:t>
      </w:r>
      <w:r w:rsidR="00B35877" w:rsidRPr="00CB5E71">
        <w:rPr>
          <w:rFonts w:asciiTheme="majorBidi" w:hAnsiTheme="majorBidi" w:cstheme="majorBidi"/>
          <w:sz w:val="24"/>
          <w:szCs w:val="24"/>
          <w:lang w:val="fr-FR"/>
        </w:rPr>
        <w:t xml:space="preserve">les bureaux de Consultants </w:t>
      </w:r>
      <w:r w:rsidRPr="00CB5E71">
        <w:rPr>
          <w:rFonts w:asciiTheme="majorBidi" w:eastAsia="Times New Roman" w:hAnsiTheme="majorBidi" w:cstheme="majorBidi"/>
          <w:spacing w:val="-2"/>
          <w:sz w:val="24"/>
          <w:szCs w:val="24"/>
        </w:rPr>
        <w:t xml:space="preserve">(« Consultants ») </w:t>
      </w:r>
      <w:r w:rsidR="00B35877" w:rsidRPr="00CB5E71">
        <w:rPr>
          <w:rFonts w:asciiTheme="majorBidi" w:hAnsiTheme="majorBidi" w:cstheme="majorBidi"/>
          <w:sz w:val="24"/>
          <w:szCs w:val="24"/>
          <w:lang w:val="fr-FR"/>
        </w:rPr>
        <w:t xml:space="preserve">éligibles à manifester leur intérêt en vue de fournir les services ci-dessus. </w:t>
      </w:r>
      <w:r w:rsidR="00B35877" w:rsidRPr="00CB5E71">
        <w:rPr>
          <w:rFonts w:asciiTheme="majorBidi" w:hAnsiTheme="majorBidi" w:cstheme="majorBidi"/>
          <w:spacing w:val="-2"/>
          <w:sz w:val="24"/>
          <w:szCs w:val="24"/>
          <w:lang w:val="fr-FR"/>
        </w:rPr>
        <w:t xml:space="preserve">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 </w:t>
      </w:r>
    </w:p>
    <w:p w14:paraId="62554502" w14:textId="77777777" w:rsidR="00CC3751" w:rsidRPr="00CB5E71" w:rsidRDefault="00CC3751" w:rsidP="0064334A">
      <w:pPr>
        <w:rPr>
          <w:rFonts w:asciiTheme="majorBidi" w:hAnsiTheme="majorBidi" w:cstheme="majorBidi"/>
          <w:b/>
          <w:bCs/>
          <w:sz w:val="24"/>
          <w:szCs w:val="24"/>
        </w:rPr>
      </w:pPr>
      <w:r w:rsidRPr="00CB5E71">
        <w:rPr>
          <w:rFonts w:asciiTheme="majorBidi" w:hAnsiTheme="majorBidi" w:cstheme="majorBidi"/>
          <w:b/>
          <w:bCs/>
          <w:sz w:val="24"/>
          <w:szCs w:val="24"/>
        </w:rPr>
        <w:t>Les critères/sous-critères de présélection sont les suivants :</w:t>
      </w:r>
    </w:p>
    <w:p w14:paraId="10BCAF18" w14:textId="77777777" w:rsidR="00B35877" w:rsidRPr="00CB5E71" w:rsidRDefault="00B35877" w:rsidP="00B35877">
      <w:pPr>
        <w:numPr>
          <w:ilvl w:val="0"/>
          <w:numId w:val="2"/>
        </w:numPr>
        <w:spacing w:after="120" w:line="240" w:lineRule="auto"/>
        <w:rPr>
          <w:rFonts w:asciiTheme="majorBidi" w:hAnsiTheme="majorBidi" w:cstheme="majorBidi"/>
          <w:sz w:val="24"/>
          <w:szCs w:val="24"/>
        </w:rPr>
      </w:pPr>
      <w:r w:rsidRPr="00CB5E71">
        <w:rPr>
          <w:rFonts w:asciiTheme="majorBidi" w:hAnsiTheme="majorBidi" w:cstheme="majorBidi"/>
          <w:sz w:val="24"/>
          <w:szCs w:val="24"/>
        </w:rPr>
        <w:t>Expérience minimale de 10 ans dans les services de conseil en finance islamique.</w:t>
      </w:r>
    </w:p>
    <w:p w14:paraId="3195D4DB" w14:textId="77777777" w:rsidR="00B35877" w:rsidRPr="00CB5E71" w:rsidRDefault="00B35877" w:rsidP="00B35877">
      <w:pPr>
        <w:numPr>
          <w:ilvl w:val="0"/>
          <w:numId w:val="2"/>
        </w:numPr>
        <w:spacing w:after="120" w:line="240" w:lineRule="auto"/>
        <w:rPr>
          <w:rFonts w:asciiTheme="majorBidi" w:hAnsiTheme="majorBidi" w:cstheme="majorBidi"/>
          <w:sz w:val="24"/>
          <w:szCs w:val="24"/>
        </w:rPr>
      </w:pPr>
      <w:r w:rsidRPr="00CB5E71">
        <w:rPr>
          <w:rFonts w:asciiTheme="majorBidi" w:hAnsiTheme="majorBidi" w:cstheme="majorBidi"/>
          <w:sz w:val="24"/>
          <w:szCs w:val="24"/>
        </w:rPr>
        <w:t>Expérience avérée dans le développement de stratégies ou de cadres réglementaires en matière de finance islamique.</w:t>
      </w:r>
    </w:p>
    <w:p w14:paraId="5C13A4AE" w14:textId="77777777" w:rsidR="00B35877" w:rsidRPr="00CB5E71" w:rsidRDefault="00B35877" w:rsidP="00B35877">
      <w:pPr>
        <w:numPr>
          <w:ilvl w:val="0"/>
          <w:numId w:val="2"/>
        </w:numPr>
        <w:spacing w:after="120" w:line="240" w:lineRule="auto"/>
        <w:rPr>
          <w:rFonts w:asciiTheme="majorBidi" w:hAnsiTheme="majorBidi" w:cstheme="majorBidi"/>
          <w:sz w:val="24"/>
          <w:szCs w:val="24"/>
        </w:rPr>
      </w:pPr>
      <w:r w:rsidRPr="00CB5E71">
        <w:rPr>
          <w:rFonts w:asciiTheme="majorBidi" w:hAnsiTheme="majorBidi" w:cstheme="majorBidi"/>
          <w:sz w:val="24"/>
          <w:szCs w:val="24"/>
        </w:rPr>
        <w:t>Expérience avérée de travail avec des banques centrales, des organismes de réglementation financière ou des institutions multilatérales de développement.</w:t>
      </w:r>
    </w:p>
    <w:p w14:paraId="78A1A038" w14:textId="77777777" w:rsidR="00B35877" w:rsidRPr="00CB5E71" w:rsidRDefault="00B35877" w:rsidP="00B35877">
      <w:pPr>
        <w:numPr>
          <w:ilvl w:val="0"/>
          <w:numId w:val="2"/>
        </w:numPr>
        <w:spacing w:after="120" w:line="240" w:lineRule="auto"/>
        <w:rPr>
          <w:rFonts w:asciiTheme="majorBidi" w:hAnsiTheme="majorBidi" w:cstheme="majorBidi"/>
          <w:sz w:val="24"/>
          <w:szCs w:val="24"/>
        </w:rPr>
      </w:pPr>
      <w:r w:rsidRPr="00CB5E71">
        <w:rPr>
          <w:rFonts w:asciiTheme="majorBidi" w:hAnsiTheme="majorBidi" w:cstheme="majorBidi"/>
          <w:sz w:val="24"/>
          <w:szCs w:val="24"/>
        </w:rPr>
        <w:t>Solide connaissance des normes et pratiques réglementaires de la finance islamique mondiale.</w:t>
      </w:r>
    </w:p>
    <w:p w14:paraId="0C9F57F1" w14:textId="526E8C51" w:rsidR="00B35877" w:rsidRPr="00CB5E71" w:rsidRDefault="00B35877" w:rsidP="00B35877">
      <w:pPr>
        <w:spacing w:after="120"/>
        <w:rPr>
          <w:rFonts w:asciiTheme="majorBidi" w:hAnsiTheme="majorBidi" w:cstheme="majorBidi"/>
          <w:spacing w:val="-2"/>
          <w:sz w:val="24"/>
          <w:szCs w:val="24"/>
          <w:lang w:val="fr-FR"/>
        </w:rPr>
      </w:pPr>
      <w:r w:rsidRPr="00CB5E71">
        <w:rPr>
          <w:rFonts w:asciiTheme="majorBidi" w:hAnsiTheme="majorBidi" w:cstheme="majorBidi"/>
          <w:sz w:val="24"/>
          <w:szCs w:val="24"/>
        </w:rPr>
        <w:t xml:space="preserve"> </w:t>
      </w:r>
      <w:r w:rsidRPr="00CB5E71">
        <w:rPr>
          <w:rFonts w:asciiTheme="majorBidi" w:hAnsiTheme="majorBidi" w:cstheme="majorBidi"/>
          <w:spacing w:val="-2"/>
          <w:sz w:val="24"/>
          <w:szCs w:val="24"/>
          <w:lang w:val="fr-FR"/>
        </w:rPr>
        <w:t>Les Personnels-clés ne feront pas l’objet d’évaluation au stade de l’établissement de la liste retreinte.</w:t>
      </w:r>
    </w:p>
    <w:p w14:paraId="57FD7817" w14:textId="77777777" w:rsidR="00B35877" w:rsidRPr="00CB5E71" w:rsidRDefault="00B35877" w:rsidP="00B35877">
      <w:pPr>
        <w:spacing w:after="120"/>
        <w:rPr>
          <w:rFonts w:asciiTheme="majorBidi" w:hAnsiTheme="majorBidi" w:cstheme="majorBidi"/>
          <w:sz w:val="24"/>
          <w:szCs w:val="24"/>
          <w:lang w:val="fr-FR"/>
        </w:rPr>
      </w:pPr>
      <w:r w:rsidRPr="00CB5E71">
        <w:rPr>
          <w:rFonts w:asciiTheme="majorBidi" w:hAnsiTheme="majorBidi" w:cstheme="majorBidi"/>
          <w:sz w:val="24"/>
          <w:szCs w:val="24"/>
          <w:lang w:val="fr-FR"/>
        </w:rPr>
        <w:t xml:space="preserve">Les </w:t>
      </w:r>
      <w:r w:rsidRPr="00CB5E71">
        <w:rPr>
          <w:rFonts w:asciiTheme="majorBidi" w:hAnsiTheme="majorBidi" w:cstheme="majorBidi"/>
          <w:spacing w:val="-2"/>
          <w:sz w:val="24"/>
          <w:szCs w:val="24"/>
          <w:lang w:val="fr-FR"/>
        </w:rPr>
        <w:t>Consultants</w:t>
      </w:r>
      <w:r w:rsidRPr="00CB5E71">
        <w:rPr>
          <w:rFonts w:asciiTheme="majorBidi" w:hAnsiTheme="majorBidi" w:cstheme="majorBidi"/>
          <w:sz w:val="24"/>
          <w:szCs w:val="24"/>
          <w:lang w:val="fr-FR"/>
        </w:rPr>
        <w:t xml:space="preserve"> intéressés sont invités à prendre connaissance des Clauses 1.23 et 1.24 des Directives sur l’acquisition des Services de Consultants dans le cadre des Projets financés par la Banque </w:t>
      </w:r>
      <w:r w:rsidRPr="00CB5E71">
        <w:rPr>
          <w:rFonts w:asciiTheme="majorBidi" w:hAnsiTheme="majorBidi" w:cstheme="majorBidi"/>
          <w:sz w:val="24"/>
          <w:szCs w:val="24"/>
          <w:lang w:val="fr-FR"/>
        </w:rPr>
        <w:lastRenderedPageBreak/>
        <w:t xml:space="preserve">Islamique de Développement (les « Directives ») définissant les règles de la </w:t>
      </w:r>
      <w:proofErr w:type="spellStart"/>
      <w:r w:rsidRPr="00CB5E71">
        <w:rPr>
          <w:rFonts w:asciiTheme="majorBidi" w:hAnsiTheme="majorBidi" w:cstheme="majorBidi"/>
          <w:sz w:val="24"/>
          <w:szCs w:val="24"/>
          <w:lang w:val="fr-FR"/>
        </w:rPr>
        <w:t>BIsD</w:t>
      </w:r>
      <w:proofErr w:type="spellEnd"/>
      <w:r w:rsidRPr="00CB5E71">
        <w:rPr>
          <w:rFonts w:asciiTheme="majorBidi" w:hAnsiTheme="majorBidi" w:cstheme="majorBidi"/>
          <w:sz w:val="24"/>
          <w:szCs w:val="24"/>
          <w:lang w:val="fr-FR"/>
        </w:rPr>
        <w:t xml:space="preserve"> concernant les conflits d’intérêt.</w:t>
      </w:r>
    </w:p>
    <w:p w14:paraId="2FEE1BF5" w14:textId="172A0068" w:rsidR="00B35877" w:rsidRPr="00CB5E71" w:rsidRDefault="00B35877" w:rsidP="00B35877">
      <w:pPr>
        <w:spacing w:after="120"/>
        <w:rPr>
          <w:rFonts w:asciiTheme="majorBidi" w:hAnsiTheme="majorBidi" w:cstheme="majorBidi"/>
          <w:spacing w:val="-2"/>
          <w:sz w:val="24"/>
          <w:szCs w:val="24"/>
          <w:lang w:val="fr-FR"/>
        </w:rPr>
      </w:pPr>
      <w:r w:rsidRPr="00CB5E71">
        <w:rPr>
          <w:rFonts w:asciiTheme="majorBidi" w:hAnsiTheme="majorBidi" w:cstheme="majorBidi"/>
          <w:spacing w:val="-2"/>
          <w:sz w:val="24"/>
          <w:szCs w:val="24"/>
          <w:lang w:val="fr-FR"/>
        </w:rPr>
        <w:t xml:space="preserve">Les Consultants peuvent s’associer avec d’autres firmes afin de renforcer </w:t>
      </w:r>
      <w:proofErr w:type="gramStart"/>
      <w:r w:rsidRPr="00CB5E71">
        <w:rPr>
          <w:rFonts w:asciiTheme="majorBidi" w:hAnsiTheme="majorBidi" w:cstheme="majorBidi"/>
          <w:spacing w:val="-2"/>
          <w:sz w:val="24"/>
          <w:szCs w:val="24"/>
          <w:lang w:val="fr-FR"/>
        </w:rPr>
        <w:t>leurs qualification</w:t>
      </w:r>
      <w:proofErr w:type="gramEnd"/>
      <w:r w:rsidRPr="00CB5E71">
        <w:rPr>
          <w:rFonts w:asciiTheme="majorBidi" w:hAnsiTheme="majorBidi" w:cstheme="majorBidi"/>
          <w:spacing w:val="-2"/>
          <w:sz w:val="24"/>
          <w:szCs w:val="24"/>
          <w:lang w:val="fr-FR"/>
        </w:rPr>
        <w:t xml:space="preserve"> en indiquant clairement le type d’association, c’est-à-dire un groupement de consultants, </w:t>
      </w:r>
      <w:r w:rsidR="00CB5E71" w:rsidRPr="00CB5E71">
        <w:rPr>
          <w:rFonts w:asciiTheme="majorBidi" w:hAnsiTheme="majorBidi" w:cstheme="majorBidi"/>
          <w:spacing w:val="-2"/>
          <w:sz w:val="24"/>
          <w:szCs w:val="24"/>
          <w:lang w:val="fr-FR"/>
        </w:rPr>
        <w:t>ou une</w:t>
      </w:r>
      <w:r w:rsidRPr="00CB5E71">
        <w:rPr>
          <w:rFonts w:asciiTheme="majorBidi" w:hAnsiTheme="majorBidi" w:cstheme="majorBidi"/>
          <w:spacing w:val="-2"/>
          <w:sz w:val="24"/>
          <w:szCs w:val="24"/>
          <w:lang w:val="fr-FR"/>
        </w:rPr>
        <w:t xml:space="preserve"> intention de sous-traitance.  Dans le cas de groupement, tous les partenaires du groupement seront conjointement et solidairement responsables pour la totalité du contrat, en cas d’attribution.</w:t>
      </w:r>
    </w:p>
    <w:p w14:paraId="69557552" w14:textId="05D9BB16" w:rsidR="00A4608F" w:rsidRPr="00CB5E71" w:rsidRDefault="00D370E2" w:rsidP="0064334A">
      <w:pPr>
        <w:rPr>
          <w:rFonts w:asciiTheme="majorBidi" w:eastAsia="Times New Roman" w:hAnsiTheme="majorBidi" w:cstheme="majorBidi"/>
          <w:sz w:val="24"/>
          <w:szCs w:val="24"/>
        </w:rPr>
      </w:pPr>
      <w:r w:rsidRPr="00CB5E71">
        <w:rPr>
          <w:rFonts w:asciiTheme="majorBidi" w:eastAsia="Times New Roman" w:hAnsiTheme="majorBidi" w:cstheme="majorBidi"/>
          <w:sz w:val="24"/>
          <w:szCs w:val="24"/>
        </w:rPr>
        <w:t xml:space="preserve">Un consultant sera sélectionné conformément à la méthode </w:t>
      </w:r>
      <w:r w:rsidRPr="00CB5E71">
        <w:rPr>
          <w:rFonts w:asciiTheme="majorBidi" w:eastAsia="Times New Roman" w:hAnsiTheme="majorBidi" w:cstheme="majorBidi"/>
          <w:b/>
          <w:bCs/>
          <w:sz w:val="24"/>
          <w:szCs w:val="24"/>
        </w:rPr>
        <w:t xml:space="preserve">de sélection à budget fixe (FBS) </w:t>
      </w:r>
      <w:r w:rsidRPr="00CB5E71">
        <w:rPr>
          <w:rFonts w:asciiTheme="majorBidi" w:eastAsia="Times New Roman" w:hAnsiTheme="majorBidi" w:cstheme="majorBidi"/>
          <w:sz w:val="24"/>
          <w:szCs w:val="24"/>
        </w:rPr>
        <w:t>définie dans les directives d'approvisionnement.</w:t>
      </w:r>
    </w:p>
    <w:p w14:paraId="49AF8F96" w14:textId="71312A71" w:rsidR="00A4608F" w:rsidRPr="00CB5E71" w:rsidRDefault="00D370E2" w:rsidP="0064334A">
      <w:pPr>
        <w:rPr>
          <w:rFonts w:asciiTheme="majorBidi" w:eastAsia="Times New Roman" w:hAnsiTheme="majorBidi" w:cstheme="majorBidi"/>
          <w:b/>
          <w:bCs/>
          <w:sz w:val="24"/>
          <w:szCs w:val="24"/>
        </w:rPr>
      </w:pPr>
      <w:r w:rsidRPr="00CB5E71">
        <w:rPr>
          <w:rFonts w:asciiTheme="majorBidi" w:eastAsia="Times New Roman" w:hAnsiTheme="majorBidi" w:cstheme="majorBidi"/>
          <w:sz w:val="24"/>
          <w:szCs w:val="24"/>
        </w:rPr>
        <w:t xml:space="preserve">Les consultants intéressés peuvent obtenir de plus amples informations à l'adresse ci-dessous pendant les heures de bureau : </w:t>
      </w:r>
      <w:r w:rsidRPr="00CB5E71">
        <w:rPr>
          <w:rFonts w:asciiTheme="majorBidi" w:eastAsia="Times New Roman" w:hAnsiTheme="majorBidi" w:cstheme="majorBidi"/>
          <w:b/>
          <w:bCs/>
          <w:sz w:val="24"/>
          <w:szCs w:val="24"/>
        </w:rPr>
        <w:t>de 8h30 à 16h30 (heure locale de Djeddah).</w:t>
      </w:r>
    </w:p>
    <w:p w14:paraId="2C22A9AA" w14:textId="2C12F70C" w:rsidR="00CC3751" w:rsidRPr="00CB5E71" w:rsidRDefault="00D370E2" w:rsidP="0064334A">
      <w:pPr>
        <w:rPr>
          <w:rFonts w:asciiTheme="majorBidi" w:eastAsia="Times New Roman" w:hAnsiTheme="majorBidi" w:cstheme="majorBidi"/>
          <w:sz w:val="24"/>
          <w:szCs w:val="24"/>
        </w:rPr>
      </w:pPr>
      <w:r w:rsidRPr="00CB5E71">
        <w:rPr>
          <w:rFonts w:asciiTheme="majorBidi" w:eastAsia="Times New Roman" w:hAnsiTheme="majorBidi" w:cstheme="majorBidi"/>
          <w:sz w:val="24"/>
          <w:szCs w:val="24"/>
        </w:rPr>
        <w:t xml:space="preserve">Les manifestations d’intérêt doivent être remises par écrit à l’adresse ci-dessous (en personne, par courrier ou par courriel) avant le </w:t>
      </w:r>
      <w:r w:rsidR="00CB5E71" w:rsidRPr="00CB5E71">
        <w:rPr>
          <w:rFonts w:asciiTheme="majorBidi" w:eastAsia="Times New Roman" w:hAnsiTheme="majorBidi" w:cstheme="majorBidi"/>
          <w:b/>
          <w:bCs/>
          <w:sz w:val="24"/>
          <w:szCs w:val="24"/>
        </w:rPr>
        <w:t>15 juin 2026</w:t>
      </w:r>
      <w:r w:rsidRPr="00CB5E71">
        <w:rPr>
          <w:rFonts w:asciiTheme="majorBidi" w:eastAsia="Times New Roman" w:hAnsiTheme="majorBidi" w:cstheme="majorBidi"/>
          <w:sz w:val="24"/>
          <w:szCs w:val="24"/>
        </w:rPr>
        <w:t>.</w:t>
      </w:r>
    </w:p>
    <w:p w14:paraId="48D39B60" w14:textId="77777777" w:rsidR="00CC3751" w:rsidRPr="00CB5E71" w:rsidRDefault="00CC3751" w:rsidP="00CC3751">
      <w:pPr>
        <w:spacing w:after="0" w:line="240" w:lineRule="auto"/>
        <w:ind w:right="202"/>
        <w:jc w:val="both"/>
        <w:rPr>
          <w:rFonts w:asciiTheme="majorBidi" w:hAnsiTheme="majorBidi" w:cstheme="majorBidi"/>
          <w:spacing w:val="-2"/>
          <w:sz w:val="24"/>
          <w:szCs w:val="24"/>
        </w:rPr>
      </w:pPr>
      <w:r w:rsidRPr="00CB5E71">
        <w:rPr>
          <w:rFonts w:asciiTheme="majorBidi" w:hAnsiTheme="majorBidi" w:cstheme="majorBidi"/>
          <w:spacing w:val="-2"/>
          <w:sz w:val="24"/>
          <w:szCs w:val="24"/>
        </w:rPr>
        <w:t>L'INSTITUT DE LA BANQUE ISLAMIQUE DE DÉVELOPPEMENT</w:t>
      </w:r>
    </w:p>
    <w:p w14:paraId="78FC89B0" w14:textId="77777777" w:rsidR="00CC3751" w:rsidRPr="00CB5E71" w:rsidRDefault="00CC3751" w:rsidP="00CC3751">
      <w:pPr>
        <w:suppressAutoHyphens/>
        <w:spacing w:after="0" w:line="240" w:lineRule="auto"/>
        <w:jc w:val="both"/>
        <w:rPr>
          <w:rFonts w:asciiTheme="majorBidi" w:eastAsia="Calibri" w:hAnsiTheme="majorBidi" w:cstheme="majorBidi"/>
          <w:spacing w:val="-2"/>
          <w:sz w:val="24"/>
          <w:szCs w:val="24"/>
        </w:rPr>
      </w:pPr>
      <w:r w:rsidRPr="00CB5E71">
        <w:rPr>
          <w:rFonts w:asciiTheme="majorBidi" w:eastAsia="Calibri" w:hAnsiTheme="majorBidi" w:cstheme="majorBidi"/>
          <w:b/>
          <w:bCs/>
          <w:spacing w:val="-2"/>
          <w:sz w:val="24"/>
          <w:szCs w:val="24"/>
        </w:rPr>
        <w:t xml:space="preserve">À l'attention de : </w:t>
      </w:r>
      <w:r w:rsidRPr="00CB5E71">
        <w:rPr>
          <w:rFonts w:asciiTheme="majorBidi" w:eastAsia="Calibri" w:hAnsiTheme="majorBidi" w:cstheme="majorBidi"/>
          <w:spacing w:val="-2"/>
          <w:sz w:val="24"/>
          <w:szCs w:val="24"/>
        </w:rPr>
        <w:t>L'Institut de la Banque islamique de développement</w:t>
      </w:r>
    </w:p>
    <w:p w14:paraId="0B3B20A6" w14:textId="77777777" w:rsidR="00CC3751" w:rsidRPr="00CB5E71" w:rsidRDefault="00CC3751" w:rsidP="00CC3751">
      <w:pPr>
        <w:suppressAutoHyphens/>
        <w:spacing w:after="0" w:line="240" w:lineRule="auto"/>
        <w:jc w:val="both"/>
        <w:rPr>
          <w:rFonts w:asciiTheme="majorBidi" w:eastAsia="Calibri" w:hAnsiTheme="majorBidi" w:cstheme="majorBidi"/>
          <w:spacing w:val="-2"/>
          <w:sz w:val="24"/>
          <w:szCs w:val="24"/>
        </w:rPr>
      </w:pPr>
      <w:r w:rsidRPr="00CB5E71">
        <w:rPr>
          <w:rFonts w:asciiTheme="majorBidi" w:eastAsia="Calibri" w:hAnsiTheme="majorBidi" w:cstheme="majorBidi"/>
          <w:b/>
          <w:bCs/>
          <w:spacing w:val="-2"/>
          <w:sz w:val="24"/>
          <w:szCs w:val="24"/>
        </w:rPr>
        <w:t xml:space="preserve">Courriel : </w:t>
      </w:r>
      <w:r w:rsidRPr="00CB5E71">
        <w:rPr>
          <w:rFonts w:asciiTheme="majorBidi" w:eastAsia="Calibri" w:hAnsiTheme="majorBidi" w:cstheme="majorBidi"/>
          <w:spacing w:val="-2"/>
          <w:sz w:val="24"/>
          <w:szCs w:val="24"/>
        </w:rPr>
        <w:tab/>
      </w:r>
      <w:r w:rsidRPr="00CB5E71">
        <w:rPr>
          <w:rFonts w:asciiTheme="majorBidi" w:eastAsia="Calibri" w:hAnsiTheme="majorBidi" w:cstheme="majorBidi"/>
          <w:spacing w:val="-2"/>
          <w:sz w:val="24"/>
          <w:szCs w:val="24"/>
        </w:rPr>
        <w:tab/>
      </w:r>
      <w:hyperlink r:id="rId7" w:history="1">
        <w:r w:rsidRPr="00CB5E71">
          <w:rPr>
            <w:rStyle w:val="Hyperlink"/>
            <w:rFonts w:asciiTheme="majorBidi" w:hAnsiTheme="majorBidi" w:cstheme="majorBidi"/>
            <w:spacing w:val="-2"/>
            <w:sz w:val="24"/>
            <w:szCs w:val="24"/>
          </w:rPr>
          <w:t>cp.isdbi@isdb.org</w:t>
        </w:r>
      </w:hyperlink>
    </w:p>
    <w:p w14:paraId="08A950AC" w14:textId="77777777" w:rsidR="00D50D62" w:rsidRPr="00CB5E71" w:rsidRDefault="00D50D62">
      <w:pPr>
        <w:rPr>
          <w:rFonts w:asciiTheme="majorBidi" w:hAnsiTheme="majorBidi" w:cstheme="majorBidi"/>
          <w:sz w:val="24"/>
          <w:szCs w:val="24"/>
        </w:rPr>
      </w:pPr>
    </w:p>
    <w:sectPr w:rsidR="00D50D62" w:rsidRPr="00CB5E71" w:rsidSect="00CB5E71">
      <w:headerReference w:type="even" r:id="rId8"/>
      <w:headerReference w:type="default" r:id="rId9"/>
      <w:footerReference w:type="default" r:id="rId10"/>
      <w:headerReference w:type="first" r:id="rId11"/>
      <w:pgSz w:w="12240" w:h="15840"/>
      <w:pgMar w:top="900" w:right="90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13C5" w14:textId="77777777" w:rsidR="00AB474B" w:rsidRDefault="00AB474B">
      <w:pPr>
        <w:spacing w:after="0" w:line="240" w:lineRule="auto"/>
      </w:pPr>
      <w:r>
        <w:separator/>
      </w:r>
    </w:p>
  </w:endnote>
  <w:endnote w:type="continuationSeparator" w:id="0">
    <w:p w14:paraId="1B642F94" w14:textId="77777777" w:rsidR="00AB474B" w:rsidRDefault="00AB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311F" w14:textId="77777777" w:rsidR="00CC3751" w:rsidRDefault="00CC375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B5E3240" w14:textId="77777777" w:rsidR="00CC3751" w:rsidRDefault="00CC3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40C9" w14:textId="77777777" w:rsidR="00AB474B" w:rsidRDefault="00AB474B">
      <w:pPr>
        <w:spacing w:after="0" w:line="240" w:lineRule="auto"/>
      </w:pPr>
      <w:r>
        <w:separator/>
      </w:r>
    </w:p>
  </w:footnote>
  <w:footnote w:type="continuationSeparator" w:id="0">
    <w:p w14:paraId="3060E588" w14:textId="77777777" w:rsidR="00AB474B" w:rsidRDefault="00AB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B32E" w14:textId="7178A622" w:rsidR="00CC3751" w:rsidRDefault="003250D6">
    <w:pPr>
      <w:pStyle w:val="Header"/>
    </w:pPr>
    <w:r>
      <w:rPr>
        <w:noProof/>
        <w14:ligatures w14:val="standardContextual"/>
      </w:rPr>
      <mc:AlternateContent>
        <mc:Choice Requires="wps">
          <w:drawing>
            <wp:anchor distT="0" distB="0" distL="0" distR="0" simplePos="0" relativeHeight="251659264" behindDoc="0" locked="0" layoutInCell="1" allowOverlap="1" wp14:anchorId="3C8A510D" wp14:editId="27C95B71">
              <wp:simplePos x="635" y="635"/>
              <wp:positionH relativeFrom="page">
                <wp:align>left</wp:align>
              </wp:positionH>
              <wp:positionV relativeFrom="page">
                <wp:align>top</wp:align>
              </wp:positionV>
              <wp:extent cx="793750" cy="368935"/>
              <wp:effectExtent l="0" t="0" r="6350" b="12065"/>
              <wp:wrapNone/>
              <wp:docPr id="628546659"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353731BF" w14:textId="217C422F" w:rsidR="003250D6" w:rsidRPr="003250D6" w:rsidRDefault="003250D6" w:rsidP="003250D6">
                          <w:pPr>
                            <w:spacing w:after="0"/>
                            <w:rPr>
                              <w:rFonts w:ascii="Aptos" w:eastAsia="Aptos" w:hAnsi="Aptos" w:cs="Aptos"/>
                              <w:noProof/>
                              <w:color w:val="000000"/>
                              <w:sz w:val="20"/>
                              <w:szCs w:val="20"/>
                            </w:rPr>
                          </w:pPr>
                          <w:r w:rsidRPr="003250D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8A510D"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353731BF" w14:textId="217C422F" w:rsidR="003250D6" w:rsidRPr="003250D6" w:rsidRDefault="003250D6" w:rsidP="003250D6">
                    <w:pPr>
                      <w:spacing w:after="0"/>
                      <w:rPr>
                        <w:rFonts w:ascii="Aptos" w:eastAsia="Aptos" w:hAnsi="Aptos" w:cs="Aptos"/>
                        <w:noProof/>
                        <w:color w:val="000000"/>
                        <w:sz w:val="20"/>
                        <w:szCs w:val="20"/>
                      </w:rPr>
                    </w:pPr>
                    <w:r w:rsidRPr="003250D6">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94C" w14:textId="2851B606" w:rsidR="00CC3751" w:rsidRDefault="003250D6">
    <w:pPr>
      <w:pStyle w:val="Header"/>
    </w:pPr>
    <w:r>
      <w:rPr>
        <w:noProof/>
        <w14:ligatures w14:val="standardContextual"/>
      </w:rPr>
      <mc:AlternateContent>
        <mc:Choice Requires="wps">
          <w:drawing>
            <wp:anchor distT="0" distB="0" distL="0" distR="0" simplePos="0" relativeHeight="251660288" behindDoc="0" locked="0" layoutInCell="1" allowOverlap="1" wp14:anchorId="61C0C4D7" wp14:editId="07985562">
              <wp:simplePos x="914400" y="460397"/>
              <wp:positionH relativeFrom="page">
                <wp:align>left</wp:align>
              </wp:positionH>
              <wp:positionV relativeFrom="page">
                <wp:align>top</wp:align>
              </wp:positionV>
              <wp:extent cx="793750" cy="368935"/>
              <wp:effectExtent l="0" t="0" r="6350" b="12065"/>
              <wp:wrapNone/>
              <wp:docPr id="654876056"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7C7C9489" w14:textId="525B3591" w:rsidR="003250D6" w:rsidRPr="003250D6" w:rsidRDefault="003250D6" w:rsidP="003250D6">
                          <w:pPr>
                            <w:spacing w:after="0"/>
                            <w:rPr>
                              <w:rFonts w:ascii="Aptos" w:eastAsia="Aptos" w:hAnsi="Aptos" w:cs="Aptos"/>
                              <w:noProof/>
                              <w:color w:val="000000"/>
                              <w:sz w:val="20"/>
                              <w:szCs w:val="20"/>
                            </w:rPr>
                          </w:pPr>
                          <w:r w:rsidRPr="003250D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C0C4D7"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7C7C9489" w14:textId="525B3591" w:rsidR="003250D6" w:rsidRPr="003250D6" w:rsidRDefault="003250D6" w:rsidP="003250D6">
                    <w:pPr>
                      <w:spacing w:after="0"/>
                      <w:rPr>
                        <w:rFonts w:ascii="Aptos" w:eastAsia="Aptos" w:hAnsi="Aptos" w:cs="Aptos"/>
                        <w:noProof/>
                        <w:color w:val="000000"/>
                        <w:sz w:val="20"/>
                        <w:szCs w:val="20"/>
                      </w:rPr>
                    </w:pPr>
                    <w:r w:rsidRPr="003250D6">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9F" w14:textId="1DEDBD39" w:rsidR="00CC3751" w:rsidRDefault="003250D6">
    <w:pPr>
      <w:pStyle w:val="Header"/>
    </w:pPr>
    <w:r>
      <w:rPr>
        <w:noProof/>
        <w14:ligatures w14:val="standardContextual"/>
      </w:rPr>
      <mc:AlternateContent>
        <mc:Choice Requires="wps">
          <w:drawing>
            <wp:anchor distT="0" distB="0" distL="0" distR="0" simplePos="0" relativeHeight="251658240" behindDoc="0" locked="0" layoutInCell="1" allowOverlap="1" wp14:anchorId="4480F7E4" wp14:editId="6A52C3B3">
              <wp:simplePos x="635" y="635"/>
              <wp:positionH relativeFrom="page">
                <wp:align>left</wp:align>
              </wp:positionH>
              <wp:positionV relativeFrom="page">
                <wp:align>top</wp:align>
              </wp:positionV>
              <wp:extent cx="793750" cy="368935"/>
              <wp:effectExtent l="0" t="0" r="6350" b="12065"/>
              <wp:wrapNone/>
              <wp:docPr id="191517615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401F0165" w14:textId="008554BD" w:rsidR="003250D6" w:rsidRPr="003250D6" w:rsidRDefault="003250D6" w:rsidP="003250D6">
                          <w:pPr>
                            <w:spacing w:after="0"/>
                            <w:rPr>
                              <w:rFonts w:ascii="Aptos" w:eastAsia="Aptos" w:hAnsi="Aptos" w:cs="Aptos"/>
                              <w:noProof/>
                              <w:color w:val="000000"/>
                              <w:sz w:val="20"/>
                              <w:szCs w:val="20"/>
                            </w:rPr>
                          </w:pPr>
                          <w:r w:rsidRPr="003250D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80F7E4" id="_x0000_t202" coordsize="21600,21600" o:spt="202" path="m,l,21600r21600,l21600,xe">
              <v:stroke joinstyle="miter"/>
              <v:path gradientshapeok="t" o:connecttype="rect"/>
            </v:shapetype>
            <v:shape id="Text Box 1"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401F0165" w14:textId="008554BD" w:rsidR="003250D6" w:rsidRPr="003250D6" w:rsidRDefault="003250D6" w:rsidP="003250D6">
                    <w:pPr>
                      <w:spacing w:after="0"/>
                      <w:rPr>
                        <w:rFonts w:ascii="Aptos" w:eastAsia="Aptos" w:hAnsi="Aptos" w:cs="Aptos"/>
                        <w:noProof/>
                        <w:color w:val="000000"/>
                        <w:sz w:val="20"/>
                        <w:szCs w:val="20"/>
                      </w:rPr>
                    </w:pPr>
                    <w:r w:rsidRPr="003250D6">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4623B"/>
    <w:multiLevelType w:val="multilevel"/>
    <w:tmpl w:val="8FC6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1099C"/>
    <w:multiLevelType w:val="hybridMultilevel"/>
    <w:tmpl w:val="BFD8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E1C32"/>
    <w:multiLevelType w:val="multilevel"/>
    <w:tmpl w:val="BAE4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00EDD"/>
    <w:multiLevelType w:val="hybridMultilevel"/>
    <w:tmpl w:val="B5AE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947343">
    <w:abstractNumId w:val="0"/>
  </w:num>
  <w:num w:numId="2" w16cid:durableId="51999947">
    <w:abstractNumId w:val="3"/>
  </w:num>
  <w:num w:numId="3" w16cid:durableId="1294873858">
    <w:abstractNumId w:val="2"/>
  </w:num>
  <w:num w:numId="4" w16cid:durableId="12446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62"/>
    <w:rsid w:val="00061192"/>
    <w:rsid w:val="00112ED4"/>
    <w:rsid w:val="001671B5"/>
    <w:rsid w:val="001D0ECF"/>
    <w:rsid w:val="003250D6"/>
    <w:rsid w:val="003A6F5B"/>
    <w:rsid w:val="00482F89"/>
    <w:rsid w:val="004D72DE"/>
    <w:rsid w:val="00561D92"/>
    <w:rsid w:val="0061306F"/>
    <w:rsid w:val="0064334A"/>
    <w:rsid w:val="00644DCA"/>
    <w:rsid w:val="00A4608F"/>
    <w:rsid w:val="00A667FE"/>
    <w:rsid w:val="00A91875"/>
    <w:rsid w:val="00AA160C"/>
    <w:rsid w:val="00AB474B"/>
    <w:rsid w:val="00B35877"/>
    <w:rsid w:val="00CB5E71"/>
    <w:rsid w:val="00CC3751"/>
    <w:rsid w:val="00D1015F"/>
    <w:rsid w:val="00D370E2"/>
    <w:rsid w:val="00D50D62"/>
    <w:rsid w:val="00EF2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2311"/>
  <w15:chartTrackingRefBased/>
  <w15:docId w15:val="{44C8C591-C0E3-4830-8EF3-FAC64EE8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5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50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D62"/>
    <w:rPr>
      <w:rFonts w:eastAsiaTheme="majorEastAsia" w:cstheme="majorBidi"/>
      <w:color w:val="272727" w:themeColor="text1" w:themeTint="D8"/>
    </w:rPr>
  </w:style>
  <w:style w:type="paragraph" w:styleId="Title">
    <w:name w:val="Title"/>
    <w:basedOn w:val="Normal"/>
    <w:next w:val="Normal"/>
    <w:link w:val="TitleChar"/>
    <w:uiPriority w:val="10"/>
    <w:qFormat/>
    <w:rsid w:val="00D50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D62"/>
    <w:pPr>
      <w:spacing w:before="160"/>
      <w:jc w:val="center"/>
    </w:pPr>
    <w:rPr>
      <w:i/>
      <w:iCs/>
      <w:color w:val="404040" w:themeColor="text1" w:themeTint="BF"/>
    </w:rPr>
  </w:style>
  <w:style w:type="character" w:customStyle="1" w:styleId="QuoteChar">
    <w:name w:val="Quote Char"/>
    <w:basedOn w:val="DefaultParagraphFont"/>
    <w:link w:val="Quote"/>
    <w:uiPriority w:val="29"/>
    <w:rsid w:val="00D50D62"/>
    <w:rPr>
      <w:i/>
      <w:iCs/>
      <w:color w:val="404040" w:themeColor="text1" w:themeTint="BF"/>
    </w:rPr>
  </w:style>
  <w:style w:type="paragraph" w:styleId="ListParagraph">
    <w:name w:val="List Paragraph"/>
    <w:basedOn w:val="Normal"/>
    <w:uiPriority w:val="34"/>
    <w:qFormat/>
    <w:rsid w:val="00D50D62"/>
    <w:pPr>
      <w:ind w:left="720"/>
      <w:contextualSpacing/>
    </w:pPr>
  </w:style>
  <w:style w:type="character" w:styleId="IntenseEmphasis">
    <w:name w:val="Intense Emphasis"/>
    <w:basedOn w:val="DefaultParagraphFont"/>
    <w:uiPriority w:val="21"/>
    <w:qFormat/>
    <w:rsid w:val="00D50D62"/>
    <w:rPr>
      <w:i/>
      <w:iCs/>
      <w:color w:val="0F4761" w:themeColor="accent1" w:themeShade="BF"/>
    </w:rPr>
  </w:style>
  <w:style w:type="paragraph" w:styleId="IntenseQuote">
    <w:name w:val="Intense Quote"/>
    <w:basedOn w:val="Normal"/>
    <w:next w:val="Normal"/>
    <w:link w:val="IntenseQuoteChar"/>
    <w:uiPriority w:val="30"/>
    <w:qFormat/>
    <w:rsid w:val="00D50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D62"/>
    <w:rPr>
      <w:i/>
      <w:iCs/>
      <w:color w:val="0F4761" w:themeColor="accent1" w:themeShade="BF"/>
    </w:rPr>
  </w:style>
  <w:style w:type="character" w:styleId="IntenseReference">
    <w:name w:val="Intense Reference"/>
    <w:basedOn w:val="DefaultParagraphFont"/>
    <w:uiPriority w:val="32"/>
    <w:qFormat/>
    <w:rsid w:val="00D50D62"/>
    <w:rPr>
      <w:b/>
      <w:bCs/>
      <w:smallCaps/>
      <w:color w:val="0F4761" w:themeColor="accent1" w:themeShade="BF"/>
      <w:spacing w:val="5"/>
    </w:rPr>
  </w:style>
  <w:style w:type="character" w:styleId="Hyperlink">
    <w:name w:val="Hyperlink"/>
    <w:basedOn w:val="DefaultParagraphFont"/>
    <w:uiPriority w:val="99"/>
    <w:unhideWhenUsed/>
    <w:rsid w:val="00CC3751"/>
    <w:rPr>
      <w:color w:val="467886" w:themeColor="hyperlink"/>
      <w:u w:val="single"/>
    </w:rPr>
  </w:style>
  <w:style w:type="paragraph" w:styleId="BodyText">
    <w:name w:val="Body Text"/>
    <w:basedOn w:val="Normal"/>
    <w:link w:val="BodyTextChar"/>
    <w:rsid w:val="00CC3751"/>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rsid w:val="00CC3751"/>
    <w:rPr>
      <w:rFonts w:ascii="CG Times" w:eastAsia="Times New Roman" w:hAnsi="CG Times" w:cs="Times New Roman"/>
      <w:spacing w:val="-2"/>
      <w:kern w:val="0"/>
      <w:szCs w:val="20"/>
      <w14:ligatures w14:val="none"/>
    </w:rPr>
  </w:style>
  <w:style w:type="paragraph" w:styleId="Header">
    <w:name w:val="header"/>
    <w:basedOn w:val="Normal"/>
    <w:link w:val="HeaderChar"/>
    <w:uiPriority w:val="99"/>
    <w:unhideWhenUsed/>
    <w:rsid w:val="00CC3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751"/>
    <w:rPr>
      <w:kern w:val="0"/>
      <w:sz w:val="22"/>
      <w:szCs w:val="22"/>
      <w14:ligatures w14:val="none"/>
    </w:rPr>
  </w:style>
  <w:style w:type="paragraph" w:styleId="Footer">
    <w:name w:val="footer"/>
    <w:basedOn w:val="Normal"/>
    <w:link w:val="FooterChar"/>
    <w:uiPriority w:val="99"/>
    <w:unhideWhenUsed/>
    <w:rsid w:val="00CC3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751"/>
    <w:rPr>
      <w:kern w:val="0"/>
      <w:sz w:val="22"/>
      <w:szCs w:val="22"/>
      <w14:ligatures w14:val="none"/>
    </w:rPr>
  </w:style>
  <w:style w:type="paragraph" w:styleId="NormalWeb">
    <w:name w:val="Normal (Web)"/>
    <w:basedOn w:val="Normal"/>
    <w:uiPriority w:val="99"/>
    <w:unhideWhenUsed/>
    <w:rsid w:val="00CC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Number">
    <w:name w:val="ChapterNumber"/>
    <w:rsid w:val="00CC3751"/>
    <w:pPr>
      <w:tabs>
        <w:tab w:val="left" w:pos="-720"/>
      </w:tabs>
      <w:suppressAutoHyphens/>
      <w:spacing w:after="0" w:line="240" w:lineRule="auto"/>
    </w:pPr>
    <w:rPr>
      <w:rFonts w:ascii="CG Times" w:eastAsia="Times New Roman" w:hAnsi="CG Times" w:cs="Times New Roman"/>
      <w:kern w:val="0"/>
      <w:sz w:val="22"/>
      <w:szCs w:val="20"/>
      <w14:ligatures w14:val="none"/>
    </w:rPr>
  </w:style>
  <w:style w:type="character" w:styleId="UnresolvedMention">
    <w:name w:val="Unresolved Mention"/>
    <w:basedOn w:val="DefaultParagraphFont"/>
    <w:uiPriority w:val="99"/>
    <w:semiHidden/>
    <w:unhideWhenUsed/>
    <w:rsid w:val="00A91875"/>
    <w:rPr>
      <w:color w:val="605E5C"/>
      <w:shd w:val="clear" w:color="auto" w:fill="E1DFDD"/>
    </w:rPr>
  </w:style>
  <w:style w:type="character" w:styleId="Strong">
    <w:name w:val="Strong"/>
    <w:basedOn w:val="DefaultParagraphFont"/>
    <w:uiPriority w:val="22"/>
    <w:qFormat/>
    <w:rsid w:val="00A667FE"/>
    <w:rPr>
      <w:b/>
      <w:bCs/>
    </w:rPr>
  </w:style>
  <w:style w:type="character" w:styleId="FollowedHyperlink">
    <w:name w:val="FollowedHyperlink"/>
    <w:basedOn w:val="DefaultParagraphFont"/>
    <w:uiPriority w:val="99"/>
    <w:semiHidden/>
    <w:unhideWhenUsed/>
    <w:rsid w:val="0064334A"/>
    <w:rPr>
      <w:color w:val="96607D" w:themeColor="followedHyperlink"/>
      <w:u w:val="single"/>
    </w:rPr>
  </w:style>
  <w:style w:type="paragraph" w:styleId="Revision">
    <w:name w:val="Revision"/>
    <w:hidden/>
    <w:uiPriority w:val="99"/>
    <w:semiHidden/>
    <w:rsid w:val="00644DCA"/>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250D6"/>
    <w:rPr>
      <w:sz w:val="16"/>
      <w:szCs w:val="16"/>
    </w:rPr>
  </w:style>
  <w:style w:type="paragraph" w:styleId="CommentText">
    <w:name w:val="annotation text"/>
    <w:basedOn w:val="Normal"/>
    <w:link w:val="CommentTextChar"/>
    <w:uiPriority w:val="99"/>
    <w:unhideWhenUsed/>
    <w:rsid w:val="003250D6"/>
    <w:pPr>
      <w:spacing w:line="240" w:lineRule="auto"/>
    </w:pPr>
    <w:rPr>
      <w:sz w:val="20"/>
      <w:szCs w:val="20"/>
    </w:rPr>
  </w:style>
  <w:style w:type="character" w:customStyle="1" w:styleId="CommentTextChar">
    <w:name w:val="Comment Text Char"/>
    <w:basedOn w:val="DefaultParagraphFont"/>
    <w:link w:val="CommentText"/>
    <w:uiPriority w:val="99"/>
    <w:rsid w:val="003250D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50D6"/>
    <w:rPr>
      <w:b/>
      <w:bCs/>
    </w:rPr>
  </w:style>
  <w:style w:type="character" w:customStyle="1" w:styleId="CommentSubjectChar">
    <w:name w:val="Comment Subject Char"/>
    <w:basedOn w:val="CommentTextChar"/>
    <w:link w:val="CommentSubject"/>
    <w:uiPriority w:val="99"/>
    <w:semiHidden/>
    <w:rsid w:val="003250D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isdbi@isd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3312</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Naser</dc:creator>
  <cp:keywords/>
  <dc:description/>
  <cp:lastModifiedBy>Mehmet Fehmi Eken</cp:lastModifiedBy>
  <cp:revision>3</cp:revision>
  <dcterms:created xsi:type="dcterms:W3CDTF">2026-04-14T08:37:00Z</dcterms:created>
  <dcterms:modified xsi:type="dcterms:W3CDTF">2026-05-11T07:42:00Z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722744df,2576dc63,27089d98</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2026-04-14T08:37:28Z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337c9f7c-3c46-4606-b3e6-622df3fe367b</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