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EC6D" w14:textId="1551EA99" w:rsidR="00566FAB" w:rsidRPr="00566FAB"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566FAB">
        <w:rPr>
          <w:rFonts w:ascii="Times New Roman" w:eastAsia="Times New Roman" w:hAnsi="Times New Roman" w:cs="Times New Roman"/>
          <w:b/>
          <w:bCs/>
          <w:smallCaps/>
          <w:sz w:val="24"/>
          <w:szCs w:val="24"/>
        </w:rPr>
        <w:t>REQUEST FOR EXPRESSIONS OF INTEREST</w:t>
      </w:r>
    </w:p>
    <w:p w14:paraId="48D4CED0" w14:textId="3463BC57" w:rsidR="00566FAB"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566FAB">
        <w:rPr>
          <w:rFonts w:ascii="Times New Roman" w:eastAsia="Times New Roman" w:hAnsi="Times New Roman" w:cs="Times New Roman"/>
          <w:b/>
          <w:bCs/>
          <w:smallCaps/>
          <w:sz w:val="24"/>
          <w:szCs w:val="24"/>
        </w:rPr>
        <w:t>(CONSULTANT SERVICES</w:t>
      </w:r>
      <w:r w:rsidR="00BA7A4A">
        <w:rPr>
          <w:rFonts w:ascii="Times New Roman" w:eastAsia="Times New Roman" w:hAnsi="Times New Roman" w:cs="Times New Roman"/>
          <w:b/>
          <w:bCs/>
          <w:smallCaps/>
          <w:sz w:val="24"/>
          <w:szCs w:val="24"/>
        </w:rPr>
        <w:t xml:space="preserve"> – SELECTION OF FIRMS</w:t>
      </w:r>
      <w:r w:rsidRPr="00566FAB">
        <w:rPr>
          <w:rFonts w:ascii="Times New Roman" w:eastAsia="Times New Roman" w:hAnsi="Times New Roman" w:cs="Times New Roman"/>
          <w:b/>
          <w:bCs/>
          <w:smallCaps/>
          <w:sz w:val="24"/>
          <w:szCs w:val="24"/>
        </w:rPr>
        <w:t>)</w:t>
      </w:r>
    </w:p>
    <w:p w14:paraId="713D2DCB" w14:textId="32F1200C" w:rsidR="00E57AFE" w:rsidRDefault="00E57AFE" w:rsidP="00566FAB">
      <w:pPr>
        <w:tabs>
          <w:tab w:val="left" w:pos="720"/>
        </w:tabs>
        <w:spacing w:after="0" w:line="240" w:lineRule="auto"/>
        <w:jc w:val="center"/>
        <w:rPr>
          <w:rFonts w:ascii="Times New Roman" w:eastAsia="Times New Roman" w:hAnsi="Times New Roman" w:cs="Times New Roman"/>
          <w:b/>
          <w:bCs/>
          <w:smallCaps/>
          <w:sz w:val="24"/>
          <w:szCs w:val="24"/>
        </w:rPr>
      </w:pPr>
    </w:p>
    <w:p w14:paraId="6767399C" w14:textId="77777777" w:rsidR="003C4565" w:rsidRPr="00566FAB" w:rsidRDefault="003C4565" w:rsidP="00566FAB">
      <w:pPr>
        <w:tabs>
          <w:tab w:val="left" w:pos="720"/>
        </w:tabs>
        <w:spacing w:after="0" w:line="240" w:lineRule="auto"/>
        <w:jc w:val="center"/>
        <w:rPr>
          <w:rFonts w:ascii="Times New Roman" w:eastAsia="Times New Roman" w:hAnsi="Times New Roman" w:cs="Times New Roman"/>
          <w:b/>
          <w:bCs/>
          <w:smallCaps/>
          <w:sz w:val="24"/>
          <w:szCs w:val="24"/>
        </w:rPr>
      </w:pPr>
    </w:p>
    <w:p w14:paraId="749C0296" w14:textId="77777777" w:rsidR="00E57AFE" w:rsidRDefault="00E57AFE" w:rsidP="001E39E5">
      <w:pPr>
        <w:suppressAutoHyphens/>
        <w:spacing w:after="0" w:line="240" w:lineRule="auto"/>
        <w:rPr>
          <w:rFonts w:ascii="Times New Roman" w:hAnsi="Times New Roman"/>
          <w:b/>
          <w:bCs/>
          <w:spacing w:val="-2"/>
          <w:sz w:val="24"/>
          <w:szCs w:val="24"/>
        </w:rPr>
      </w:pPr>
    </w:p>
    <w:tbl>
      <w:tblPr>
        <w:tblStyle w:val="TableGrid"/>
        <w:tblW w:w="8012"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5829"/>
      </w:tblGrid>
      <w:tr w:rsidR="003C4565" w14:paraId="518F289F" w14:textId="77777777" w:rsidTr="003C4565">
        <w:tc>
          <w:tcPr>
            <w:tcW w:w="2183" w:type="dxa"/>
          </w:tcPr>
          <w:p w14:paraId="0CBAF0C5"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Country:</w:t>
            </w:r>
          </w:p>
        </w:tc>
        <w:tc>
          <w:tcPr>
            <w:tcW w:w="5829" w:type="dxa"/>
          </w:tcPr>
          <w:p w14:paraId="7AB374A7" w14:textId="362DBF35"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hAnsi="Times New Roman"/>
                <w:b/>
                <w:bCs/>
                <w:spacing w:val="-2"/>
                <w:sz w:val="24"/>
                <w:szCs w:val="24"/>
              </w:rPr>
              <w:t>Republic of Tajikistan</w:t>
            </w:r>
          </w:p>
        </w:tc>
      </w:tr>
      <w:tr w:rsidR="003C4565" w14:paraId="1C994DC4" w14:textId="77777777" w:rsidTr="003C4565">
        <w:tc>
          <w:tcPr>
            <w:tcW w:w="2183" w:type="dxa"/>
          </w:tcPr>
          <w:p w14:paraId="7C1642A3" w14:textId="77777777" w:rsidR="003C4565" w:rsidRPr="00B40D1C" w:rsidRDefault="003C4565" w:rsidP="003C4565">
            <w:pPr>
              <w:suppressAutoHyphens/>
              <w:ind w:right="26"/>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 xml:space="preserve">Project: </w:t>
            </w:r>
          </w:p>
        </w:tc>
        <w:tc>
          <w:tcPr>
            <w:tcW w:w="5829" w:type="dxa"/>
          </w:tcPr>
          <w:p w14:paraId="3F3C9B99" w14:textId="32FEBC1B" w:rsidR="003C4565" w:rsidRPr="003C4565" w:rsidRDefault="00BB583E" w:rsidP="003C4565">
            <w:pPr>
              <w:widowControl w:val="0"/>
              <w:autoSpaceDE w:val="0"/>
              <w:autoSpaceDN w:val="0"/>
              <w:rPr>
                <w:rFonts w:ascii="Times New Roman" w:hAnsi="Times New Roman"/>
                <w:b/>
                <w:bCs/>
                <w:spacing w:val="-2"/>
                <w:sz w:val="24"/>
                <w:szCs w:val="24"/>
              </w:rPr>
            </w:pPr>
            <w:r>
              <w:rPr>
                <w:rFonts w:ascii="Times New Roman" w:hAnsi="Times New Roman"/>
                <w:b/>
                <w:bCs/>
                <w:spacing w:val="-2"/>
                <w:sz w:val="24"/>
                <w:szCs w:val="24"/>
              </w:rPr>
              <w:t xml:space="preserve">Rushon – Varshez </w:t>
            </w:r>
            <w:r w:rsidR="003C4565" w:rsidRPr="003C4565">
              <w:rPr>
                <w:rFonts w:ascii="Times New Roman" w:hAnsi="Times New Roman"/>
                <w:b/>
                <w:bCs/>
                <w:spacing w:val="-2"/>
                <w:sz w:val="24"/>
                <w:szCs w:val="24"/>
              </w:rPr>
              <w:t xml:space="preserve">Road Reconstruction Project, </w:t>
            </w:r>
          </w:p>
          <w:p w14:paraId="7D07501C" w14:textId="78AE6807"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hAnsi="Times New Roman"/>
                <w:b/>
                <w:bCs/>
                <w:spacing w:val="-2"/>
                <w:sz w:val="24"/>
                <w:szCs w:val="24"/>
              </w:rPr>
              <w:t xml:space="preserve">Phase I </w:t>
            </w:r>
            <w:r w:rsidR="00BB583E">
              <w:rPr>
                <w:rFonts w:ascii="Times New Roman" w:hAnsi="Times New Roman"/>
                <w:b/>
                <w:bCs/>
                <w:spacing w:val="-2"/>
                <w:sz w:val="24"/>
                <w:szCs w:val="24"/>
              </w:rPr>
              <w:t>Dashtishipad – Pastkhuf S</w:t>
            </w:r>
            <w:r w:rsidRPr="003C4565">
              <w:rPr>
                <w:rFonts w:ascii="Times New Roman" w:hAnsi="Times New Roman"/>
                <w:b/>
                <w:bCs/>
                <w:spacing w:val="-2"/>
                <w:sz w:val="24"/>
                <w:szCs w:val="24"/>
              </w:rPr>
              <w:t>ection</w:t>
            </w:r>
          </w:p>
        </w:tc>
      </w:tr>
      <w:tr w:rsidR="003C4565" w14:paraId="39BC9030" w14:textId="77777777" w:rsidTr="003C4565">
        <w:tc>
          <w:tcPr>
            <w:tcW w:w="2183" w:type="dxa"/>
          </w:tcPr>
          <w:p w14:paraId="40491AF7"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Sector:</w:t>
            </w:r>
          </w:p>
        </w:tc>
        <w:tc>
          <w:tcPr>
            <w:tcW w:w="5829" w:type="dxa"/>
          </w:tcPr>
          <w:p w14:paraId="4F9C4980" w14:textId="77777777" w:rsidR="003C4565" w:rsidRPr="003C4565" w:rsidRDefault="003C4565" w:rsidP="00460623">
            <w:pPr>
              <w:suppressAutoHyphens/>
              <w:rPr>
                <w:rFonts w:ascii="Times New Roman" w:eastAsia="Calibri" w:hAnsi="Times New Roman" w:cs="Times New Roman"/>
                <w:b/>
                <w:bCs/>
                <w:spacing w:val="-2"/>
                <w:sz w:val="24"/>
                <w:szCs w:val="24"/>
              </w:rPr>
            </w:pPr>
            <w:r w:rsidRPr="003C4565">
              <w:rPr>
                <w:rFonts w:ascii="Times New Roman" w:eastAsia="Calibri" w:hAnsi="Times New Roman" w:cs="Times New Roman"/>
                <w:b/>
                <w:bCs/>
                <w:spacing w:val="-2"/>
                <w:sz w:val="24"/>
                <w:szCs w:val="24"/>
              </w:rPr>
              <w:t>Transport</w:t>
            </w:r>
          </w:p>
        </w:tc>
      </w:tr>
      <w:tr w:rsidR="003C4565" w14:paraId="5550DE01" w14:textId="77777777" w:rsidTr="003C4565">
        <w:tc>
          <w:tcPr>
            <w:tcW w:w="2183" w:type="dxa"/>
          </w:tcPr>
          <w:p w14:paraId="11F44F5E"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Consulting Services:</w:t>
            </w:r>
          </w:p>
        </w:tc>
        <w:tc>
          <w:tcPr>
            <w:tcW w:w="5829" w:type="dxa"/>
          </w:tcPr>
          <w:p w14:paraId="64957907" w14:textId="464EB7BE"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hAnsi="Times New Roman"/>
                <w:b/>
                <w:bCs/>
                <w:spacing w:val="-2"/>
                <w:sz w:val="24"/>
                <w:szCs w:val="24"/>
              </w:rPr>
              <w:t>Works Supervision and Project Management Services</w:t>
            </w:r>
          </w:p>
        </w:tc>
      </w:tr>
      <w:tr w:rsidR="003C4565" w14:paraId="095B0B9D" w14:textId="77777777" w:rsidTr="003C4565">
        <w:tc>
          <w:tcPr>
            <w:tcW w:w="2183" w:type="dxa"/>
          </w:tcPr>
          <w:p w14:paraId="1A61ABC0"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Mode of Financing:</w:t>
            </w:r>
          </w:p>
        </w:tc>
        <w:tc>
          <w:tcPr>
            <w:tcW w:w="5829" w:type="dxa"/>
          </w:tcPr>
          <w:p w14:paraId="3006A0FE" w14:textId="0949A9BB" w:rsidR="003C4565" w:rsidRPr="003C4565" w:rsidRDefault="00BB583E" w:rsidP="00460623">
            <w:pPr>
              <w:suppressAutoHyphens/>
              <w:rPr>
                <w:rFonts w:ascii="Times New Roman" w:eastAsia="Calibri" w:hAnsi="Times New Roman" w:cs="Times New Roman"/>
                <w:b/>
                <w:bCs/>
                <w:spacing w:val="-2"/>
                <w:sz w:val="24"/>
                <w:szCs w:val="24"/>
              </w:rPr>
            </w:pPr>
            <w:r w:rsidRPr="00BB583E">
              <w:rPr>
                <w:rFonts w:ascii="Times New Roman" w:hAnsi="Times New Roman"/>
                <w:b/>
                <w:bCs/>
                <w:spacing w:val="-2"/>
                <w:sz w:val="24"/>
                <w:szCs w:val="24"/>
              </w:rPr>
              <w:t>Ijarah (Leasing) and ICF Instalment Sale/Leasing</w:t>
            </w:r>
          </w:p>
        </w:tc>
      </w:tr>
      <w:tr w:rsidR="003C4565" w14:paraId="18B85A39" w14:textId="77777777" w:rsidTr="003C4565">
        <w:tc>
          <w:tcPr>
            <w:tcW w:w="2183" w:type="dxa"/>
          </w:tcPr>
          <w:p w14:paraId="04D949A0"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Financing No.</w:t>
            </w:r>
          </w:p>
        </w:tc>
        <w:tc>
          <w:tcPr>
            <w:tcW w:w="5829" w:type="dxa"/>
          </w:tcPr>
          <w:p w14:paraId="1EEA2C75" w14:textId="3AFACCC0"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eastAsia="Times New Roman" w:hAnsi="Times New Roman" w:cs="Times New Roman"/>
                <w:b/>
                <w:bCs/>
                <w:spacing w:val="-2"/>
                <w:sz w:val="24"/>
                <w:szCs w:val="24"/>
              </w:rPr>
              <w:t>TJK10</w:t>
            </w:r>
            <w:r w:rsidR="008F2499">
              <w:rPr>
                <w:rFonts w:ascii="Times New Roman" w:eastAsia="Times New Roman" w:hAnsi="Times New Roman" w:cs="Times New Roman"/>
                <w:b/>
                <w:bCs/>
                <w:spacing w:val="-2"/>
                <w:sz w:val="24"/>
                <w:szCs w:val="24"/>
              </w:rPr>
              <w:t>51</w:t>
            </w:r>
          </w:p>
        </w:tc>
      </w:tr>
    </w:tbl>
    <w:p w14:paraId="33A152B9" w14:textId="77777777" w:rsidR="003C4565" w:rsidRDefault="003C4565" w:rsidP="001E39E5">
      <w:pPr>
        <w:suppressAutoHyphens/>
        <w:spacing w:after="0" w:line="240" w:lineRule="auto"/>
        <w:rPr>
          <w:rFonts w:ascii="Times New Roman" w:hAnsi="Times New Roman"/>
          <w:spacing w:val="-2"/>
          <w:sz w:val="24"/>
          <w:szCs w:val="24"/>
        </w:rPr>
      </w:pPr>
    </w:p>
    <w:p w14:paraId="4F1F2F0C" w14:textId="77777777" w:rsidR="003C4565" w:rsidRDefault="003C4565" w:rsidP="001E39E5">
      <w:pPr>
        <w:suppressAutoHyphens/>
        <w:spacing w:after="0" w:line="240" w:lineRule="auto"/>
        <w:rPr>
          <w:rFonts w:ascii="Times New Roman" w:hAnsi="Times New Roman"/>
          <w:spacing w:val="-2"/>
          <w:sz w:val="24"/>
          <w:szCs w:val="24"/>
        </w:rPr>
      </w:pPr>
    </w:p>
    <w:p w14:paraId="69E115A3" w14:textId="0C2F5822" w:rsidR="00BA7A4A" w:rsidRPr="00EF796D" w:rsidRDefault="00566FAB" w:rsidP="00234B32">
      <w:pPr>
        <w:suppressAutoHyphens/>
        <w:spacing w:after="0" w:line="240" w:lineRule="auto"/>
        <w:jc w:val="both"/>
        <w:rPr>
          <w:rFonts w:ascii="Times New Roman" w:eastAsia="Calibri" w:hAnsi="Times New Roman" w:cs="Times New Roman"/>
          <w:spacing w:val="-2"/>
          <w:sz w:val="24"/>
          <w:szCs w:val="24"/>
        </w:rPr>
      </w:pPr>
      <w:r w:rsidRPr="00EF796D">
        <w:rPr>
          <w:rFonts w:ascii="Times New Roman" w:eastAsia="Calibri" w:hAnsi="Times New Roman" w:cs="Times New Roman"/>
          <w:spacing w:val="-2"/>
          <w:sz w:val="24"/>
          <w:szCs w:val="24"/>
        </w:rPr>
        <w:t xml:space="preserve">The </w:t>
      </w:r>
      <w:r w:rsidR="00EF796D" w:rsidRPr="00EF796D">
        <w:rPr>
          <w:rFonts w:ascii="Times New Roman" w:hAnsi="Times New Roman"/>
          <w:spacing w:val="-2"/>
          <w:sz w:val="24"/>
        </w:rPr>
        <w:t>Government of the Republic of Tajikistan</w:t>
      </w:r>
      <w:r w:rsidR="00EF796D" w:rsidRPr="00EF796D">
        <w:rPr>
          <w:rFonts w:ascii="Times New Roman" w:eastAsia="Calibri" w:hAnsi="Times New Roman" w:cs="Times New Roman"/>
          <w:spacing w:val="-2"/>
          <w:sz w:val="24"/>
          <w:szCs w:val="24"/>
        </w:rPr>
        <w:t xml:space="preserve"> </w:t>
      </w:r>
      <w:r w:rsidRPr="00EF796D">
        <w:rPr>
          <w:rFonts w:ascii="Times New Roman" w:eastAsia="Calibri" w:hAnsi="Times New Roman" w:cs="Times New Roman"/>
          <w:spacing w:val="-2"/>
          <w:sz w:val="24"/>
          <w:szCs w:val="24"/>
        </w:rPr>
        <w:t xml:space="preserve">has applied for financing from the Islamic Development Bank toward the cost of the </w:t>
      </w:r>
      <w:r w:rsidR="00EF796D" w:rsidRPr="00EF796D">
        <w:rPr>
          <w:rFonts w:ascii="Times New Roman" w:eastAsia="Times New Roman" w:hAnsi="Times New Roman" w:cs="Times New Roman"/>
          <w:sz w:val="24"/>
          <w:szCs w:val="24"/>
        </w:rPr>
        <w:t xml:space="preserve">the </w:t>
      </w:r>
      <w:r w:rsidR="008F2499">
        <w:rPr>
          <w:rFonts w:ascii="Times New Roman" w:hAnsi="Times New Roman"/>
          <w:spacing w:val="-2"/>
          <w:sz w:val="24"/>
        </w:rPr>
        <w:t>Rushon</w:t>
      </w:r>
      <w:r w:rsidR="00EF796D" w:rsidRPr="00EF796D">
        <w:rPr>
          <w:rFonts w:ascii="Times New Roman" w:hAnsi="Times New Roman"/>
          <w:spacing w:val="-2"/>
          <w:sz w:val="24"/>
        </w:rPr>
        <w:t xml:space="preserve"> – </w:t>
      </w:r>
      <w:r w:rsidR="008F2499">
        <w:rPr>
          <w:rFonts w:ascii="Times New Roman" w:hAnsi="Times New Roman"/>
          <w:spacing w:val="-2"/>
          <w:sz w:val="24"/>
        </w:rPr>
        <w:t>Varshez</w:t>
      </w:r>
      <w:r w:rsidR="00EF796D" w:rsidRPr="00EF796D">
        <w:rPr>
          <w:rFonts w:ascii="Times New Roman" w:hAnsi="Times New Roman"/>
          <w:spacing w:val="-2"/>
          <w:sz w:val="24"/>
        </w:rPr>
        <w:t xml:space="preserve"> Road Reconstruction Project, Phase I </w:t>
      </w:r>
      <w:r w:rsidR="008F2499">
        <w:rPr>
          <w:rFonts w:ascii="Times New Roman" w:hAnsi="Times New Roman"/>
          <w:spacing w:val="-2"/>
          <w:sz w:val="24"/>
        </w:rPr>
        <w:t>Dashtishipad – Pastkhuf S</w:t>
      </w:r>
      <w:r w:rsidR="00EF796D" w:rsidRPr="00EF796D">
        <w:rPr>
          <w:rFonts w:ascii="Times New Roman" w:hAnsi="Times New Roman"/>
          <w:spacing w:val="-2"/>
          <w:sz w:val="24"/>
        </w:rPr>
        <w:t>ection</w:t>
      </w:r>
      <w:r w:rsidRPr="00EF796D">
        <w:rPr>
          <w:rFonts w:ascii="Times New Roman" w:eastAsia="Calibri" w:hAnsi="Times New Roman" w:cs="Times New Roman"/>
          <w:spacing w:val="-2"/>
          <w:sz w:val="24"/>
          <w:szCs w:val="24"/>
        </w:rPr>
        <w:t xml:space="preserve">, and intends to apply part of the proceeds for consultant services.  </w:t>
      </w:r>
    </w:p>
    <w:p w14:paraId="7B07EF8B" w14:textId="77777777" w:rsidR="00BA7A4A" w:rsidRPr="008E7C45" w:rsidRDefault="00BA7A4A" w:rsidP="00234B32">
      <w:pPr>
        <w:suppressAutoHyphens/>
        <w:spacing w:after="0" w:line="240" w:lineRule="auto"/>
        <w:jc w:val="both"/>
        <w:rPr>
          <w:rFonts w:ascii="Times New Roman" w:eastAsia="Calibri" w:hAnsi="Times New Roman" w:cs="Times New Roman"/>
          <w:spacing w:val="-2"/>
          <w:sz w:val="24"/>
          <w:szCs w:val="24"/>
        </w:rPr>
      </w:pPr>
    </w:p>
    <w:p w14:paraId="0FD95229" w14:textId="74EDD87D" w:rsidR="00C92B0A" w:rsidRDefault="00C92B0A" w:rsidP="00234B32">
      <w:pPr>
        <w:suppressAutoHyphens/>
        <w:spacing w:after="0" w:line="240" w:lineRule="auto"/>
        <w:jc w:val="both"/>
        <w:rPr>
          <w:rFonts w:ascii="Times New Roman" w:eastAsia="Calibri" w:hAnsi="Times New Roman" w:cs="Times New Roman"/>
          <w:spacing w:val="-2"/>
          <w:sz w:val="24"/>
          <w:szCs w:val="24"/>
        </w:rPr>
      </w:pPr>
      <w:r w:rsidRPr="00C92B0A">
        <w:rPr>
          <w:rFonts w:ascii="Times New Roman" w:eastAsia="Calibri" w:hAnsi="Times New Roman" w:cs="Times New Roman"/>
          <w:spacing w:val="-2"/>
          <w:sz w:val="24"/>
          <w:szCs w:val="24"/>
        </w:rPr>
        <w:t xml:space="preserve">The services include consultancy services would be required for a period of Thirty-Six (36) months </w:t>
      </w:r>
      <w:r w:rsidR="008353BD">
        <w:rPr>
          <w:rFonts w:ascii="Times New Roman" w:eastAsia="Calibri" w:hAnsi="Times New Roman" w:cs="Times New Roman"/>
          <w:spacing w:val="-2"/>
          <w:sz w:val="24"/>
          <w:szCs w:val="24"/>
        </w:rPr>
        <w:t>ex</w:t>
      </w:r>
      <w:r w:rsidRPr="00C92B0A">
        <w:rPr>
          <w:rFonts w:ascii="Times New Roman" w:eastAsia="Calibri" w:hAnsi="Times New Roman" w:cs="Times New Roman"/>
          <w:spacing w:val="-2"/>
          <w:sz w:val="24"/>
          <w:szCs w:val="24"/>
        </w:rPr>
        <w:t>cluding the defects notification period, which will be twelve (12) months. Total input of 1</w:t>
      </w:r>
      <w:r w:rsidR="004065FD">
        <w:rPr>
          <w:rFonts w:ascii="Times New Roman" w:eastAsia="Calibri" w:hAnsi="Times New Roman" w:cs="Times New Roman"/>
          <w:spacing w:val="-2"/>
          <w:sz w:val="24"/>
          <w:szCs w:val="24"/>
        </w:rPr>
        <w:t>34</w:t>
      </w:r>
      <w:r w:rsidRPr="00C92B0A">
        <w:rPr>
          <w:rFonts w:ascii="Times New Roman" w:eastAsia="Calibri" w:hAnsi="Times New Roman" w:cs="Times New Roman"/>
          <w:spacing w:val="-2"/>
          <w:sz w:val="24"/>
          <w:szCs w:val="24"/>
        </w:rPr>
        <w:t xml:space="preserve"> person-months </w:t>
      </w:r>
      <w:r w:rsidR="004065FD">
        <w:rPr>
          <w:rFonts w:ascii="Times New Roman" w:eastAsia="Calibri" w:hAnsi="Times New Roman" w:cs="Times New Roman"/>
          <w:spacing w:val="-2"/>
          <w:sz w:val="24"/>
          <w:szCs w:val="24"/>
        </w:rPr>
        <w:t xml:space="preserve">Key </w:t>
      </w:r>
      <w:r w:rsidRPr="00C92B0A">
        <w:rPr>
          <w:rFonts w:ascii="Times New Roman" w:eastAsia="Calibri" w:hAnsi="Times New Roman" w:cs="Times New Roman"/>
          <w:spacing w:val="-2"/>
          <w:sz w:val="24"/>
          <w:szCs w:val="24"/>
        </w:rPr>
        <w:t>International</w:t>
      </w:r>
      <w:r w:rsidR="004065FD">
        <w:rPr>
          <w:rFonts w:ascii="Times New Roman" w:eastAsia="Calibri" w:hAnsi="Times New Roman" w:cs="Times New Roman"/>
          <w:spacing w:val="-2"/>
          <w:sz w:val="24"/>
          <w:szCs w:val="24"/>
        </w:rPr>
        <w:t xml:space="preserve"> </w:t>
      </w:r>
      <w:r w:rsidR="004065FD" w:rsidRPr="00C92B0A">
        <w:rPr>
          <w:rFonts w:ascii="Times New Roman" w:eastAsia="Calibri" w:hAnsi="Times New Roman" w:cs="Times New Roman"/>
          <w:spacing w:val="-2"/>
          <w:sz w:val="24"/>
          <w:szCs w:val="24"/>
        </w:rPr>
        <w:t>consultants</w:t>
      </w:r>
      <w:r w:rsidRPr="00C92B0A">
        <w:rPr>
          <w:rFonts w:ascii="Times New Roman" w:eastAsia="Calibri" w:hAnsi="Times New Roman" w:cs="Times New Roman"/>
          <w:spacing w:val="-2"/>
          <w:sz w:val="24"/>
          <w:szCs w:val="24"/>
        </w:rPr>
        <w:t xml:space="preserve"> and </w:t>
      </w:r>
      <w:r w:rsidR="004065FD">
        <w:rPr>
          <w:rFonts w:ascii="Times New Roman" w:eastAsia="Calibri" w:hAnsi="Times New Roman" w:cs="Times New Roman"/>
          <w:spacing w:val="-2"/>
          <w:sz w:val="24"/>
          <w:szCs w:val="24"/>
        </w:rPr>
        <w:t>548</w:t>
      </w:r>
      <w:r w:rsidRPr="00C92B0A">
        <w:rPr>
          <w:rFonts w:ascii="Times New Roman" w:eastAsia="Calibri" w:hAnsi="Times New Roman" w:cs="Times New Roman"/>
          <w:spacing w:val="-2"/>
          <w:sz w:val="24"/>
          <w:szCs w:val="24"/>
        </w:rPr>
        <w:t xml:space="preserve"> person-months </w:t>
      </w:r>
      <w:r w:rsidR="004065FD">
        <w:rPr>
          <w:rFonts w:ascii="Times New Roman" w:eastAsia="Calibri" w:hAnsi="Times New Roman" w:cs="Times New Roman"/>
          <w:spacing w:val="-2"/>
          <w:sz w:val="24"/>
          <w:szCs w:val="24"/>
        </w:rPr>
        <w:t>N</w:t>
      </w:r>
      <w:r w:rsidRPr="00C92B0A">
        <w:rPr>
          <w:rFonts w:ascii="Times New Roman" w:eastAsia="Calibri" w:hAnsi="Times New Roman" w:cs="Times New Roman"/>
          <w:spacing w:val="-2"/>
          <w:sz w:val="24"/>
          <w:szCs w:val="24"/>
        </w:rPr>
        <w:t>ational consultants would be required for the assignment.</w:t>
      </w:r>
    </w:p>
    <w:p w14:paraId="4FAA571D" w14:textId="77777777" w:rsidR="00C92B0A" w:rsidRDefault="00C92B0A" w:rsidP="00234B32">
      <w:pPr>
        <w:suppressAutoHyphens/>
        <w:spacing w:after="0" w:line="240" w:lineRule="auto"/>
        <w:jc w:val="both"/>
        <w:rPr>
          <w:rFonts w:ascii="Times New Roman" w:eastAsia="Calibri" w:hAnsi="Times New Roman" w:cs="Times New Roman"/>
          <w:spacing w:val="-2"/>
          <w:sz w:val="24"/>
          <w:szCs w:val="24"/>
        </w:rPr>
      </w:pPr>
    </w:p>
    <w:p w14:paraId="0C4A38AF" w14:textId="16AA9B87" w:rsidR="00BA7A4A" w:rsidRPr="00C92B0A" w:rsidRDefault="00BA7A4A" w:rsidP="00C92B0A">
      <w:pPr>
        <w:suppressAutoHyphens/>
        <w:jc w:val="both"/>
        <w:rPr>
          <w:rFonts w:ascii="Times New Roman" w:hAnsi="Times New Roman"/>
          <w:iCs/>
          <w:spacing w:val="-2"/>
          <w:sz w:val="24"/>
          <w:szCs w:val="24"/>
        </w:rPr>
      </w:pPr>
      <w:r w:rsidRPr="008E7C45">
        <w:rPr>
          <w:rFonts w:ascii="Times New Roman" w:hAnsi="Times New Roman"/>
          <w:spacing w:val="-2"/>
          <w:sz w:val="24"/>
          <w:szCs w:val="24"/>
        </w:rPr>
        <w:t xml:space="preserve">The detailed Terms of Reference (TOR) for the assignment </w:t>
      </w:r>
      <w:r w:rsidRPr="00C92B0A">
        <w:rPr>
          <w:rFonts w:ascii="Times New Roman" w:hAnsi="Times New Roman"/>
          <w:iCs/>
          <w:spacing w:val="-2"/>
          <w:sz w:val="24"/>
          <w:szCs w:val="24"/>
        </w:rPr>
        <w:t>are attached to this request for expressions of interest.</w:t>
      </w:r>
    </w:p>
    <w:p w14:paraId="5895699A" w14:textId="25BB7F3F" w:rsidR="00BA7A4A" w:rsidRDefault="00566FAB" w:rsidP="00234B32">
      <w:pPr>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The </w:t>
      </w:r>
      <w:r w:rsidR="00C35805" w:rsidRPr="00B433E0">
        <w:rPr>
          <w:rFonts w:ascii="Times New Roman" w:eastAsia="Times New Roman" w:hAnsi="Times New Roman" w:cs="Times New Roman"/>
          <w:sz w:val="24"/>
          <w:szCs w:val="24"/>
        </w:rPr>
        <w:t>Ministry of Transport Republic of Tajikistan</w:t>
      </w:r>
      <w:r w:rsidR="00C35805" w:rsidRPr="008E7C45">
        <w:rPr>
          <w:rFonts w:ascii="Times New Roman" w:eastAsia="Calibri" w:hAnsi="Times New Roman" w:cs="Times New Roman"/>
          <w:spacing w:val="-2"/>
          <w:sz w:val="24"/>
          <w:szCs w:val="24"/>
        </w:rPr>
        <w:t xml:space="preserve"> </w:t>
      </w:r>
      <w:r w:rsidRPr="008E7C45">
        <w:rPr>
          <w:rFonts w:ascii="Times New Roman" w:eastAsia="Calibri" w:hAnsi="Times New Roman" w:cs="Times New Roman"/>
          <w:spacing w:val="-2"/>
          <w:sz w:val="24"/>
          <w:szCs w:val="24"/>
        </w:rPr>
        <w:t xml:space="preserve">now invites eligible </w:t>
      </w:r>
      <w:r w:rsidR="00BA7A4A" w:rsidRPr="008E7C45">
        <w:rPr>
          <w:rFonts w:ascii="Times New Roman" w:eastAsia="Calibri" w:hAnsi="Times New Roman" w:cs="Times New Roman"/>
          <w:spacing w:val="-2"/>
          <w:sz w:val="24"/>
          <w:szCs w:val="24"/>
        </w:rPr>
        <w:t xml:space="preserve">consulting firms (“Consultants”) </w:t>
      </w:r>
      <w:r w:rsidRPr="008E7C45">
        <w:rPr>
          <w:rFonts w:ascii="Times New Roman" w:eastAsia="Calibri" w:hAnsi="Times New Roman" w:cs="Times New Roman"/>
          <w:spacing w:val="-2"/>
          <w:sz w:val="24"/>
          <w:szCs w:val="24"/>
        </w:rPr>
        <w:t xml:space="preserve">to indicate their interest in providing the services. Interested </w:t>
      </w:r>
      <w:r w:rsidR="00BA7A4A" w:rsidRPr="008E7C45">
        <w:rPr>
          <w:rFonts w:ascii="Times New Roman" w:eastAsia="Calibri" w:hAnsi="Times New Roman" w:cs="Times New Roman"/>
          <w:spacing w:val="-2"/>
          <w:sz w:val="24"/>
          <w:szCs w:val="24"/>
        </w:rPr>
        <w:t>C</w:t>
      </w:r>
      <w:r w:rsidRPr="008E7C45">
        <w:rPr>
          <w:rFonts w:ascii="Times New Roman" w:eastAsia="Calibri" w:hAnsi="Times New Roman" w:cs="Times New Roman"/>
          <w:spacing w:val="-2"/>
          <w:sz w:val="24"/>
          <w:szCs w:val="24"/>
        </w:rPr>
        <w:t xml:space="preserve">onsultants must provide specific information which </w:t>
      </w:r>
      <w:r w:rsidR="001E39E5" w:rsidRPr="008E7C45">
        <w:rPr>
          <w:rFonts w:ascii="Times New Roman" w:eastAsia="Calibri" w:hAnsi="Times New Roman" w:cs="Times New Roman"/>
          <w:spacing w:val="-2"/>
          <w:sz w:val="24"/>
          <w:szCs w:val="24"/>
        </w:rPr>
        <w:t>demonstrates</w:t>
      </w:r>
      <w:r w:rsidRPr="008E7C45">
        <w:rPr>
          <w:rFonts w:ascii="Times New Roman" w:eastAsia="Calibri" w:hAnsi="Times New Roman" w:cs="Times New Roman"/>
          <w:spacing w:val="-2"/>
          <w:sz w:val="24"/>
          <w:szCs w:val="24"/>
        </w:rPr>
        <w:t xml:space="preserve"> that they are fully qualified to perform the services (brochures, description of similar assignments, experience in similar conditions, availability of appropriate skills among staff, etc.). </w:t>
      </w:r>
    </w:p>
    <w:p w14:paraId="250D6317" w14:textId="0D9F1C9C" w:rsidR="00F8052E" w:rsidRDefault="00F8052E" w:rsidP="00234B32">
      <w:pPr>
        <w:spacing w:after="0" w:line="240" w:lineRule="auto"/>
        <w:jc w:val="both"/>
        <w:rPr>
          <w:rFonts w:ascii="Times New Roman" w:eastAsia="Calibri" w:hAnsi="Times New Roman" w:cs="Times New Roman"/>
          <w:spacing w:val="-2"/>
          <w:sz w:val="24"/>
          <w:szCs w:val="24"/>
        </w:rPr>
      </w:pPr>
    </w:p>
    <w:p w14:paraId="6681604E" w14:textId="12676509" w:rsidR="00F8052E" w:rsidRDefault="00F8052E" w:rsidP="00F8052E">
      <w:pPr>
        <w:numPr>
          <w:ilvl w:val="0"/>
          <w:numId w:val="1"/>
        </w:numPr>
        <w:spacing w:after="0" w:line="240" w:lineRule="auto"/>
        <w:jc w:val="both"/>
        <w:rPr>
          <w:rFonts w:ascii="Times New Roman" w:hAnsi="Times New Roman"/>
          <w:spacing w:val="-2"/>
          <w:sz w:val="24"/>
        </w:rPr>
      </w:pPr>
      <w:r w:rsidRPr="00F8052E">
        <w:rPr>
          <w:rFonts w:ascii="Times New Roman" w:hAnsi="Times New Roman"/>
          <w:spacing w:val="-2"/>
          <w:sz w:val="24"/>
        </w:rPr>
        <w:t>The shortlisting criteria are:</w:t>
      </w:r>
    </w:p>
    <w:p w14:paraId="239BC71D" w14:textId="77777777" w:rsidR="00F8052E" w:rsidRPr="00F8052E" w:rsidRDefault="00F8052E" w:rsidP="00F8052E">
      <w:pPr>
        <w:spacing w:after="0" w:line="240" w:lineRule="auto"/>
        <w:ind w:left="720"/>
        <w:jc w:val="both"/>
        <w:rPr>
          <w:rFonts w:ascii="Times New Roman" w:hAnsi="Times New Roman"/>
          <w:spacing w:val="-2"/>
          <w:sz w:val="24"/>
        </w:rPr>
      </w:pPr>
    </w:p>
    <w:p w14:paraId="0C588B5F" w14:textId="3CBD1DCF" w:rsidR="00F8052E" w:rsidRDefault="00F8052E" w:rsidP="00F8052E">
      <w:pPr>
        <w:pStyle w:val="ListParagraph"/>
        <w:numPr>
          <w:ilvl w:val="0"/>
          <w:numId w:val="2"/>
        </w:numPr>
        <w:spacing w:after="0" w:line="240" w:lineRule="auto"/>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Preliminary Examination to determine the eligibility of firms</w:t>
      </w:r>
      <w:r>
        <w:rPr>
          <w:rFonts w:ascii="Times New Roman" w:eastAsia="Calibri" w:hAnsi="Times New Roman" w:cs="Times New Roman"/>
          <w:spacing w:val="-2"/>
          <w:sz w:val="24"/>
          <w:szCs w:val="24"/>
        </w:rPr>
        <w:t>:</w:t>
      </w:r>
    </w:p>
    <w:p w14:paraId="3E2D626B" w14:textId="77777777" w:rsidR="00F8052E" w:rsidRDefault="00F8052E" w:rsidP="00F8052E">
      <w:pPr>
        <w:pStyle w:val="ListParagraph"/>
        <w:spacing w:after="0" w:line="240" w:lineRule="auto"/>
        <w:ind w:left="1429"/>
        <w:jc w:val="both"/>
        <w:rPr>
          <w:rFonts w:ascii="Times New Roman" w:eastAsia="Calibri" w:hAnsi="Times New Roman" w:cs="Times New Roman"/>
          <w:spacing w:val="-2"/>
          <w:sz w:val="24"/>
          <w:szCs w:val="24"/>
        </w:rPr>
      </w:pPr>
    </w:p>
    <w:p w14:paraId="56D7EB4C" w14:textId="03843596" w:rsidR="00F8052E" w:rsidRDefault="00F8052E" w:rsidP="00F8052E">
      <w:pPr>
        <w:pStyle w:val="ListParagraph"/>
        <w:numPr>
          <w:ilvl w:val="0"/>
          <w:numId w:val="3"/>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copy of the Certificate of Incorporation of the Consultant or its equivalent;</w:t>
      </w:r>
    </w:p>
    <w:p w14:paraId="020865E8" w14:textId="2A495BD1" w:rsidR="00F8052E" w:rsidRDefault="00F8052E" w:rsidP="00F8052E">
      <w:pPr>
        <w:pStyle w:val="ListParagraph"/>
        <w:numPr>
          <w:ilvl w:val="0"/>
          <w:numId w:val="3"/>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signed statement indicating that the provider does not have a conflict of interest in the subject of the procurement;</w:t>
      </w:r>
    </w:p>
    <w:p w14:paraId="5B542D6D" w14:textId="6E258300" w:rsidR="00F8052E" w:rsidRDefault="00F8052E" w:rsidP="00F8052E">
      <w:pPr>
        <w:pStyle w:val="ListParagraph"/>
        <w:numPr>
          <w:ilvl w:val="0"/>
          <w:numId w:val="3"/>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Power of Attorney; and</w:t>
      </w:r>
    </w:p>
    <w:p w14:paraId="301F98ED" w14:textId="77777777" w:rsidR="00F8052E" w:rsidRPr="00F8052E" w:rsidRDefault="00F8052E" w:rsidP="00F8052E">
      <w:pPr>
        <w:pStyle w:val="ListParagraph"/>
        <w:spacing w:after="0" w:line="240" w:lineRule="auto"/>
        <w:ind w:left="2149"/>
        <w:jc w:val="both"/>
        <w:rPr>
          <w:rFonts w:ascii="Times New Roman" w:eastAsia="Calibri" w:hAnsi="Times New Roman" w:cs="Times New Roman"/>
          <w:spacing w:val="-2"/>
          <w:sz w:val="24"/>
          <w:szCs w:val="24"/>
        </w:rPr>
      </w:pPr>
    </w:p>
    <w:p w14:paraId="4CC49B37" w14:textId="473A94BD" w:rsidR="00F8052E" w:rsidRDefault="00F8052E" w:rsidP="00F8052E">
      <w:pPr>
        <w:pStyle w:val="ListParagraph"/>
        <w:numPr>
          <w:ilvl w:val="0"/>
          <w:numId w:val="2"/>
        </w:numPr>
        <w:spacing w:after="0" w:line="240" w:lineRule="auto"/>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Detailed evaluation to assess the competence of firms against the following criteria</w:t>
      </w:r>
      <w:r>
        <w:rPr>
          <w:rFonts w:ascii="Times New Roman" w:eastAsia="Calibri" w:hAnsi="Times New Roman" w:cs="Times New Roman"/>
          <w:spacing w:val="-2"/>
          <w:sz w:val="24"/>
          <w:szCs w:val="24"/>
        </w:rPr>
        <w:t>:</w:t>
      </w:r>
    </w:p>
    <w:p w14:paraId="2D68EBEE" w14:textId="77777777" w:rsidR="00F8052E" w:rsidRDefault="00F8052E" w:rsidP="00F8052E">
      <w:pPr>
        <w:pStyle w:val="ListParagraph"/>
        <w:spacing w:after="0" w:line="240" w:lineRule="auto"/>
        <w:ind w:left="1429"/>
        <w:jc w:val="both"/>
        <w:rPr>
          <w:rFonts w:ascii="Times New Roman" w:eastAsia="Calibri" w:hAnsi="Times New Roman" w:cs="Times New Roman"/>
          <w:spacing w:val="-2"/>
          <w:sz w:val="24"/>
          <w:szCs w:val="24"/>
        </w:rPr>
      </w:pPr>
    </w:p>
    <w:p w14:paraId="538397C5" w14:textId="59EB69B8" w:rsidR="00F8052E" w:rsidRPr="00F8052E" w:rsidRDefault="00F8052E" w:rsidP="00F8052E">
      <w:pPr>
        <w:pStyle w:val="ListParagraph"/>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minimum of twenty (20) years of core business as a Consultant in Road Infrastructure projects</w:t>
      </w:r>
    </w:p>
    <w:p w14:paraId="7A62353B" w14:textId="38E2052C" w:rsidR="00F8052E" w:rsidRPr="00F8052E" w:rsidRDefault="00F8052E" w:rsidP="00F8052E">
      <w:pPr>
        <w:pStyle w:val="ListParagraph"/>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lastRenderedPageBreak/>
        <w:t>Submit the firm's organogram to demonstrate the firm's technical and managerial capability;</w:t>
      </w:r>
    </w:p>
    <w:p w14:paraId="24A12261" w14:textId="7BCF54EF" w:rsidR="00F8052E" w:rsidRPr="00F8052E" w:rsidRDefault="00F8052E" w:rsidP="00F8052E">
      <w:pPr>
        <w:pStyle w:val="ListParagraph"/>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Experience of at least three (3) similar assignments of similar scope, nature and value in the last ten (10) years, which have been successfully implemented with positive client recommendations in the last 10 years;</w:t>
      </w:r>
    </w:p>
    <w:p w14:paraId="54B0A626" w14:textId="38E82415" w:rsidR="00F8052E" w:rsidRPr="00F8052E" w:rsidRDefault="00F8052E" w:rsidP="00F8052E">
      <w:pPr>
        <w:pStyle w:val="ListParagraph"/>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Experience in similar conditions with at least two (2) similar projects in Central Asia or other countries with similar climatic conditions, similar topography and culture.</w:t>
      </w:r>
    </w:p>
    <w:p w14:paraId="0171DA99" w14:textId="77777777" w:rsidR="00F8052E" w:rsidRPr="00D12AB1" w:rsidRDefault="00F8052E" w:rsidP="00D12AB1">
      <w:pPr>
        <w:suppressAutoHyphens/>
        <w:spacing w:after="0" w:line="240" w:lineRule="auto"/>
        <w:jc w:val="both"/>
        <w:rPr>
          <w:rFonts w:ascii="Times New Roman" w:hAnsi="Times New Roman"/>
          <w:spacing w:val="-2"/>
          <w:sz w:val="24"/>
        </w:rPr>
      </w:pPr>
    </w:p>
    <w:p w14:paraId="00514E27" w14:textId="29C433B5" w:rsidR="00566FAB" w:rsidRPr="00D12AB1" w:rsidRDefault="00BA7A4A" w:rsidP="00D12AB1">
      <w:pPr>
        <w:suppressAutoHyphens/>
        <w:spacing w:after="0" w:line="240" w:lineRule="auto"/>
        <w:jc w:val="both"/>
        <w:rPr>
          <w:rFonts w:ascii="Times New Roman" w:hAnsi="Times New Roman"/>
          <w:spacing w:val="-2"/>
          <w:sz w:val="24"/>
        </w:rPr>
      </w:pPr>
      <w:r w:rsidRPr="00D12AB1">
        <w:rPr>
          <w:rFonts w:ascii="Times New Roman" w:hAnsi="Times New Roman"/>
          <w:spacing w:val="-2"/>
          <w:sz w:val="24"/>
        </w:rPr>
        <w:t>Experts will not be evaluated at the shortlisting stage</w:t>
      </w:r>
      <w:r w:rsidR="00D12AB1">
        <w:rPr>
          <w:rFonts w:ascii="Times New Roman" w:hAnsi="Times New Roman"/>
          <w:spacing w:val="-2"/>
          <w:sz w:val="24"/>
        </w:rPr>
        <w:t>.</w:t>
      </w:r>
    </w:p>
    <w:p w14:paraId="4A2FD129" w14:textId="77777777" w:rsidR="00BA7A4A" w:rsidRPr="008E7C45" w:rsidRDefault="00BA7A4A" w:rsidP="00234B32">
      <w:pPr>
        <w:suppressAutoHyphens/>
        <w:spacing w:after="0" w:line="240" w:lineRule="auto"/>
        <w:jc w:val="both"/>
        <w:rPr>
          <w:rFonts w:ascii="Times New Roman" w:hAnsi="Times New Roman"/>
          <w:spacing w:val="-2"/>
          <w:sz w:val="24"/>
        </w:rPr>
      </w:pPr>
    </w:p>
    <w:p w14:paraId="2777E511" w14:textId="77777777" w:rsidR="00566FAB" w:rsidRDefault="00BA7A4A" w:rsidP="00234B32">
      <w:pPr>
        <w:suppressAutoHyphens/>
        <w:spacing w:after="0" w:line="240" w:lineRule="auto"/>
        <w:jc w:val="both"/>
        <w:rPr>
          <w:rFonts w:ascii="Times New Roman" w:hAnsi="Times New Roman"/>
          <w:spacing w:val="-2"/>
          <w:sz w:val="24"/>
        </w:rPr>
      </w:pPr>
      <w:r w:rsidRPr="008E7C45">
        <w:rPr>
          <w:rFonts w:ascii="Times New Roman" w:hAnsi="Times New Roman"/>
          <w:spacing w:val="-2"/>
          <w:sz w:val="24"/>
        </w:rPr>
        <w:t>The attention of interested Consultants is drawn to Paragraphs, 1.23, and 1.24 of the Guidelines for Procurement of Consultant Services under Islamic Development Bank Project Financing</w:t>
      </w:r>
      <w:r w:rsidR="00EA537C" w:rsidRPr="008E7C45">
        <w:rPr>
          <w:rFonts w:ascii="Times New Roman" w:hAnsi="Times New Roman"/>
          <w:spacing w:val="-2"/>
          <w:sz w:val="24"/>
        </w:rPr>
        <w:t xml:space="preserve"> (the “Procurement Guidelines”)</w:t>
      </w:r>
      <w:r w:rsidRPr="008E7C45">
        <w:rPr>
          <w:rFonts w:ascii="Times New Roman" w:hAnsi="Times New Roman"/>
          <w:spacing w:val="-2"/>
          <w:sz w:val="24"/>
        </w:rPr>
        <w:t>, setting forth IsDB’s policy on conflict of interest.</w:t>
      </w:r>
      <w:r w:rsidRPr="001D70EB">
        <w:rPr>
          <w:rFonts w:ascii="Times New Roman" w:hAnsi="Times New Roman"/>
          <w:spacing w:val="-2"/>
          <w:sz w:val="24"/>
        </w:rPr>
        <w:t xml:space="preserve">  </w:t>
      </w:r>
    </w:p>
    <w:p w14:paraId="3D9B96DE" w14:textId="77777777" w:rsidR="00BA7A4A" w:rsidRPr="00566FAB" w:rsidRDefault="00BA7A4A" w:rsidP="00234B32">
      <w:pPr>
        <w:suppressAutoHyphens/>
        <w:spacing w:after="0" w:line="240" w:lineRule="auto"/>
        <w:jc w:val="both"/>
        <w:rPr>
          <w:rFonts w:ascii="Times New Roman" w:eastAsia="Calibri" w:hAnsi="Times New Roman" w:cs="Times New Roman"/>
          <w:spacing w:val="-2"/>
          <w:sz w:val="24"/>
          <w:szCs w:val="24"/>
        </w:rPr>
      </w:pPr>
    </w:p>
    <w:p w14:paraId="14F78663" w14:textId="77777777" w:rsidR="00566FAB" w:rsidRPr="00566FAB" w:rsidRDefault="00566FAB" w:rsidP="00234B32">
      <w:pPr>
        <w:spacing w:after="0" w:line="240" w:lineRule="auto"/>
        <w:jc w:val="both"/>
        <w:rPr>
          <w:rFonts w:ascii="Times New Roman" w:eastAsia="Calibri" w:hAnsi="Times New Roman" w:cs="Times New Roman"/>
          <w:sz w:val="24"/>
          <w:szCs w:val="24"/>
        </w:rPr>
      </w:pPr>
      <w:r w:rsidRPr="00F8305C">
        <w:rPr>
          <w:rFonts w:ascii="Times New Roman" w:eastAsia="Calibri" w:hAnsi="Times New Roman" w:cs="Times New Roman"/>
          <w:spacing w:val="-2"/>
          <w:sz w:val="24"/>
          <w:szCs w:val="24"/>
        </w:rPr>
        <w:t xml:space="preserve">Consultants may </w:t>
      </w:r>
      <w:r w:rsidR="00EA537C" w:rsidRPr="00F8305C">
        <w:rPr>
          <w:rFonts w:ascii="Times New Roman" w:hAnsi="Times New Roman"/>
          <w:spacing w:val="-2"/>
          <w:sz w:val="24"/>
        </w:rPr>
        <w:t>associate with other firms to enhance their qualifications</w:t>
      </w:r>
      <w:r w:rsidR="00EA537C" w:rsidRPr="00F8305C">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Pr="00F8305C">
        <w:rPr>
          <w:rFonts w:ascii="Times New Roman" w:eastAsia="Calibri" w:hAnsi="Times New Roman" w:cs="Times New Roman"/>
          <w:sz w:val="24"/>
          <w:szCs w:val="24"/>
        </w:rPr>
        <w:t>.</w:t>
      </w:r>
    </w:p>
    <w:p w14:paraId="76EB3F3B" w14:textId="77777777" w:rsidR="00566FAB" w:rsidRPr="00566FAB" w:rsidRDefault="00566FAB" w:rsidP="00234B32">
      <w:pPr>
        <w:suppressAutoHyphens/>
        <w:spacing w:after="0" w:line="240" w:lineRule="auto"/>
        <w:jc w:val="both"/>
        <w:rPr>
          <w:rFonts w:ascii="Times New Roman" w:eastAsia="Calibri" w:hAnsi="Times New Roman" w:cs="Times New Roman"/>
          <w:spacing w:val="-2"/>
          <w:sz w:val="24"/>
          <w:szCs w:val="24"/>
        </w:rPr>
      </w:pPr>
    </w:p>
    <w:p w14:paraId="3B5B8660" w14:textId="56EAD06D" w:rsidR="00566FAB" w:rsidRPr="005862F3" w:rsidRDefault="005862F3" w:rsidP="00234B32">
      <w:pPr>
        <w:suppressAutoHyphens/>
        <w:spacing w:after="0" w:line="240" w:lineRule="auto"/>
        <w:jc w:val="both"/>
        <w:rPr>
          <w:rFonts w:ascii="Times New Roman" w:hAnsi="Times New Roman"/>
          <w:spacing w:val="-2"/>
          <w:sz w:val="24"/>
        </w:rPr>
      </w:pPr>
      <w:r w:rsidRPr="005862F3">
        <w:rPr>
          <w:rFonts w:ascii="Times New Roman" w:hAnsi="Times New Roman"/>
          <w:spacing w:val="-2"/>
          <w:sz w:val="24"/>
        </w:rPr>
        <w:t>A consultant will be selected in accordance with the Quality and Cost-Based Selection/Member Country (QCBS/MC) method set out in the Procurement Guidelines.</w:t>
      </w:r>
    </w:p>
    <w:p w14:paraId="43B020E5" w14:textId="77777777" w:rsidR="005862F3" w:rsidRPr="008E7C45" w:rsidRDefault="005862F3" w:rsidP="00234B32">
      <w:pPr>
        <w:suppressAutoHyphens/>
        <w:spacing w:after="0" w:line="240" w:lineRule="auto"/>
        <w:jc w:val="both"/>
        <w:rPr>
          <w:rFonts w:ascii="Times New Roman" w:eastAsia="Calibri" w:hAnsi="Times New Roman" w:cs="Times New Roman"/>
          <w:spacing w:val="-2"/>
          <w:sz w:val="24"/>
          <w:szCs w:val="24"/>
        </w:rPr>
      </w:pPr>
    </w:p>
    <w:p w14:paraId="2CDA3190" w14:textId="263A2866" w:rsidR="006F0FF0" w:rsidRPr="006F0FF0" w:rsidRDefault="006F0FF0" w:rsidP="00234B32">
      <w:pPr>
        <w:suppressAutoHyphens/>
        <w:spacing w:after="0" w:line="240" w:lineRule="auto"/>
        <w:jc w:val="both"/>
        <w:rPr>
          <w:rFonts w:ascii="Times New Roman" w:hAnsi="Times New Roman"/>
          <w:spacing w:val="-2"/>
          <w:sz w:val="24"/>
        </w:rPr>
      </w:pPr>
      <w:r w:rsidRPr="006F0FF0">
        <w:rPr>
          <w:rFonts w:ascii="Times New Roman" w:hAnsi="Times New Roman"/>
          <w:spacing w:val="-2"/>
          <w:sz w:val="24"/>
        </w:rPr>
        <w:t>Interested consultants may obtain further information at the address below during office hours 08:00 to 17:00 hours (local time) on Mondays to Fridays.</w:t>
      </w:r>
    </w:p>
    <w:p w14:paraId="6BAEA3A5" w14:textId="77777777" w:rsidR="006F0FF0" w:rsidRDefault="006F0FF0" w:rsidP="00234B32">
      <w:pPr>
        <w:suppressAutoHyphens/>
        <w:spacing w:after="0" w:line="240" w:lineRule="auto"/>
        <w:jc w:val="both"/>
        <w:rPr>
          <w:rFonts w:ascii="Times New Roman" w:eastAsia="Calibri" w:hAnsi="Times New Roman" w:cs="Times New Roman"/>
          <w:spacing w:val="-2"/>
          <w:sz w:val="24"/>
          <w:szCs w:val="24"/>
        </w:rPr>
      </w:pPr>
    </w:p>
    <w:p w14:paraId="01C7134C" w14:textId="0FC9D0FB" w:rsidR="00566FAB" w:rsidRPr="008E7C45" w:rsidRDefault="00566FAB" w:rsidP="00234B32">
      <w:pPr>
        <w:suppressAutoHyphens/>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Expressions of interest must be delivered </w:t>
      </w:r>
      <w:r w:rsidR="00EA537C" w:rsidRPr="008E7C45">
        <w:rPr>
          <w:rFonts w:ascii="Times New Roman" w:eastAsia="Calibri" w:hAnsi="Times New Roman" w:cs="Times New Roman"/>
          <w:spacing w:val="-2"/>
          <w:sz w:val="24"/>
          <w:szCs w:val="24"/>
        </w:rPr>
        <w:t xml:space="preserve">in a written form </w:t>
      </w:r>
      <w:r w:rsidRPr="008E7C45">
        <w:rPr>
          <w:rFonts w:ascii="Times New Roman" w:eastAsia="Calibri" w:hAnsi="Times New Roman" w:cs="Times New Roman"/>
          <w:spacing w:val="-2"/>
          <w:sz w:val="24"/>
          <w:szCs w:val="24"/>
        </w:rPr>
        <w:t xml:space="preserve">to the address below </w:t>
      </w:r>
      <w:r w:rsidR="00EA537C" w:rsidRPr="008E7C45">
        <w:rPr>
          <w:rFonts w:ascii="Times New Roman" w:hAnsi="Times New Roman"/>
          <w:spacing w:val="-2"/>
          <w:sz w:val="24"/>
        </w:rPr>
        <w:t xml:space="preserve">(in person or by mail) </w:t>
      </w:r>
      <w:r w:rsidRPr="008E7C45">
        <w:rPr>
          <w:rFonts w:ascii="Times New Roman" w:eastAsia="Calibri" w:hAnsi="Times New Roman" w:cs="Times New Roman"/>
          <w:spacing w:val="-2"/>
          <w:sz w:val="24"/>
          <w:szCs w:val="24"/>
        </w:rPr>
        <w:t xml:space="preserve">by </w:t>
      </w:r>
      <w:r w:rsidR="00494DA5" w:rsidRPr="00494DA5">
        <w:rPr>
          <w:rFonts w:ascii="Times New Roman" w:eastAsia="Calibri" w:hAnsi="Times New Roman" w:cs="Times New Roman"/>
          <w:b/>
          <w:bCs/>
          <w:spacing w:val="-2"/>
          <w:sz w:val="24"/>
          <w:szCs w:val="24"/>
        </w:rPr>
        <w:t>15:00</w:t>
      </w:r>
      <w:r w:rsidR="00494DA5">
        <w:rPr>
          <w:rFonts w:ascii="Times New Roman" w:eastAsia="Calibri" w:hAnsi="Times New Roman" w:cs="Times New Roman"/>
          <w:spacing w:val="-2"/>
          <w:sz w:val="24"/>
          <w:szCs w:val="24"/>
        </w:rPr>
        <w:t xml:space="preserve"> of local time on </w:t>
      </w:r>
      <w:r w:rsidR="00494DA5">
        <w:rPr>
          <w:rFonts w:ascii="Times New Roman" w:eastAsia="Calibri" w:hAnsi="Times New Roman" w:cs="Times New Roman"/>
          <w:b/>
          <w:bCs/>
          <w:spacing w:val="-2"/>
          <w:sz w:val="24"/>
          <w:szCs w:val="24"/>
        </w:rPr>
        <w:t>3</w:t>
      </w:r>
      <w:r w:rsidR="00494DA5" w:rsidRPr="00494DA5">
        <w:rPr>
          <w:rFonts w:ascii="Times New Roman" w:eastAsia="Calibri" w:hAnsi="Times New Roman" w:cs="Times New Roman"/>
          <w:b/>
          <w:bCs/>
          <w:spacing w:val="-2"/>
          <w:sz w:val="24"/>
          <w:szCs w:val="24"/>
        </w:rPr>
        <w:t>0 April 2026</w:t>
      </w:r>
      <w:r w:rsidR="00494DA5">
        <w:rPr>
          <w:rFonts w:ascii="Times New Roman" w:eastAsia="Calibri" w:hAnsi="Times New Roman" w:cs="Times New Roman"/>
          <w:spacing w:val="-2"/>
          <w:sz w:val="24"/>
          <w:szCs w:val="24"/>
        </w:rPr>
        <w:t>.</w:t>
      </w:r>
    </w:p>
    <w:p w14:paraId="4D3C0115" w14:textId="77777777" w:rsidR="00566FAB" w:rsidRPr="008E7C45" w:rsidRDefault="00566FAB" w:rsidP="00234B32">
      <w:pPr>
        <w:suppressAutoHyphens/>
        <w:spacing w:after="0" w:line="240" w:lineRule="auto"/>
        <w:jc w:val="both"/>
        <w:rPr>
          <w:rFonts w:ascii="Times New Roman" w:eastAsia="Calibri" w:hAnsi="Times New Roman" w:cs="Times New Roman"/>
          <w:spacing w:val="-2"/>
          <w:sz w:val="24"/>
          <w:szCs w:val="24"/>
        </w:rPr>
      </w:pPr>
    </w:p>
    <w:p w14:paraId="356E4D09" w14:textId="77777777" w:rsidR="00BE1842" w:rsidRPr="007832A7" w:rsidRDefault="00BE1842" w:rsidP="00EA537C">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State Entity “Project Implementation Unit for Dushanbe-Chanak Road Rehabilitation Project”</w:t>
      </w:r>
    </w:p>
    <w:p w14:paraId="625B7487" w14:textId="77777777" w:rsidR="00BE1842" w:rsidRPr="007832A7" w:rsidRDefault="00566FAB"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 xml:space="preserve">Attention: </w:t>
      </w:r>
      <w:r w:rsidR="00BE1842" w:rsidRPr="007832A7">
        <w:rPr>
          <w:rFonts w:ascii="Times New Roman" w:eastAsia="Calibri" w:hAnsi="Times New Roman" w:cs="Times New Roman"/>
          <w:b/>
          <w:bCs/>
          <w:i/>
          <w:spacing w:val="-2"/>
          <w:sz w:val="24"/>
          <w:szCs w:val="24"/>
        </w:rPr>
        <w:t>Mr. Zafar Sharifzoda, Executive Director</w:t>
      </w:r>
    </w:p>
    <w:p w14:paraId="0B916406" w14:textId="77777777" w:rsidR="00BE1842" w:rsidRPr="007832A7" w:rsidRDefault="00BE1842"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Ayni Street 14, 7th floor</w:t>
      </w:r>
    </w:p>
    <w:p w14:paraId="7B6EFBB5" w14:textId="77777777" w:rsidR="00BE1842" w:rsidRPr="007832A7" w:rsidRDefault="00BE1842"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734042, Dushanbe, Republic of Tajikistan</w:t>
      </w:r>
    </w:p>
    <w:p w14:paraId="6F6C8328" w14:textId="77777777" w:rsidR="00BE1842" w:rsidRPr="007832A7" w:rsidRDefault="00BE1842"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Tel/Fax: + 992 37 222 22 91</w:t>
      </w:r>
    </w:p>
    <w:p w14:paraId="18318488" w14:textId="2AC98087" w:rsidR="00BE1842" w:rsidRPr="00BE1842" w:rsidRDefault="00BE1842" w:rsidP="00BE1842">
      <w:pPr>
        <w:tabs>
          <w:tab w:val="left" w:pos="6720"/>
        </w:tabs>
        <w:suppressAutoHyphens/>
        <w:spacing w:after="0" w:line="240" w:lineRule="auto"/>
        <w:ind w:left="720"/>
        <w:rPr>
          <w:rFonts w:ascii="Times New Roman" w:eastAsia="Calibri" w:hAnsi="Times New Roman" w:cs="Times New Roman"/>
          <w:iCs/>
          <w:spacing w:val="-2"/>
          <w:sz w:val="24"/>
          <w:szCs w:val="24"/>
        </w:rPr>
      </w:pPr>
      <w:r w:rsidRPr="007832A7">
        <w:rPr>
          <w:rFonts w:ascii="Times New Roman" w:eastAsia="Calibri" w:hAnsi="Times New Roman" w:cs="Times New Roman"/>
          <w:b/>
          <w:bCs/>
          <w:i/>
          <w:spacing w:val="-2"/>
          <w:sz w:val="24"/>
          <w:szCs w:val="24"/>
        </w:rPr>
        <w:t>E-mail:</w:t>
      </w:r>
      <w:r w:rsidRPr="00BE1842">
        <w:rPr>
          <w:rFonts w:ascii="Times New Roman" w:eastAsia="Calibri" w:hAnsi="Times New Roman" w:cs="Times New Roman"/>
          <w:iCs/>
          <w:spacing w:val="-2"/>
          <w:sz w:val="24"/>
          <w:szCs w:val="24"/>
        </w:rPr>
        <w:t xml:space="preserve"> </w:t>
      </w:r>
      <w:hyperlink r:id="rId7" w:history="1">
        <w:r w:rsidR="007832A7" w:rsidRPr="007832A7">
          <w:rPr>
            <w:rStyle w:val="Hyperlink"/>
            <w:rFonts w:ascii="Times New Roman" w:eastAsia="Calibri" w:hAnsi="Times New Roman" w:cs="Times New Roman"/>
            <w:i/>
            <w:spacing w:val="-2"/>
            <w:sz w:val="24"/>
            <w:szCs w:val="24"/>
          </w:rPr>
          <w:t>piudch@mail.ru</w:t>
        </w:r>
      </w:hyperlink>
      <w:r w:rsidR="007832A7">
        <w:rPr>
          <w:rFonts w:ascii="Times New Roman" w:eastAsia="Calibri" w:hAnsi="Times New Roman" w:cs="Times New Roman"/>
          <w:iCs/>
          <w:spacing w:val="-2"/>
          <w:sz w:val="24"/>
          <w:szCs w:val="24"/>
        </w:rPr>
        <w:t xml:space="preserve"> </w:t>
      </w:r>
    </w:p>
    <w:sectPr w:rsidR="00BE1842" w:rsidRPr="00BE1842">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DB82" w14:textId="77777777" w:rsidR="00494DA5" w:rsidRDefault="00494DA5" w:rsidP="00494DA5">
      <w:pPr>
        <w:spacing w:after="0" w:line="240" w:lineRule="auto"/>
      </w:pPr>
      <w:r>
        <w:separator/>
      </w:r>
    </w:p>
  </w:endnote>
  <w:endnote w:type="continuationSeparator" w:id="0">
    <w:p w14:paraId="149BE14D" w14:textId="77777777" w:rsidR="00494DA5" w:rsidRDefault="00494DA5" w:rsidP="0049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5036" w14:textId="77777777" w:rsidR="00494DA5" w:rsidRDefault="00494DA5" w:rsidP="00494DA5">
      <w:pPr>
        <w:spacing w:after="0" w:line="240" w:lineRule="auto"/>
      </w:pPr>
      <w:r>
        <w:separator/>
      </w:r>
    </w:p>
  </w:footnote>
  <w:footnote w:type="continuationSeparator" w:id="0">
    <w:p w14:paraId="59DB77CE" w14:textId="77777777" w:rsidR="00494DA5" w:rsidRDefault="00494DA5" w:rsidP="00494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EE1D" w14:textId="5E667F26" w:rsidR="00494DA5" w:rsidRDefault="00494DA5">
    <w:pPr>
      <w:pStyle w:val="Header"/>
    </w:pPr>
    <w:r>
      <w:rPr>
        <w:noProof/>
      </w:rPr>
      <mc:AlternateContent>
        <mc:Choice Requires="wps">
          <w:drawing>
            <wp:anchor distT="0" distB="0" distL="0" distR="0" simplePos="0" relativeHeight="251659264" behindDoc="0" locked="0" layoutInCell="1" allowOverlap="1" wp14:anchorId="1D28C68C" wp14:editId="7ED9FA48">
              <wp:simplePos x="635" y="635"/>
              <wp:positionH relativeFrom="page">
                <wp:align>left</wp:align>
              </wp:positionH>
              <wp:positionV relativeFrom="page">
                <wp:align>top</wp:align>
              </wp:positionV>
              <wp:extent cx="793750" cy="368935"/>
              <wp:effectExtent l="0" t="0" r="6350" b="12065"/>
              <wp:wrapNone/>
              <wp:docPr id="112700167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7A807D81" w14:textId="2E5BA51E" w:rsidR="00494DA5" w:rsidRPr="00494DA5" w:rsidRDefault="00494DA5" w:rsidP="00494DA5">
                          <w:pPr>
                            <w:spacing w:after="0"/>
                            <w:rPr>
                              <w:rFonts w:ascii="Aptos" w:eastAsia="Aptos" w:hAnsi="Aptos" w:cs="Aptos"/>
                              <w:noProof/>
                              <w:color w:val="000000"/>
                              <w:sz w:val="20"/>
                              <w:szCs w:val="20"/>
                            </w:rPr>
                          </w:pPr>
                          <w:r w:rsidRPr="00494DA5">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28C68C"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fill o:detectmouseclick="t"/>
              <v:textbox style="mso-fit-shape-to-text:t" inset="20pt,15pt,0,0">
                <w:txbxContent>
                  <w:p w14:paraId="7A807D81" w14:textId="2E5BA51E" w:rsidR="00494DA5" w:rsidRPr="00494DA5" w:rsidRDefault="00494DA5" w:rsidP="00494DA5">
                    <w:pPr>
                      <w:spacing w:after="0"/>
                      <w:rPr>
                        <w:rFonts w:ascii="Aptos" w:eastAsia="Aptos" w:hAnsi="Aptos" w:cs="Aptos"/>
                        <w:noProof/>
                        <w:color w:val="000000"/>
                        <w:sz w:val="20"/>
                        <w:szCs w:val="20"/>
                      </w:rPr>
                    </w:pPr>
                    <w:r w:rsidRPr="00494DA5">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B9F6" w14:textId="064D145D" w:rsidR="00494DA5" w:rsidRDefault="00494DA5">
    <w:pPr>
      <w:pStyle w:val="Header"/>
    </w:pPr>
    <w:r>
      <w:rPr>
        <w:noProof/>
      </w:rPr>
      <mc:AlternateContent>
        <mc:Choice Requires="wps">
          <w:drawing>
            <wp:anchor distT="0" distB="0" distL="0" distR="0" simplePos="0" relativeHeight="251660288" behindDoc="0" locked="0" layoutInCell="1" allowOverlap="1" wp14:anchorId="5612EC21" wp14:editId="77AEA759">
              <wp:simplePos x="914400" y="457200"/>
              <wp:positionH relativeFrom="page">
                <wp:align>left</wp:align>
              </wp:positionH>
              <wp:positionV relativeFrom="page">
                <wp:align>top</wp:align>
              </wp:positionV>
              <wp:extent cx="793750" cy="368935"/>
              <wp:effectExtent l="0" t="0" r="6350" b="12065"/>
              <wp:wrapNone/>
              <wp:docPr id="64651882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5FD17516" w14:textId="0185C063" w:rsidR="00494DA5" w:rsidRPr="00494DA5" w:rsidRDefault="00494DA5" w:rsidP="00494DA5">
                          <w:pPr>
                            <w:spacing w:after="0"/>
                            <w:rPr>
                              <w:rFonts w:ascii="Aptos" w:eastAsia="Aptos" w:hAnsi="Aptos" w:cs="Aptos"/>
                              <w:noProof/>
                              <w:color w:val="000000"/>
                              <w:sz w:val="20"/>
                              <w:szCs w:val="20"/>
                            </w:rPr>
                          </w:pPr>
                          <w:r w:rsidRPr="00494DA5">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12EC21"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fill o:detectmouseclick="t"/>
              <v:textbox style="mso-fit-shape-to-text:t" inset="20pt,15pt,0,0">
                <w:txbxContent>
                  <w:p w14:paraId="5FD17516" w14:textId="0185C063" w:rsidR="00494DA5" w:rsidRPr="00494DA5" w:rsidRDefault="00494DA5" w:rsidP="00494DA5">
                    <w:pPr>
                      <w:spacing w:after="0"/>
                      <w:rPr>
                        <w:rFonts w:ascii="Aptos" w:eastAsia="Aptos" w:hAnsi="Aptos" w:cs="Aptos"/>
                        <w:noProof/>
                        <w:color w:val="000000"/>
                        <w:sz w:val="20"/>
                        <w:szCs w:val="20"/>
                      </w:rPr>
                    </w:pPr>
                    <w:r w:rsidRPr="00494DA5">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E5A9" w14:textId="09F40C3D" w:rsidR="00494DA5" w:rsidRDefault="00494DA5">
    <w:pPr>
      <w:pStyle w:val="Header"/>
    </w:pPr>
    <w:r>
      <w:rPr>
        <w:noProof/>
      </w:rPr>
      <mc:AlternateContent>
        <mc:Choice Requires="wps">
          <w:drawing>
            <wp:anchor distT="0" distB="0" distL="0" distR="0" simplePos="0" relativeHeight="251658240" behindDoc="0" locked="0" layoutInCell="1" allowOverlap="1" wp14:anchorId="72863069" wp14:editId="45C3F802">
              <wp:simplePos x="635" y="635"/>
              <wp:positionH relativeFrom="page">
                <wp:align>left</wp:align>
              </wp:positionH>
              <wp:positionV relativeFrom="page">
                <wp:align>top</wp:align>
              </wp:positionV>
              <wp:extent cx="793750" cy="368935"/>
              <wp:effectExtent l="0" t="0" r="6350" b="12065"/>
              <wp:wrapNone/>
              <wp:docPr id="93992883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10ADFCF0" w14:textId="7DCD48CB" w:rsidR="00494DA5" w:rsidRPr="00494DA5" w:rsidRDefault="00494DA5" w:rsidP="00494DA5">
                          <w:pPr>
                            <w:spacing w:after="0"/>
                            <w:rPr>
                              <w:rFonts w:ascii="Aptos" w:eastAsia="Aptos" w:hAnsi="Aptos" w:cs="Aptos"/>
                              <w:noProof/>
                              <w:color w:val="000000"/>
                              <w:sz w:val="20"/>
                              <w:szCs w:val="20"/>
                            </w:rPr>
                          </w:pPr>
                          <w:r w:rsidRPr="00494DA5">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863069" id="_x0000_t202" coordsize="21600,21600" o:spt="202" path="m,l,21600r21600,l21600,xe">
              <v:stroke joinstyle="miter"/>
              <v:path gradientshapeok="t" o:connecttype="rect"/>
            </v:shapetype>
            <v:shape id="Text Box 1" o:spid="_x0000_s1028" type="#_x0000_t202" alt="Protected" style="position:absolute;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fill o:detectmouseclick="t"/>
              <v:textbox style="mso-fit-shape-to-text:t" inset="20pt,15pt,0,0">
                <w:txbxContent>
                  <w:p w14:paraId="10ADFCF0" w14:textId="7DCD48CB" w:rsidR="00494DA5" w:rsidRPr="00494DA5" w:rsidRDefault="00494DA5" w:rsidP="00494DA5">
                    <w:pPr>
                      <w:spacing w:after="0"/>
                      <w:rPr>
                        <w:rFonts w:ascii="Aptos" w:eastAsia="Aptos" w:hAnsi="Aptos" w:cs="Aptos"/>
                        <w:noProof/>
                        <w:color w:val="000000"/>
                        <w:sz w:val="20"/>
                        <w:szCs w:val="20"/>
                      </w:rPr>
                    </w:pPr>
                    <w:r w:rsidRPr="00494DA5">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17ECC"/>
    <w:multiLevelType w:val="hybridMultilevel"/>
    <w:tmpl w:val="546882F0"/>
    <w:lvl w:ilvl="0" w:tplc="0EAC4A50">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2C1E7B"/>
    <w:multiLevelType w:val="hybridMultilevel"/>
    <w:tmpl w:val="280EF04E"/>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7DDB0C8E"/>
    <w:multiLevelType w:val="hybridMultilevel"/>
    <w:tmpl w:val="280EF04E"/>
    <w:lvl w:ilvl="0" w:tplc="FFFFFFFF">
      <w:start w:val="1"/>
      <w:numFmt w:val="decimal"/>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num w:numId="1" w16cid:durableId="1318343545">
    <w:abstractNumId w:val="0"/>
  </w:num>
  <w:num w:numId="2" w16cid:durableId="1616399372">
    <w:abstractNumId w:val="1"/>
  </w:num>
  <w:num w:numId="3" w16cid:durableId="1227909230">
    <w:abstractNumId w:val="2"/>
  </w:num>
  <w:num w:numId="4" w16cid:durableId="1139999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2164D"/>
    <w:rsid w:val="001551CE"/>
    <w:rsid w:val="001E39E5"/>
    <w:rsid w:val="00234B32"/>
    <w:rsid w:val="00236989"/>
    <w:rsid w:val="003C4565"/>
    <w:rsid w:val="004065FD"/>
    <w:rsid w:val="00494DA5"/>
    <w:rsid w:val="00566FAB"/>
    <w:rsid w:val="005862F3"/>
    <w:rsid w:val="005E21C5"/>
    <w:rsid w:val="006F0FF0"/>
    <w:rsid w:val="007832A7"/>
    <w:rsid w:val="008353BD"/>
    <w:rsid w:val="008578E3"/>
    <w:rsid w:val="008E7C45"/>
    <w:rsid w:val="008F2499"/>
    <w:rsid w:val="00985517"/>
    <w:rsid w:val="009D739E"/>
    <w:rsid w:val="00A37021"/>
    <w:rsid w:val="00AD3A53"/>
    <w:rsid w:val="00B422D8"/>
    <w:rsid w:val="00BA7A4A"/>
    <w:rsid w:val="00BB583E"/>
    <w:rsid w:val="00BE1842"/>
    <w:rsid w:val="00C35805"/>
    <w:rsid w:val="00C92B0A"/>
    <w:rsid w:val="00D12AB1"/>
    <w:rsid w:val="00D6104A"/>
    <w:rsid w:val="00D87CF3"/>
    <w:rsid w:val="00E57AFE"/>
    <w:rsid w:val="00E70357"/>
    <w:rsid w:val="00EA537C"/>
    <w:rsid w:val="00EF796D"/>
    <w:rsid w:val="00F735C5"/>
    <w:rsid w:val="00F8052E"/>
    <w:rsid w:val="00F83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C347"/>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table" w:styleId="TableGrid">
    <w:name w:val="Table Grid"/>
    <w:basedOn w:val="TableNormal"/>
    <w:uiPriority w:val="59"/>
    <w:rsid w:val="003C4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52E"/>
    <w:pPr>
      <w:ind w:left="720"/>
      <w:contextualSpacing/>
    </w:pPr>
  </w:style>
  <w:style w:type="character" w:styleId="Hyperlink">
    <w:name w:val="Hyperlink"/>
    <w:basedOn w:val="DefaultParagraphFont"/>
    <w:uiPriority w:val="99"/>
    <w:unhideWhenUsed/>
    <w:rsid w:val="007832A7"/>
    <w:rPr>
      <w:color w:val="0000FF" w:themeColor="hyperlink"/>
      <w:u w:val="single"/>
    </w:rPr>
  </w:style>
  <w:style w:type="character" w:styleId="UnresolvedMention">
    <w:name w:val="Unresolved Mention"/>
    <w:basedOn w:val="DefaultParagraphFont"/>
    <w:uiPriority w:val="99"/>
    <w:semiHidden/>
    <w:unhideWhenUsed/>
    <w:rsid w:val="007832A7"/>
    <w:rPr>
      <w:color w:val="605E5C"/>
      <w:shd w:val="clear" w:color="auto" w:fill="E1DFDD"/>
    </w:rPr>
  </w:style>
  <w:style w:type="paragraph" w:styleId="Header">
    <w:name w:val="header"/>
    <w:basedOn w:val="Normal"/>
    <w:link w:val="HeaderChar"/>
    <w:uiPriority w:val="99"/>
    <w:unhideWhenUsed/>
    <w:rsid w:val="00494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udch@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3379</Characters>
  <Application>Microsoft Office Word</Application>
  <DocSecurity>0</DocSecurity>
  <Lines>88</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Aibek Abdybakirov</cp:lastModifiedBy>
  <cp:revision>2</cp:revision>
  <cp:lastPrinted>2019-03-25T05:15:00Z</cp:lastPrinted>
  <dcterms:created xsi:type="dcterms:W3CDTF">2026-04-13T05:29:00Z</dcterms:created>
  <dcterms:modified xsi:type="dcterms:W3CDTF">2026-04-13T05:29:00Z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38062d04,432cae49,26891828</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2026-04-13T05:29:01Z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d096953d-68cd-44d9-9469-09d5e9e2c86c</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