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DE9D" w14:textId="77777777" w:rsidR="006831E9" w:rsidRPr="006766D8" w:rsidRDefault="006831E9" w:rsidP="006831E9">
      <w:pPr>
        <w:pStyle w:val="Title"/>
      </w:pPr>
      <w:bookmarkStart w:id="0" w:name="_Hlk220828427"/>
      <w:bookmarkStart w:id="1" w:name="_Hlk220828493"/>
      <w:r w:rsidRPr="006766D8">
        <w:t xml:space="preserve">Request for </w:t>
      </w:r>
      <w:r>
        <w:t>E</w:t>
      </w:r>
      <w:r w:rsidRPr="006766D8">
        <w:t xml:space="preserve">xpression of </w:t>
      </w:r>
      <w:r>
        <w:t>I</w:t>
      </w:r>
      <w:r w:rsidRPr="006766D8">
        <w:t>nterest</w:t>
      </w:r>
    </w:p>
    <w:p w14:paraId="340B988E" w14:textId="09D9B588" w:rsidR="00ED2AB6" w:rsidRDefault="00ED2AB6" w:rsidP="00ED2AB6">
      <w:pPr>
        <w:pStyle w:val="Title"/>
      </w:pPr>
      <w:r w:rsidRPr="00ED2AB6">
        <w:t xml:space="preserve">Specialized Individual Consultant in </w:t>
      </w:r>
      <w:r w:rsidR="008E1FFE">
        <w:t>Shari’ah Governance</w:t>
      </w:r>
    </w:p>
    <w:p w14:paraId="5BC7EBA9" w14:textId="391A2A43" w:rsidR="00C04A82" w:rsidRPr="00087892" w:rsidRDefault="00ED2AB6" w:rsidP="00087892">
      <w:pPr>
        <w:pStyle w:val="Title"/>
        <w:rPr>
          <w:sz w:val="22"/>
          <w:szCs w:val="22"/>
        </w:rPr>
      </w:pPr>
      <w:r w:rsidRPr="00ED2AB6">
        <w:t xml:space="preserve">Technical Report on </w:t>
      </w:r>
      <w:bookmarkEnd w:id="0"/>
      <w:r w:rsidR="008E1FFE">
        <w:t>Comparison of Shari’ah Governance Frameworks</w:t>
      </w:r>
    </w:p>
    <w:p w14:paraId="0C82D324" w14:textId="77777777" w:rsidR="006831E9" w:rsidRDefault="006831E9" w:rsidP="00CA7FAD">
      <w:pPr>
        <w:pStyle w:val="NormalWeb"/>
        <w:shd w:val="clear" w:color="auto" w:fill="FFFFFF"/>
        <w:spacing w:before="0" w:beforeAutospacing="0" w:after="0" w:afterAutospacing="0"/>
        <w:rPr>
          <w:rStyle w:val="Strong"/>
          <w:rFonts w:asciiTheme="minorHAnsi" w:eastAsia="Calibri" w:hAnsiTheme="minorHAnsi" w:cstheme="minorHAnsi"/>
          <w:color w:val="212529"/>
        </w:rPr>
      </w:pPr>
      <w:bookmarkStart w:id="2" w:name="_Hlk220828257"/>
      <w:bookmarkStart w:id="3" w:name="_Hlk220828441"/>
    </w:p>
    <w:p w14:paraId="780A0F37" w14:textId="2AD6C651"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34F6A917" w14:textId="57567962"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75C1B7C9" w14:textId="0CD89A02"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23B49175" w14:textId="7DF250ED"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613CFDA8" w14:textId="1847991E" w:rsidR="00CA7FAD" w:rsidRPr="00CA7FAD" w:rsidRDefault="00CA7FAD" w:rsidP="00CA7FAD">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2"/>
    <w:p w14:paraId="1328C613" w14:textId="77777777" w:rsidR="00CA7FAD" w:rsidRDefault="00CA7FAD" w:rsidP="0018788E">
      <w:pPr>
        <w:pStyle w:val="Subtitle"/>
      </w:pPr>
    </w:p>
    <w:bookmarkEnd w:id="1"/>
    <w:bookmarkEnd w:id="3"/>
    <w:p w14:paraId="65890D82" w14:textId="0DC9D623" w:rsidR="00C04A82" w:rsidRPr="006766D8" w:rsidRDefault="00837A14" w:rsidP="00CA7FAD">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3B96F689"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ED2AB6">
        <w:t xml:space="preserve"> revised February 202</w:t>
      </w:r>
      <w:r w:rsidR="009B0A7F">
        <w:t>3</w:t>
      </w:r>
      <w:r w:rsidRPr="006766D8">
        <w:t>)</w:t>
      </w:r>
      <w:r w:rsidR="00997F6E" w:rsidRPr="006766D8">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a graduate degree (18 years of education) in Islamic finance, commerce, finance, public policy / administration, business administration or any related field and / or equivalent Islamic scholarly qualification and / or equivalent professional qualification(s) such as CIPA, CSAA, etc.;</w:t>
      </w:r>
    </w:p>
    <w:p w14:paraId="1211390B" w14:textId="77777777" w:rsidR="009050A5" w:rsidRPr="006766D8" w:rsidRDefault="009050A5" w:rsidP="00CD5CE4">
      <w:pPr>
        <w:pStyle w:val="ListParagraph"/>
        <w:numPr>
          <w:ilvl w:val="1"/>
          <w:numId w:val="30"/>
        </w:numPr>
      </w:pPr>
      <w:r w:rsidRPr="006766D8">
        <w:t xml:space="preserve">experience of at least one (1) year conducting consultancy services, in particular, experience of conducting research and collection of primary data, preferably in a regulatory or research institution; </w:t>
      </w:r>
    </w:p>
    <w:p w14:paraId="39C61212" w14:textId="77777777" w:rsidR="009050A5" w:rsidRPr="006766D8" w:rsidRDefault="009050A5" w:rsidP="00CD5CE4">
      <w:pPr>
        <w:pStyle w:val="ListParagraph"/>
        <w:numPr>
          <w:ilvl w:val="1"/>
          <w:numId w:val="30"/>
        </w:numPr>
      </w:pPr>
      <w:r w:rsidRPr="006766D8">
        <w:lastRenderedPageBreak/>
        <w:t>experience in writing research reports such as country reports, technical reports etc.;</w:t>
      </w:r>
    </w:p>
    <w:p w14:paraId="7EB0036B" w14:textId="77777777" w:rsidR="009050A5" w:rsidRPr="006766D8" w:rsidRDefault="009050A5" w:rsidP="00CD5CE4">
      <w:pPr>
        <w:pStyle w:val="ListParagraph"/>
        <w:numPr>
          <w:ilvl w:val="1"/>
          <w:numId w:val="30"/>
        </w:numPr>
      </w:pPr>
      <w:r w:rsidRPr="006766D8">
        <w:t>knowledge and understanding of Islamic finance principles and practical applications / operations;</w:t>
      </w:r>
    </w:p>
    <w:p w14:paraId="418019A1" w14:textId="77777777" w:rsidR="009050A5" w:rsidRPr="006766D8" w:rsidRDefault="009050A5" w:rsidP="00CD5CE4">
      <w:pPr>
        <w:pStyle w:val="ListParagraph"/>
        <w:numPr>
          <w:ilvl w:val="1"/>
          <w:numId w:val="30"/>
        </w:numPr>
      </w:pPr>
      <w:r w:rsidRPr="006766D8">
        <w:t>knowledge and experience of coordinating with regulatory and supervisory institutions;</w:t>
      </w:r>
    </w:p>
    <w:p w14:paraId="6A6415C5" w14:textId="77777777" w:rsidR="009050A5" w:rsidRPr="006766D8" w:rsidRDefault="009050A5" w:rsidP="00CD5CE4">
      <w:pPr>
        <w:pStyle w:val="ListParagraph"/>
        <w:numPr>
          <w:ilvl w:val="1"/>
          <w:numId w:val="30"/>
        </w:numPr>
      </w:pPr>
      <w:r w:rsidRPr="006766D8">
        <w:t xml:space="preserve">possess high level of English language proficiency; Arabic language proficiency will be an added advantage, while knowledge of any of the local languages including, Bahasa Indonesia / </w:t>
      </w:r>
      <w:proofErr w:type="spellStart"/>
      <w:r w:rsidRPr="006766D8">
        <w:t>Malayu</w:t>
      </w:r>
      <w:proofErr w:type="spellEnd"/>
      <w:r w:rsidRPr="006766D8">
        <w:t>,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6B1E3A83" w14:textId="3F4476C0"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w:t>
      </w:r>
      <w:proofErr w:type="gramStart"/>
      <w:r w:rsidRPr="006766D8">
        <w:t>are</w:t>
      </w:r>
      <w:proofErr w:type="gramEnd"/>
      <w:r w:rsidRPr="006766D8">
        <w:t xml:space="preserve"> invited to read clauses 1.12.1 and 1.12.2 of the </w:t>
      </w:r>
      <w:r w:rsidR="004F21FE" w:rsidRPr="006766D8">
        <w:t>“</w:t>
      </w:r>
      <w:r w:rsidRPr="006766D8">
        <w:t>Procurement Policy of the IsDB Guidelines for the Procurement of Consultant Services under IsDB Project Financing, April 2019 edition</w:t>
      </w:r>
      <w:r w:rsidR="00ED2AB6">
        <w:t xml:space="preserve"> revised February 2023</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3017C49A"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hyperlink r:id="rId8" w:history="1">
        <w:r w:rsidR="00087892" w:rsidRPr="00A0094C">
          <w:rPr>
            <w:rStyle w:val="Hyperlink"/>
          </w:rPr>
          <w:t>RRDC@aaoifi.com</w:t>
        </w:r>
      </w:hyperlink>
      <w:r w:rsidR="00087892">
        <w:t xml:space="preserve"> </w:t>
      </w:r>
      <w:r w:rsidR="00C04A82" w:rsidRPr="006766D8">
        <w:t xml:space="preserve">no later </w:t>
      </w:r>
      <w:r w:rsidR="00087892" w:rsidRPr="006766D8">
        <w:t xml:space="preserve">than </w:t>
      </w:r>
      <w:r w:rsidR="00087892">
        <w:t>21 April 2026</w:t>
      </w:r>
      <w:r w:rsidR="0008789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2859BA" w:rsidRDefault="00503616" w:rsidP="002859BA">
      <w:pPr>
        <w:spacing w:before="120" w:after="120"/>
        <w:rPr>
          <w:b/>
          <w:bCs/>
          <w:spacing w:val="-2"/>
        </w:rPr>
      </w:pPr>
      <w:bookmarkStart w:id="4" w:name="_Hlk220828314"/>
      <w:r w:rsidRPr="002859BA">
        <w:rPr>
          <w:b/>
          <w:bCs/>
          <w:spacing w:val="-2"/>
        </w:rPr>
        <w:t>Mr. Farhan Noor</w:t>
      </w:r>
    </w:p>
    <w:p w14:paraId="725EFE0C" w14:textId="3378B2F4" w:rsidR="006D4EAB" w:rsidRPr="002859BA" w:rsidRDefault="006D4EAB" w:rsidP="002859BA">
      <w:pPr>
        <w:spacing w:before="120" w:after="120"/>
        <w:rPr>
          <w:b/>
          <w:bCs/>
          <w:spacing w:val="-2"/>
        </w:rPr>
      </w:pPr>
      <w:r w:rsidRPr="002859BA">
        <w:rPr>
          <w:b/>
          <w:bCs/>
          <w:spacing w:val="-2"/>
        </w:rPr>
        <w:t>Executive Director – Strategic Developments</w:t>
      </w:r>
    </w:p>
    <w:p w14:paraId="60A7E15A" w14:textId="77777777" w:rsidR="00F82D9F" w:rsidRPr="002859BA" w:rsidRDefault="00F82D9F" w:rsidP="002859BA">
      <w:pPr>
        <w:spacing w:before="120" w:after="120"/>
        <w:rPr>
          <w:b/>
          <w:bCs/>
          <w:spacing w:val="-2"/>
        </w:rPr>
      </w:pPr>
      <w:r w:rsidRPr="002859BA">
        <w:rPr>
          <w:b/>
          <w:bCs/>
          <w:spacing w:val="-2"/>
        </w:rPr>
        <w:t>PO Box 1176, Manama, Kingdom of Bahrain</w:t>
      </w:r>
    </w:p>
    <w:p w14:paraId="5EB06DF4" w14:textId="38789DEE" w:rsidR="002E7CF2" w:rsidRPr="002859BA" w:rsidRDefault="00C04A82" w:rsidP="002859BA">
      <w:pPr>
        <w:spacing w:before="120" w:after="120"/>
        <w:rPr>
          <w:b/>
          <w:bCs/>
          <w:spacing w:val="-2"/>
        </w:rPr>
      </w:pPr>
      <w:r w:rsidRPr="002859BA">
        <w:rPr>
          <w:b/>
          <w:bCs/>
          <w:spacing w:val="-2"/>
        </w:rPr>
        <w:t xml:space="preserve">Tel: </w:t>
      </w:r>
      <w:r w:rsidR="002E7CF2" w:rsidRPr="002859BA">
        <w:rPr>
          <w:b/>
          <w:bCs/>
          <w:spacing w:val="-2"/>
        </w:rPr>
        <w:t>+973 1737</w:t>
      </w:r>
      <w:r w:rsidR="00804356" w:rsidRPr="002859BA">
        <w:rPr>
          <w:b/>
          <w:bCs/>
          <w:spacing w:val="-2"/>
        </w:rPr>
        <w:t xml:space="preserve"> </w:t>
      </w:r>
      <w:r w:rsidR="002E7CF2" w:rsidRPr="002859BA">
        <w:rPr>
          <w:b/>
          <w:bCs/>
          <w:spacing w:val="-2"/>
        </w:rPr>
        <w:t>5412</w:t>
      </w:r>
    </w:p>
    <w:p w14:paraId="70BA0667" w14:textId="0D74B58D" w:rsidR="00C04A82" w:rsidRPr="002859BA" w:rsidRDefault="00C04A82" w:rsidP="002859BA">
      <w:pPr>
        <w:spacing w:before="120" w:after="120"/>
        <w:rPr>
          <w:b/>
          <w:bCs/>
          <w:spacing w:val="-2"/>
        </w:rPr>
      </w:pPr>
      <w:r w:rsidRPr="002859BA">
        <w:rPr>
          <w:b/>
          <w:bCs/>
          <w:spacing w:val="-2"/>
        </w:rPr>
        <w:t xml:space="preserve">Fax: </w:t>
      </w:r>
      <w:r w:rsidR="00A45CE6" w:rsidRPr="002859BA">
        <w:rPr>
          <w:b/>
          <w:bCs/>
          <w:spacing w:val="-2"/>
        </w:rPr>
        <w:t>+973 1725 0194</w:t>
      </w:r>
    </w:p>
    <w:p w14:paraId="2B94863F" w14:textId="25B8D23F" w:rsidR="00C04A82" w:rsidRPr="002859BA" w:rsidRDefault="00C04A82" w:rsidP="002859BA">
      <w:pPr>
        <w:spacing w:before="120" w:after="120"/>
        <w:rPr>
          <w:b/>
          <w:bCs/>
          <w:spacing w:val="-2"/>
        </w:rPr>
      </w:pPr>
      <w:r w:rsidRPr="002859BA">
        <w:rPr>
          <w:b/>
          <w:bCs/>
          <w:spacing w:val="-2"/>
        </w:rPr>
        <w:t xml:space="preserve">E-mail: </w:t>
      </w:r>
      <w:r w:rsidR="002E7CF2" w:rsidRPr="002859BA">
        <w:rPr>
          <w:b/>
          <w:bCs/>
          <w:spacing w:val="-2"/>
        </w:rPr>
        <w:t>RRDC@aaoifi</w:t>
      </w:r>
      <w:r w:rsidR="00A379C2" w:rsidRPr="002859BA">
        <w:rPr>
          <w:b/>
          <w:bCs/>
          <w:spacing w:val="-2"/>
        </w:rPr>
        <w:t>.com</w:t>
      </w:r>
    </w:p>
    <w:p w14:paraId="7BEED6DB" w14:textId="0C4B1B52" w:rsidR="00C04A82" w:rsidRPr="002859BA" w:rsidRDefault="00C04A82" w:rsidP="002859BA">
      <w:pPr>
        <w:spacing w:before="120" w:after="120"/>
        <w:rPr>
          <w:b/>
          <w:bCs/>
          <w:spacing w:val="-2"/>
        </w:rPr>
      </w:pPr>
      <w:r w:rsidRPr="002859BA">
        <w:rPr>
          <w:b/>
          <w:bCs/>
          <w:spacing w:val="-2"/>
        </w:rPr>
        <w:t>Website:</w:t>
      </w:r>
      <w:r w:rsidRPr="002859BA">
        <w:rPr>
          <w:b/>
          <w:bCs/>
        </w:rPr>
        <w:t xml:space="preserve"> </w:t>
      </w:r>
      <w:hyperlink r:id="rId9" w:history="1">
        <w:r w:rsidR="00307522" w:rsidRPr="002859BA">
          <w:rPr>
            <w:rStyle w:val="Hyperlink"/>
            <w:b/>
            <w:bCs/>
            <w:spacing w:val="-2"/>
          </w:rPr>
          <w:t>www.aaoifi.com</w:t>
        </w:r>
      </w:hyperlink>
    </w:p>
    <w:bookmarkEnd w:id="4"/>
    <w:p w14:paraId="6F51E122" w14:textId="77777777" w:rsidR="00307522" w:rsidRPr="006766D8" w:rsidRDefault="00307522" w:rsidP="00C04A82">
      <w:pPr>
        <w:rPr>
          <w:spacing w:val="-2"/>
        </w:rPr>
      </w:pP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38215388" w:rsidR="008E1FFE" w:rsidRDefault="008E1FFE" w:rsidP="00333BCE">
      <w:r>
        <w:br w:type="page"/>
      </w: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Default="00A659A7" w:rsidP="00A659A7">
      <w:pPr>
        <w:pStyle w:val="Title"/>
      </w:pPr>
      <w:r w:rsidRPr="006766D8">
        <w:t>Terms of reference (TOR) for consultancy services</w:t>
      </w:r>
    </w:p>
    <w:p w14:paraId="004FC292" w14:textId="3FEB1244" w:rsidR="00ED2AB6" w:rsidRDefault="00ED2AB6" w:rsidP="00ED2AB6">
      <w:pPr>
        <w:pStyle w:val="Title"/>
      </w:pPr>
      <w:r w:rsidRPr="00ED2AB6">
        <w:t xml:space="preserve">Specialized Individual Consultant in </w:t>
      </w:r>
      <w:r w:rsidR="002B08E4">
        <w:t>Shari’ah Governance</w:t>
      </w:r>
    </w:p>
    <w:p w14:paraId="41803ED4" w14:textId="38289DD6" w:rsidR="00ED2AB6" w:rsidRPr="00ED2AB6" w:rsidRDefault="00ED2AB6" w:rsidP="00087892">
      <w:pPr>
        <w:jc w:val="center"/>
      </w:pPr>
      <w:r w:rsidRPr="00ED2AB6">
        <w:t xml:space="preserve">Technical Report on </w:t>
      </w:r>
      <w:r w:rsidR="002B08E4" w:rsidRPr="002B08E4">
        <w:t>Comparison of Shari’ah Governance Frameworks</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xml:space="preserve">) that will assist in </w:t>
      </w:r>
      <w:proofErr w:type="gramStart"/>
      <w:r w:rsidRPr="006766D8">
        <w:t>a number of</w:t>
      </w:r>
      <w:proofErr w:type="gramEnd"/>
      <w:r w:rsidRPr="006766D8">
        <w:t xml:space="preserve">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identify and understand the needs of the industry in general and those of the RSAs in specific (including special needs of certain jurisdictions), the challenges confronting them, and the opportunities on offer;</w:t>
      </w:r>
    </w:p>
    <w:p w14:paraId="51A5DF11" w14:textId="77777777" w:rsidR="00DA0ADE" w:rsidRPr="006766D8" w:rsidRDefault="00DA0ADE" w:rsidP="00371B52">
      <w:pPr>
        <w:pStyle w:val="ListParagraph"/>
        <w:numPr>
          <w:ilvl w:val="1"/>
          <w:numId w:val="3"/>
        </w:numPr>
      </w:pPr>
      <w:r w:rsidRPr="006766D8">
        <w:t>establish a dedicated communication channel with the RSAs so that exchange of information, sharing of views and experiences, discussion on technical issues, problem solving, and consensus building can be achieved in a timely and effective manner;</w:t>
      </w:r>
    </w:p>
    <w:p w14:paraId="7FAB3999" w14:textId="77777777" w:rsidR="00DA0ADE" w:rsidRPr="006766D8" w:rsidRDefault="00DA0ADE" w:rsidP="00371B52">
      <w:pPr>
        <w:pStyle w:val="ListParagraph"/>
        <w:numPr>
          <w:ilvl w:val="1"/>
          <w:numId w:val="3"/>
        </w:numPr>
      </w:pPr>
      <w:r w:rsidRPr="006766D8">
        <w:t>provide support to the RSAs in adopting AAOIFI standards and its rigorous and consistent application / implementation in respective jurisdictions;</w:t>
      </w:r>
    </w:p>
    <w:p w14:paraId="235646C5" w14:textId="77777777" w:rsidR="00E43390" w:rsidRPr="006766D8" w:rsidRDefault="00DA0ADE" w:rsidP="00371B52">
      <w:pPr>
        <w:pStyle w:val="ListParagraph"/>
        <w:numPr>
          <w:ilvl w:val="1"/>
          <w:numId w:val="3"/>
        </w:numPr>
      </w:pPr>
      <w:r w:rsidRPr="006766D8">
        <w:t>build capacity of RSAs through provisioning of fellowships and periodic conduct of workshops and other events in the areas of standard setting of AAOIFI;</w:t>
      </w:r>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3D79B477" w14:textId="6D904BD2" w:rsidR="00ED2AB6" w:rsidRPr="006766D8" w:rsidRDefault="00ED2AB6" w:rsidP="00087892">
      <w:pPr>
        <w:pStyle w:val="ListParagraph"/>
      </w:pPr>
      <w:r w:rsidRPr="00D40761">
        <w:rPr>
          <w:rFonts w:ascii="Segoe UI" w:eastAsia="Times New Roman" w:hAnsi="Segoe UI" w:cs="Segoe UI"/>
          <w:b/>
          <w:bCs/>
          <w:color w:val="172B4D"/>
          <w:sz w:val="21"/>
          <w:szCs w:val="21"/>
        </w:rPr>
        <w:lastRenderedPageBreak/>
        <w:t>Type of Contract, Level of Effort, and Deliverables</w:t>
      </w:r>
      <w:r>
        <w:rPr>
          <w:rFonts w:ascii="Segoe UI" w:eastAsia="Times New Roman" w:hAnsi="Segoe UI" w:cs="Segoe UI"/>
          <w:b/>
          <w:bCs/>
          <w:color w:val="172B4D"/>
          <w:sz w:val="21"/>
          <w:szCs w:val="21"/>
        </w:rPr>
        <w:t xml:space="preserve"> </w:t>
      </w:r>
      <w:r w:rsidRPr="00D40761">
        <w:rPr>
          <w:rFonts w:ascii="Segoe UI" w:eastAsia="Times New Roman" w:hAnsi="Segoe UI" w:cs="Segoe UI"/>
          <w:b/>
          <w:bCs/>
          <w:color w:val="172B4D"/>
          <w:sz w:val="21"/>
          <w:szCs w:val="21"/>
        </w:rPr>
        <w:t>Type of Contract and Payment Modality</w:t>
      </w:r>
      <w:r w:rsidRPr="00D40761">
        <w:rPr>
          <w:rFonts w:ascii="Segoe UI" w:eastAsia="Times New Roman" w:hAnsi="Segoe UI" w:cs="Segoe UI"/>
          <w:color w:val="172B4D"/>
          <w:sz w:val="21"/>
          <w:szCs w:val="21"/>
        </w:rPr>
        <w:br/>
        <w:t xml:space="preserve">The consultancy engagement shall be governed by a </w:t>
      </w:r>
      <w:r w:rsidRPr="00D40761">
        <w:rPr>
          <w:rFonts w:ascii="Segoe UI" w:eastAsia="Times New Roman" w:hAnsi="Segoe UI" w:cs="Segoe UI"/>
          <w:b/>
          <w:bCs/>
          <w:color w:val="172B4D"/>
          <w:sz w:val="21"/>
          <w:szCs w:val="21"/>
        </w:rPr>
        <w:t>time-based contract</w:t>
      </w:r>
    </w:p>
    <w:p w14:paraId="253BDE92" w14:textId="7CC81F10" w:rsidR="00893AC0" w:rsidRPr="006766D8" w:rsidRDefault="00893AC0" w:rsidP="00371B52">
      <w:pPr>
        <w:pStyle w:val="Heading1"/>
      </w:pPr>
      <w:r w:rsidRPr="006766D8">
        <w:t>Term of the assignment</w:t>
      </w:r>
    </w:p>
    <w:p w14:paraId="1020838C" w14:textId="2806A6EC" w:rsidR="00893AC0" w:rsidRPr="006766D8"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6BAD7171"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consultant – 30 points;</w:t>
      </w:r>
    </w:p>
    <w:p w14:paraId="6AED2E53" w14:textId="4A6108A3" w:rsidR="002C5AB5" w:rsidRPr="006766D8" w:rsidRDefault="002C5AB5" w:rsidP="0014132B">
      <w:pPr>
        <w:pStyle w:val="ListParagraph"/>
        <w:numPr>
          <w:ilvl w:val="1"/>
          <w:numId w:val="32"/>
        </w:numPr>
      </w:pPr>
      <w:r w:rsidRPr="006766D8">
        <w:t>adequacy of consultant’s expertise and experience of the assignment – 50 points;</w:t>
      </w:r>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087892">
          <w:headerReference w:type="even" r:id="rId10"/>
          <w:headerReference w:type="default" r:id="rId11"/>
          <w:footerReference w:type="default" r:id="rId12"/>
          <w:headerReference w:type="first" r:id="rId13"/>
          <w:pgSz w:w="11906" w:h="16838" w:code="9"/>
          <w:pgMar w:top="1440" w:right="1080" w:bottom="1260" w:left="1080" w:header="706" w:footer="706" w:gutter="0"/>
          <w:pgNumType w:start="1"/>
          <w:cols w:space="708"/>
          <w:docGrid w:linePitch="360"/>
        </w:sectPr>
      </w:pPr>
      <w:r w:rsidRPr="006766D8">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3DC4F988" w14:textId="4FEE5CDE" w:rsidR="00BE2DA3" w:rsidRPr="006766D8" w:rsidRDefault="00C13BCE" w:rsidP="00994CAD">
      <w:pPr>
        <w:pStyle w:val="ListParagraph"/>
        <w:numPr>
          <w:ilvl w:val="0"/>
          <w:numId w:val="46"/>
        </w:numPr>
      </w:pPr>
      <w:r w:rsidRPr="006766D8">
        <w:t xml:space="preserve">The consultant will be required to work </w:t>
      </w:r>
      <w:r w:rsidR="00A36422">
        <w:t>on following project:</w:t>
      </w:r>
    </w:p>
    <w:p w14:paraId="5A826313" w14:textId="6201D2EF" w:rsidR="0054197A" w:rsidRPr="006766D8" w:rsidRDefault="00245E51" w:rsidP="00245E51">
      <w:pPr>
        <w:pStyle w:val="ListParagraph"/>
        <w:numPr>
          <w:ilvl w:val="1"/>
          <w:numId w:val="47"/>
        </w:numPr>
      </w:pPr>
      <w:r>
        <w:t xml:space="preserve">Technical report: </w:t>
      </w:r>
      <w:r w:rsidR="008E1FFE">
        <w:t>Comparison of Shari’ah Governance Frameworks</w:t>
      </w:r>
      <w:r w:rsidR="00686EB2">
        <w:t>.</w:t>
      </w:r>
    </w:p>
    <w:p w14:paraId="62708946" w14:textId="303EB12C" w:rsidR="00F574A9" w:rsidRPr="006766D8" w:rsidRDefault="007B40BF" w:rsidP="00556AC7">
      <w:pPr>
        <w:pStyle w:val="ListParagraph"/>
      </w:pPr>
      <w:r>
        <w:t xml:space="preserve">The outline for this </w:t>
      </w:r>
      <w:r w:rsidR="00E30344">
        <w:t>report</w:t>
      </w:r>
      <w:r w:rsidR="00BD5C05" w:rsidRPr="00BD5C05">
        <w:t xml:space="preserve"> is provided below. AAOIFI reserves the right to amend, refine, or adjust the project scope, structure, and deliverables at any stage, as may be required.</w:t>
      </w:r>
    </w:p>
    <w:tbl>
      <w:tblPr>
        <w:tblStyle w:val="AAOIFIBandedTable"/>
        <w:tblW w:w="4511" w:type="pct"/>
        <w:tblLook w:val="04A0" w:firstRow="1" w:lastRow="0" w:firstColumn="1" w:lastColumn="0" w:noHBand="0" w:noVBand="1"/>
      </w:tblPr>
      <w:tblGrid>
        <w:gridCol w:w="866"/>
        <w:gridCol w:w="3449"/>
        <w:gridCol w:w="4469"/>
      </w:tblGrid>
      <w:tr w:rsidR="00845B8A" w:rsidRPr="006766D8" w14:paraId="3EA62908" w14:textId="77777777" w:rsidTr="00DA4539">
        <w:trPr>
          <w:cnfStyle w:val="100000000000" w:firstRow="1" w:lastRow="0" w:firstColumn="0" w:lastColumn="0" w:oddVBand="0" w:evenVBand="0" w:oddHBand="0" w:evenHBand="0" w:firstRowFirstColumn="0" w:firstRowLastColumn="0" w:lastRowFirstColumn="0" w:lastRowLastColumn="0"/>
          <w:trHeight w:val="20"/>
        </w:trPr>
        <w:tc>
          <w:tcPr>
            <w:tcW w:w="493" w:type="pct"/>
          </w:tcPr>
          <w:p w14:paraId="124F390B" w14:textId="77777777" w:rsidR="00556AC7" w:rsidRPr="008636C3" w:rsidRDefault="00556AC7" w:rsidP="00252515">
            <w:pPr>
              <w:spacing w:after="240"/>
            </w:pPr>
            <w:r w:rsidRPr="008636C3">
              <w:t>S. No.</w:t>
            </w:r>
          </w:p>
        </w:tc>
        <w:tc>
          <w:tcPr>
            <w:tcW w:w="1963" w:type="pct"/>
          </w:tcPr>
          <w:p w14:paraId="044C2315" w14:textId="1C5C0666" w:rsidR="00556AC7" w:rsidRPr="008636C3" w:rsidRDefault="00E30344" w:rsidP="00252515">
            <w:pPr>
              <w:spacing w:after="240"/>
            </w:pPr>
            <w:r>
              <w:t>Section</w:t>
            </w:r>
          </w:p>
        </w:tc>
        <w:tc>
          <w:tcPr>
            <w:tcW w:w="2544" w:type="pct"/>
          </w:tcPr>
          <w:p w14:paraId="77EA8610" w14:textId="51496F12" w:rsidR="00556AC7" w:rsidRPr="008636C3" w:rsidRDefault="00C71F35" w:rsidP="00845B8A">
            <w:pPr>
              <w:spacing w:after="100"/>
            </w:pPr>
            <w:r w:rsidRPr="008636C3">
              <w:t>Subsection / remarks</w:t>
            </w:r>
          </w:p>
        </w:tc>
      </w:tr>
      <w:tr w:rsidR="00845B8A" w:rsidRPr="00E1103E" w14:paraId="30BB0FAC" w14:textId="77777777" w:rsidTr="00DA4539">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06D4BBB3"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w:t>
            </w:r>
          </w:p>
        </w:tc>
        <w:tc>
          <w:tcPr>
            <w:tcW w:w="1963" w:type="pct"/>
            <w:hideMark/>
          </w:tcPr>
          <w:p w14:paraId="2A316EFC"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About AAOIFI</w:t>
            </w:r>
          </w:p>
        </w:tc>
        <w:tc>
          <w:tcPr>
            <w:tcW w:w="2544" w:type="pct"/>
            <w:hideMark/>
          </w:tcPr>
          <w:p w14:paraId="457B92C9"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7E180467"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13550D7B"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2</w:t>
            </w:r>
          </w:p>
        </w:tc>
        <w:tc>
          <w:tcPr>
            <w:tcW w:w="1963" w:type="pct"/>
            <w:hideMark/>
          </w:tcPr>
          <w:p w14:paraId="40F2F2E9"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Preface</w:t>
            </w:r>
          </w:p>
        </w:tc>
        <w:tc>
          <w:tcPr>
            <w:tcW w:w="2544" w:type="pct"/>
            <w:hideMark/>
          </w:tcPr>
          <w:p w14:paraId="435DBC92"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34E3F9FA" w14:textId="77777777" w:rsidTr="00DA4539">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7A6DDBAD"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3</w:t>
            </w:r>
          </w:p>
        </w:tc>
        <w:tc>
          <w:tcPr>
            <w:tcW w:w="1963" w:type="pct"/>
            <w:hideMark/>
          </w:tcPr>
          <w:p w14:paraId="63916A37"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Messages</w:t>
            </w:r>
          </w:p>
        </w:tc>
        <w:tc>
          <w:tcPr>
            <w:tcW w:w="2544" w:type="pct"/>
            <w:hideMark/>
          </w:tcPr>
          <w:p w14:paraId="5CA4AF3F"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From Chairman &amp; SG</w:t>
            </w:r>
          </w:p>
        </w:tc>
      </w:tr>
      <w:tr w:rsidR="00845B8A" w:rsidRPr="00E1103E" w14:paraId="43AF53A9"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28F9A97D"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4</w:t>
            </w:r>
          </w:p>
        </w:tc>
        <w:tc>
          <w:tcPr>
            <w:tcW w:w="1963" w:type="pct"/>
            <w:hideMark/>
          </w:tcPr>
          <w:p w14:paraId="0CE7E6B2" w14:textId="1456A053" w:rsidR="00E1103E" w:rsidRPr="00E1103E" w:rsidRDefault="00E1103E" w:rsidP="00357681">
            <w:pPr>
              <w:tabs>
                <w:tab w:val="left" w:pos="3212"/>
              </w:tabs>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Acknowledgements</w:t>
            </w:r>
            <w:r w:rsidR="00357681">
              <w:rPr>
                <w:rFonts w:eastAsia="Times New Roman"/>
                <w:color w:val="000000"/>
                <w:kern w:val="0"/>
                <w:lang w:eastAsia="en-GB"/>
                <w14:ligatures w14:val="none"/>
              </w:rPr>
              <w:tab/>
            </w:r>
          </w:p>
        </w:tc>
        <w:tc>
          <w:tcPr>
            <w:tcW w:w="2544" w:type="pct"/>
            <w:hideMark/>
          </w:tcPr>
          <w:p w14:paraId="3789FCAD"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70E6902E" w14:textId="77777777" w:rsidTr="00DA4539">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382959EE"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5</w:t>
            </w:r>
          </w:p>
        </w:tc>
        <w:tc>
          <w:tcPr>
            <w:tcW w:w="1963" w:type="pct"/>
            <w:hideMark/>
          </w:tcPr>
          <w:p w14:paraId="256BC9A4"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Glossary of terms</w:t>
            </w:r>
          </w:p>
        </w:tc>
        <w:tc>
          <w:tcPr>
            <w:tcW w:w="2544" w:type="pct"/>
            <w:hideMark/>
          </w:tcPr>
          <w:p w14:paraId="33236BAD"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27405A60"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583627BA"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6</w:t>
            </w:r>
          </w:p>
        </w:tc>
        <w:tc>
          <w:tcPr>
            <w:tcW w:w="1963" w:type="pct"/>
            <w:hideMark/>
          </w:tcPr>
          <w:p w14:paraId="309EDD84"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List of abbreviations and acronyms</w:t>
            </w:r>
          </w:p>
        </w:tc>
        <w:tc>
          <w:tcPr>
            <w:tcW w:w="2544" w:type="pct"/>
            <w:hideMark/>
          </w:tcPr>
          <w:p w14:paraId="59A4EDB7"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2007783D" w14:textId="77777777" w:rsidTr="00DA4539">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6AD7E6FE"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7</w:t>
            </w:r>
          </w:p>
        </w:tc>
        <w:tc>
          <w:tcPr>
            <w:tcW w:w="1963" w:type="pct"/>
            <w:hideMark/>
          </w:tcPr>
          <w:p w14:paraId="77C5A178"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List of tables and figures</w:t>
            </w:r>
          </w:p>
        </w:tc>
        <w:tc>
          <w:tcPr>
            <w:tcW w:w="2544" w:type="pct"/>
            <w:hideMark/>
          </w:tcPr>
          <w:p w14:paraId="73D07AE4" w14:textId="77777777" w:rsidR="00E1103E" w:rsidRPr="00E1103E" w:rsidRDefault="00E1103E" w:rsidP="00E1103E">
            <w:pPr>
              <w:spacing w:after="0" w:line="240" w:lineRule="auto"/>
              <w:rPr>
                <w:rFonts w:eastAsia="Times New Roman"/>
                <w:color w:val="000000"/>
                <w:kern w:val="0"/>
                <w:lang w:eastAsia="en-GB"/>
                <w14:ligatures w14:val="none"/>
              </w:rPr>
            </w:pPr>
          </w:p>
        </w:tc>
      </w:tr>
      <w:tr w:rsidR="00845B8A" w:rsidRPr="00E1103E" w14:paraId="09D612D2"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599C75EE" w14:textId="77777777"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8</w:t>
            </w:r>
          </w:p>
        </w:tc>
        <w:tc>
          <w:tcPr>
            <w:tcW w:w="1963" w:type="pct"/>
            <w:hideMark/>
          </w:tcPr>
          <w:p w14:paraId="62650706"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Executive summary</w:t>
            </w:r>
          </w:p>
        </w:tc>
        <w:tc>
          <w:tcPr>
            <w:tcW w:w="2544" w:type="pct"/>
            <w:hideMark/>
          </w:tcPr>
          <w:p w14:paraId="58CB49AB"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 Snapshots of the findings</w:t>
            </w:r>
            <w:r w:rsidRPr="00E1103E">
              <w:rPr>
                <w:rFonts w:eastAsia="Times New Roman"/>
                <w:color w:val="000000"/>
                <w:kern w:val="0"/>
                <w:lang w:eastAsia="en-GB"/>
                <w14:ligatures w14:val="none"/>
              </w:rPr>
              <w:br/>
              <w:t>- Key recommendations</w:t>
            </w:r>
          </w:p>
        </w:tc>
      </w:tr>
      <w:tr w:rsidR="00845B8A" w:rsidRPr="00E1103E" w14:paraId="07E32010" w14:textId="77777777" w:rsidTr="00DA4539">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749CB2C4" w14:textId="77777777" w:rsidR="00E1103E" w:rsidRPr="00E1103E" w:rsidRDefault="00E1103E" w:rsidP="00E1103E">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9</w:t>
            </w:r>
          </w:p>
        </w:tc>
        <w:tc>
          <w:tcPr>
            <w:tcW w:w="1963" w:type="pct"/>
            <w:hideMark/>
          </w:tcPr>
          <w:p w14:paraId="3A82F70C" w14:textId="77777777" w:rsidR="00E1103E" w:rsidRPr="00E1103E" w:rsidRDefault="00E1103E" w:rsidP="00E1103E">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Introduction to and objectives of the report</w:t>
            </w:r>
          </w:p>
        </w:tc>
        <w:tc>
          <w:tcPr>
            <w:tcW w:w="2544" w:type="pct"/>
            <w:hideMark/>
          </w:tcPr>
          <w:p w14:paraId="4D4C6C4A" w14:textId="77777777" w:rsidR="00E1103E" w:rsidRPr="00E1103E" w:rsidRDefault="00E1103E" w:rsidP="00BA7396">
            <w:pPr>
              <w:spacing w:after="0"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 History</w:t>
            </w:r>
            <w:r w:rsidRPr="00E1103E">
              <w:rPr>
                <w:rFonts w:eastAsia="Times New Roman"/>
                <w:color w:val="000000"/>
                <w:kern w:val="0"/>
                <w:lang w:eastAsia="en-GB"/>
                <w14:ligatures w14:val="none"/>
              </w:rPr>
              <w:br/>
              <w:t>- Purpose</w:t>
            </w:r>
            <w:r w:rsidRPr="00E1103E">
              <w:rPr>
                <w:rFonts w:eastAsia="Times New Roman"/>
                <w:color w:val="000000"/>
                <w:kern w:val="0"/>
                <w:lang w:eastAsia="en-GB"/>
                <w14:ligatures w14:val="none"/>
              </w:rPr>
              <w:br/>
              <w:t>- Rationale</w:t>
            </w:r>
            <w:r w:rsidRPr="00E1103E">
              <w:rPr>
                <w:rFonts w:eastAsia="Times New Roman"/>
                <w:color w:val="000000"/>
                <w:kern w:val="0"/>
                <w:lang w:eastAsia="en-GB"/>
                <w14:ligatures w14:val="none"/>
              </w:rPr>
              <w:br/>
              <w:t>- Objectives</w:t>
            </w:r>
            <w:r w:rsidRPr="00E1103E">
              <w:rPr>
                <w:rFonts w:eastAsia="Times New Roman"/>
                <w:color w:val="000000"/>
                <w:kern w:val="0"/>
                <w:lang w:eastAsia="en-GB"/>
                <w14:ligatures w14:val="none"/>
              </w:rPr>
              <w:br/>
              <w:t>- Scope</w:t>
            </w:r>
            <w:r w:rsidRPr="00E1103E">
              <w:rPr>
                <w:rFonts w:eastAsia="Times New Roman"/>
                <w:color w:val="000000"/>
                <w:kern w:val="0"/>
                <w:lang w:eastAsia="en-GB"/>
                <w14:ligatures w14:val="none"/>
              </w:rPr>
              <w:br/>
              <w:t>- Topics covered or left out</w:t>
            </w:r>
            <w:r w:rsidRPr="00E1103E">
              <w:rPr>
                <w:rFonts w:eastAsia="Times New Roman"/>
                <w:color w:val="000000"/>
                <w:kern w:val="0"/>
                <w:lang w:eastAsia="en-GB"/>
                <w14:ligatures w14:val="none"/>
              </w:rPr>
              <w:br/>
              <w:t>- Methodology</w:t>
            </w:r>
          </w:p>
        </w:tc>
      </w:tr>
      <w:tr w:rsidR="008E1FFE" w:rsidRPr="00E1103E" w14:paraId="03C627BF"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tcPr>
          <w:p w14:paraId="0BFB6ABE" w14:textId="2EB6DC9C" w:rsidR="008E1FFE" w:rsidRPr="00E1103E" w:rsidRDefault="008E1FFE" w:rsidP="00E1103E">
            <w:pPr>
              <w:spacing w:line="240" w:lineRule="auto"/>
              <w:jc w:val="right"/>
              <w:rPr>
                <w:rFonts w:eastAsia="Times New Roman"/>
                <w:color w:val="000000"/>
                <w:kern w:val="0"/>
                <w:lang w:eastAsia="en-GB"/>
                <w14:ligatures w14:val="none"/>
              </w:rPr>
            </w:pPr>
            <w:r>
              <w:rPr>
                <w:rFonts w:eastAsia="Times New Roman"/>
                <w:color w:val="000000"/>
                <w:kern w:val="0"/>
                <w:lang w:eastAsia="en-GB"/>
                <w14:ligatures w14:val="none"/>
              </w:rPr>
              <w:t>10</w:t>
            </w:r>
          </w:p>
        </w:tc>
        <w:tc>
          <w:tcPr>
            <w:tcW w:w="1963" w:type="pct"/>
          </w:tcPr>
          <w:p w14:paraId="473AC2CE" w14:textId="4D9439A1" w:rsidR="008E1FFE" w:rsidRPr="00DA4539" w:rsidRDefault="008E1FFE" w:rsidP="00DA4539">
            <w:pPr>
              <w:rPr>
                <w:color w:val="000000"/>
              </w:rPr>
            </w:pPr>
            <w:r>
              <w:rPr>
                <w:color w:val="000000"/>
              </w:rPr>
              <w:t>Conceptual foundations of Shari'ah governance</w:t>
            </w:r>
          </w:p>
        </w:tc>
        <w:tc>
          <w:tcPr>
            <w:tcW w:w="2544" w:type="pct"/>
          </w:tcPr>
          <w:p w14:paraId="34503320" w14:textId="14CF62F2" w:rsidR="008E1FFE" w:rsidRPr="00DA4539" w:rsidRDefault="008E1FFE" w:rsidP="00DA4539">
            <w:pPr>
              <w:rPr>
                <w:color w:val="000000"/>
              </w:rPr>
            </w:pPr>
            <w:r>
              <w:rPr>
                <w:color w:val="000000"/>
              </w:rPr>
              <w:t>- Conceptual foundations</w:t>
            </w:r>
            <w:r>
              <w:rPr>
                <w:color w:val="000000"/>
              </w:rPr>
              <w:br/>
              <w:t>- Arguments for necessity of an SGF</w:t>
            </w:r>
          </w:p>
        </w:tc>
      </w:tr>
      <w:tr w:rsidR="004201C2" w:rsidRPr="004201C2" w14:paraId="633C1372" w14:textId="77777777" w:rsidTr="004201C2">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2F51BCBC" w14:textId="7B05F615" w:rsidR="00E1103E" w:rsidRPr="00E1103E" w:rsidRDefault="00E1103E" w:rsidP="00DA4539">
            <w:pPr>
              <w:spacing w:after="0"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w:t>
            </w:r>
            <w:r w:rsidR="008E1FFE">
              <w:rPr>
                <w:rFonts w:eastAsia="Times New Roman"/>
                <w:color w:val="000000"/>
                <w:kern w:val="0"/>
                <w:lang w:eastAsia="en-GB"/>
                <w14:ligatures w14:val="none"/>
              </w:rPr>
              <w:t>1</w:t>
            </w:r>
          </w:p>
        </w:tc>
        <w:tc>
          <w:tcPr>
            <w:tcW w:w="1963" w:type="pct"/>
            <w:hideMark/>
          </w:tcPr>
          <w:p w14:paraId="6B93F3D8" w14:textId="2EBE8CF9" w:rsidR="004201C2" w:rsidRPr="00DA4539" w:rsidRDefault="008E1FFE" w:rsidP="00DA4539">
            <w:pPr>
              <w:spacing w:after="0"/>
              <w:rPr>
                <w:color w:val="000000"/>
              </w:rPr>
            </w:pPr>
            <w:r w:rsidRPr="00DA4539">
              <w:rPr>
                <w:rFonts w:eastAsiaTheme="minorHAnsi"/>
                <w:color w:val="000000"/>
              </w:rPr>
              <w:t>Comparison of Shari’ah Governance Frameworks (SGFs)</w:t>
            </w:r>
          </w:p>
          <w:p w14:paraId="36657CF4" w14:textId="753ACB3E" w:rsidR="004201C2" w:rsidRPr="00DA4539" w:rsidRDefault="004201C2" w:rsidP="00DA4539">
            <w:pPr>
              <w:spacing w:after="0"/>
              <w:rPr>
                <w:color w:val="000000"/>
              </w:rPr>
            </w:pPr>
            <w:r w:rsidRPr="00DA4539">
              <w:rPr>
                <w:rFonts w:eastAsiaTheme="minorHAnsi"/>
                <w:color w:val="000000"/>
              </w:rPr>
              <w:t>[The scope of jurisdictions and standards may be refined as the project progresses, based on data availability and relevance to the comparative framework.]</w:t>
            </w:r>
          </w:p>
          <w:p w14:paraId="6DC2579A" w14:textId="6E7760E6" w:rsidR="004201C2" w:rsidRPr="00E1103E" w:rsidRDefault="004201C2" w:rsidP="00DA4539">
            <w:pPr>
              <w:spacing w:beforeAutospacing="0" w:after="0" w:afterAutospacing="0" w:line="240" w:lineRule="auto"/>
              <w:rPr>
                <w:rFonts w:eastAsia="Times New Roman"/>
                <w:color w:val="000000"/>
                <w:kern w:val="0"/>
                <w:lang w:eastAsia="en-GB"/>
                <w14:ligatures w14:val="none"/>
              </w:rPr>
            </w:pPr>
          </w:p>
        </w:tc>
        <w:tc>
          <w:tcPr>
            <w:tcW w:w="2544" w:type="pct"/>
            <w:hideMark/>
          </w:tcPr>
          <w:p w14:paraId="1A5D582B" w14:textId="2C6FBF1E" w:rsidR="004201C2" w:rsidRPr="00DA4539" w:rsidRDefault="004201C2" w:rsidP="00DA4539">
            <w:pPr>
              <w:pStyle w:val="ListParagraph"/>
              <w:numPr>
                <w:ilvl w:val="0"/>
                <w:numId w:val="48"/>
              </w:numPr>
              <w:spacing w:after="0" w:line="240" w:lineRule="auto"/>
              <w:rPr>
                <w:color w:val="000000"/>
              </w:rPr>
            </w:pPr>
            <w:r w:rsidRPr="00DA4539">
              <w:rPr>
                <w:rFonts w:eastAsiaTheme="minorHAnsi"/>
                <w:color w:val="000000"/>
              </w:rPr>
              <w:t>Scoping:</w:t>
            </w:r>
          </w:p>
          <w:p w14:paraId="00A42E3B" w14:textId="078CF894" w:rsidR="004201C2" w:rsidRPr="00DA4539" w:rsidRDefault="004201C2" w:rsidP="00DA4539">
            <w:pPr>
              <w:spacing w:before="0" w:beforeAutospacing="0" w:after="0" w:afterAutospacing="0" w:line="240" w:lineRule="auto"/>
              <w:rPr>
                <w:color w:val="000000"/>
              </w:rPr>
            </w:pPr>
            <w:r w:rsidRPr="00DA4539">
              <w:rPr>
                <w:rFonts w:eastAsiaTheme="minorHAnsi"/>
                <w:color w:val="000000"/>
              </w:rPr>
              <w:t>Cover jurisdictions including, but not limited to</w:t>
            </w:r>
            <w:r>
              <w:rPr>
                <w:color w:val="000000"/>
              </w:rPr>
              <w:t>:</w:t>
            </w:r>
          </w:p>
          <w:p w14:paraId="2F813173" w14:textId="77777777" w:rsidR="004201C2" w:rsidRDefault="004201C2" w:rsidP="004201C2">
            <w:pPr>
              <w:spacing w:before="0" w:beforeAutospacing="0" w:after="0" w:afterAutospacing="0" w:line="240" w:lineRule="auto"/>
              <w:rPr>
                <w:rFonts w:eastAsia="Times New Roman"/>
                <w:color w:val="000000"/>
                <w:kern w:val="0"/>
                <w:lang w:eastAsia="en-GB"/>
                <w14:ligatures w14:val="none"/>
              </w:rPr>
            </w:pPr>
          </w:p>
          <w:p w14:paraId="3AC3D0E6" w14:textId="1B68E781" w:rsidR="008E1FFE" w:rsidRPr="00DA4539" w:rsidRDefault="00BA7396" w:rsidP="00DA4539">
            <w:pPr>
              <w:spacing w:before="0" w:beforeAutospacing="0" w:after="0" w:afterAutospacing="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a. </w:t>
            </w:r>
            <w:r w:rsidR="008E1FFE" w:rsidRPr="00DA4539">
              <w:rPr>
                <w:rFonts w:eastAsia="Times New Roman"/>
                <w:color w:val="000000"/>
                <w:kern w:val="0"/>
                <w:lang w:eastAsia="en-GB"/>
                <w14:ligatures w14:val="none"/>
              </w:rPr>
              <w:t>International standard setters</w:t>
            </w:r>
          </w:p>
          <w:p w14:paraId="0531E931" w14:textId="77777777" w:rsidR="008E1FFE" w:rsidRPr="00DA4539" w:rsidRDefault="008E1FFE" w:rsidP="00DA4539">
            <w:pPr>
              <w:spacing w:before="0"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AAOIFI</w:t>
            </w:r>
          </w:p>
          <w:p w14:paraId="66CBA3E9" w14:textId="77777777" w:rsidR="008E1FFE" w:rsidRDefault="008E1FFE" w:rsidP="00DA4539">
            <w:pPr>
              <w:spacing w:before="0"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IFSB [including IFSB -10, 31, 17, 21, 27]</w:t>
            </w:r>
          </w:p>
          <w:p w14:paraId="14635BD3" w14:textId="77777777" w:rsidR="004201C2" w:rsidRPr="00DA4539" w:rsidRDefault="004201C2" w:rsidP="00DA4539">
            <w:pPr>
              <w:spacing w:before="0" w:beforeAutospacing="0" w:after="0" w:afterAutospacing="0" w:line="240" w:lineRule="auto"/>
              <w:rPr>
                <w:rFonts w:eastAsia="Times New Roman"/>
                <w:color w:val="000000"/>
                <w:kern w:val="0"/>
                <w:lang w:eastAsia="en-GB"/>
                <w14:ligatures w14:val="none"/>
              </w:rPr>
            </w:pPr>
          </w:p>
          <w:p w14:paraId="417D1FA9" w14:textId="4F872F38" w:rsidR="008E1FFE" w:rsidRPr="00DA4539" w:rsidRDefault="00BA7396" w:rsidP="00DA4539">
            <w:pPr>
              <w:spacing w:beforeAutospacing="0" w:after="0" w:afterAutospacing="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b. </w:t>
            </w:r>
            <w:r w:rsidR="008E1FFE" w:rsidRPr="00DA4539">
              <w:rPr>
                <w:rFonts w:eastAsia="Times New Roman"/>
                <w:color w:val="000000"/>
                <w:kern w:val="0"/>
                <w:lang w:eastAsia="en-GB"/>
                <w14:ligatures w14:val="none"/>
              </w:rPr>
              <w:t>Regulatory and supervisory authorities (RSAs)</w:t>
            </w:r>
            <w:r>
              <w:rPr>
                <w:rFonts w:eastAsia="Times New Roman"/>
                <w:color w:val="000000"/>
                <w:kern w:val="0"/>
                <w:lang w:eastAsia="en-GB"/>
                <w14:ligatures w14:val="none"/>
              </w:rPr>
              <w:t xml:space="preserve"> </w:t>
            </w:r>
            <w:r w:rsidR="008E1FFE" w:rsidRPr="00DA4539">
              <w:rPr>
                <w:rFonts w:eastAsia="Times New Roman"/>
                <w:color w:val="000000"/>
                <w:kern w:val="0"/>
                <w:lang w:eastAsia="en-GB"/>
                <w14:ligatures w14:val="none"/>
              </w:rPr>
              <w:t>[central banks]</w:t>
            </w:r>
          </w:p>
          <w:p w14:paraId="78347387"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Bank Negara Malaysia</w:t>
            </w:r>
          </w:p>
          <w:p w14:paraId="0F40F9C8"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State Bank of Pakistan</w:t>
            </w:r>
          </w:p>
          <w:p w14:paraId="043FD2D3" w14:textId="77777777" w:rsidR="002B08E4" w:rsidRDefault="008E1FFE" w:rsidP="002B08E4">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Saudi Central Bank</w:t>
            </w:r>
          </w:p>
          <w:p w14:paraId="4ABB2B52" w14:textId="29864326" w:rsidR="008E1FFE" w:rsidRPr="00DA4539" w:rsidRDefault="002B08E4" w:rsidP="00DA4539">
            <w:pPr>
              <w:spacing w:beforeAutospacing="0" w:after="0" w:afterAutospacing="0" w:line="240" w:lineRule="auto"/>
              <w:rPr>
                <w:rFonts w:eastAsia="Times New Roman"/>
                <w:color w:val="000000"/>
                <w:kern w:val="0"/>
                <w:lang w:eastAsia="en-GB"/>
                <w14:ligatures w14:val="none"/>
              </w:rPr>
            </w:pPr>
            <w:r>
              <w:rPr>
                <w:rFonts w:eastAsia="Times New Roman"/>
                <w:color w:val="000000"/>
                <w:kern w:val="0"/>
                <w:lang w:eastAsia="en-GB"/>
                <w14:ligatures w14:val="none"/>
              </w:rPr>
              <w:t>-</w:t>
            </w:r>
            <w:r w:rsidRPr="00BA3430">
              <w:rPr>
                <w:rFonts w:eastAsia="Times New Roman"/>
                <w:color w:val="000000"/>
                <w:kern w:val="0"/>
                <w:lang w:eastAsia="en-GB"/>
                <w14:ligatures w14:val="none"/>
              </w:rPr>
              <w:t xml:space="preserve"> Central Bank of the UAE</w:t>
            </w:r>
          </w:p>
          <w:p w14:paraId="0979D570"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Central Bank of Bahrain</w:t>
            </w:r>
          </w:p>
          <w:p w14:paraId="21FDEBB4"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Central Bank of Oman</w:t>
            </w:r>
          </w:p>
          <w:p w14:paraId="25480CD8"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OJK Indonesia</w:t>
            </w:r>
          </w:p>
          <w:p w14:paraId="582173A3"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Qatar Central Bank</w:t>
            </w:r>
          </w:p>
          <w:p w14:paraId="165E24C3"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lastRenderedPageBreak/>
              <w:t>- Central Bank of Kuwait</w:t>
            </w:r>
          </w:p>
          <w:p w14:paraId="0EF2A256" w14:textId="77777777" w:rsidR="00BA7396" w:rsidRPr="00DA4539" w:rsidRDefault="00BA7396" w:rsidP="00DA4539">
            <w:pPr>
              <w:spacing w:beforeAutospacing="0" w:after="0" w:afterAutospacing="0" w:line="240" w:lineRule="auto"/>
              <w:rPr>
                <w:rFonts w:eastAsia="Times New Roman"/>
                <w:color w:val="000000"/>
                <w:kern w:val="0"/>
                <w:lang w:eastAsia="en-GB"/>
                <w14:ligatures w14:val="none"/>
              </w:rPr>
            </w:pPr>
          </w:p>
          <w:p w14:paraId="1DD740BD" w14:textId="599D946F" w:rsidR="008E1FFE" w:rsidRPr="00DA4539" w:rsidRDefault="00BA7396" w:rsidP="00DA4539">
            <w:pPr>
              <w:spacing w:beforeAutospacing="0" w:after="0" w:afterAutospacing="0" w:line="240" w:lineRule="auto"/>
              <w:rPr>
                <w:rFonts w:eastAsia="Times New Roman"/>
                <w:color w:val="000000"/>
                <w:kern w:val="0"/>
                <w:lang w:eastAsia="en-GB"/>
                <w14:ligatures w14:val="none"/>
              </w:rPr>
            </w:pPr>
            <w:r>
              <w:rPr>
                <w:rFonts w:eastAsia="Times New Roman"/>
                <w:color w:val="000000"/>
                <w:kern w:val="0"/>
                <w:lang w:eastAsia="en-GB"/>
                <w14:ligatures w14:val="none"/>
              </w:rPr>
              <w:t>c. RSAs [</w:t>
            </w:r>
            <w:r w:rsidR="008E1FFE" w:rsidRPr="00DA4539">
              <w:rPr>
                <w:rFonts w:eastAsia="Times New Roman"/>
                <w:color w:val="000000"/>
                <w:kern w:val="0"/>
                <w:lang w:eastAsia="en-GB"/>
                <w14:ligatures w14:val="none"/>
              </w:rPr>
              <w:t>capital markets]</w:t>
            </w:r>
          </w:p>
          <w:p w14:paraId="7FE20F7A"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Securities Commission Malaysia</w:t>
            </w:r>
          </w:p>
          <w:p w14:paraId="2BE452EF" w14:textId="290659F8" w:rsidR="008E1FFE" w:rsidRDefault="008E1FFE" w:rsidP="004201C2">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SECP</w:t>
            </w:r>
          </w:p>
          <w:p w14:paraId="6943A74D" w14:textId="7CE223C2" w:rsidR="00BA7396" w:rsidRPr="00DA4539" w:rsidRDefault="00BA7396" w:rsidP="00DA4539">
            <w:pPr>
              <w:spacing w:beforeAutospacing="0" w:after="0" w:afterAutospacing="0" w:line="240" w:lineRule="auto"/>
              <w:rPr>
                <w:rFonts w:eastAsia="Times New Roman"/>
                <w:color w:val="000000"/>
                <w:kern w:val="0"/>
                <w:lang w:eastAsia="en-GB"/>
                <w14:ligatures w14:val="none"/>
              </w:rPr>
            </w:pPr>
            <w:r>
              <w:rPr>
                <w:rFonts w:eastAsia="Times New Roman"/>
                <w:color w:val="000000"/>
                <w:kern w:val="0"/>
                <w:lang w:eastAsia="en-GB"/>
                <w14:ligatures w14:val="none"/>
              </w:rPr>
              <w:t>- Kuwait Capital Markets Authority</w:t>
            </w:r>
          </w:p>
          <w:p w14:paraId="714E709D" w14:textId="5EDDA5C8" w:rsidR="008E1FFE" w:rsidRPr="00DA4539" w:rsidRDefault="00BA7396" w:rsidP="00DA4539">
            <w:pPr>
              <w:spacing w:beforeAutospacing="0" w:after="0" w:afterAutospacing="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d. RSAs </w:t>
            </w:r>
            <w:r w:rsidR="008E1FFE" w:rsidRPr="00DA4539">
              <w:rPr>
                <w:rFonts w:eastAsia="Times New Roman"/>
                <w:color w:val="000000"/>
                <w:kern w:val="0"/>
                <w:lang w:eastAsia="en-GB"/>
                <w14:ligatures w14:val="none"/>
              </w:rPr>
              <w:t>[insurance and Takaful]</w:t>
            </w:r>
          </w:p>
          <w:p w14:paraId="69433669"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p>
          <w:p w14:paraId="528B5241" w14:textId="135C51E2" w:rsidR="008E1FFE" w:rsidRPr="00DA4539" w:rsidRDefault="004201C2" w:rsidP="00DA4539">
            <w:pPr>
              <w:pStyle w:val="ListParagraph"/>
              <w:numPr>
                <w:ilvl w:val="0"/>
                <w:numId w:val="48"/>
              </w:numPr>
              <w:spacing w:after="0" w:line="240" w:lineRule="auto"/>
              <w:rPr>
                <w:color w:val="000000"/>
              </w:rPr>
            </w:pPr>
            <w:r w:rsidRPr="00DA4539">
              <w:rPr>
                <w:rFonts w:eastAsiaTheme="minorHAnsi"/>
                <w:color w:val="000000"/>
              </w:rPr>
              <w:t>Themes and d</w:t>
            </w:r>
            <w:r w:rsidR="008E1FFE" w:rsidRPr="00DA4539">
              <w:rPr>
                <w:color w:val="000000"/>
              </w:rPr>
              <w:t>imensions of comparison</w:t>
            </w:r>
            <w:r w:rsidRPr="00DA4539">
              <w:rPr>
                <w:rFonts w:eastAsiaTheme="minorHAnsi"/>
                <w:color w:val="000000"/>
              </w:rPr>
              <w:t>:</w:t>
            </w:r>
          </w:p>
          <w:p w14:paraId="45DF67F9"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Regulatory and institutional architecture</w:t>
            </w:r>
          </w:p>
          <w:p w14:paraId="26A48590"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Independence of Shari'ah supervisory board</w:t>
            </w:r>
          </w:p>
          <w:p w14:paraId="10A4B171"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Shari'ah supervisory board: appointments and composition</w:t>
            </w:r>
          </w:p>
          <w:p w14:paraId="19380482"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Shari'ah supervisory board: functions and operations</w:t>
            </w:r>
          </w:p>
          <w:p w14:paraId="1511BB82"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Shari'ah supervisory board: review and report</w:t>
            </w:r>
          </w:p>
          <w:p w14:paraId="64531A41" w14:textId="77E5BF3C"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xml:space="preserve">- Shari'ah supervisory board governance </w:t>
            </w:r>
            <w:r w:rsidR="004201C2">
              <w:rPr>
                <w:rFonts w:eastAsia="Times New Roman"/>
                <w:color w:val="000000"/>
                <w:kern w:val="0"/>
                <w:lang w:eastAsia="en-GB"/>
                <w14:ligatures w14:val="none"/>
              </w:rPr>
              <w:t>(</w:t>
            </w:r>
            <w:r w:rsidRPr="00DA4539">
              <w:rPr>
                <w:rFonts w:eastAsia="Times New Roman"/>
                <w:color w:val="000000"/>
                <w:kern w:val="0"/>
                <w:lang w:eastAsia="en-GB"/>
                <w14:ligatures w14:val="none"/>
              </w:rPr>
              <w:t>centralised, decentralised, hybrid</w:t>
            </w:r>
            <w:r w:rsidR="004201C2">
              <w:rPr>
                <w:rFonts w:eastAsia="Times New Roman"/>
                <w:color w:val="000000"/>
                <w:kern w:val="0"/>
                <w:lang w:eastAsia="en-GB"/>
                <w14:ligatures w14:val="none"/>
              </w:rPr>
              <w:t>)</w:t>
            </w:r>
          </w:p>
          <w:p w14:paraId="63231A02"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Internal compliance functions</w:t>
            </w:r>
          </w:p>
          <w:p w14:paraId="54A9BC3B"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External Shari'ah audit - requirements</w:t>
            </w:r>
          </w:p>
          <w:p w14:paraId="0EA706CB"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External Shari'ah audit - quality assurance</w:t>
            </w:r>
          </w:p>
          <w:p w14:paraId="38BC47AE"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Defined set of Shari'ah principles</w:t>
            </w:r>
          </w:p>
          <w:p w14:paraId="2A169EF3"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Shari'ah decision-making processes</w:t>
            </w:r>
          </w:p>
          <w:p w14:paraId="40DCA7B8"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Shari'ah non-compliance risk management</w:t>
            </w:r>
          </w:p>
          <w:p w14:paraId="6C1B16B5"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Disclosures, transparency and reporting</w:t>
            </w:r>
          </w:p>
          <w:p w14:paraId="664307ED"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Harmonization vs divergence</w:t>
            </w:r>
          </w:p>
          <w:p w14:paraId="3493F7C6" w14:textId="77777777" w:rsidR="008E1FFE" w:rsidRPr="00DA4539" w:rsidRDefault="008E1FFE" w:rsidP="00DA4539">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Effectiveness and outcomes assessment</w:t>
            </w:r>
          </w:p>
          <w:p w14:paraId="28CEF3B4" w14:textId="77777777" w:rsidR="008E1FFE" w:rsidRPr="00DA4539" w:rsidRDefault="008E1FFE" w:rsidP="004201C2">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Enforcement mechanisms</w:t>
            </w:r>
          </w:p>
          <w:p w14:paraId="271122CA" w14:textId="7A40F39E" w:rsidR="008E1FFE" w:rsidRPr="00DA4539" w:rsidRDefault="008E1FFE" w:rsidP="004201C2">
            <w:pPr>
              <w:spacing w:beforeAutospacing="0" w:after="0" w:afterAutospacing="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 Technology and Shari'ah governance</w:t>
            </w:r>
          </w:p>
          <w:p w14:paraId="498BA580" w14:textId="77777777" w:rsidR="00BA7396" w:rsidRDefault="00BA7396" w:rsidP="004201C2">
            <w:pPr>
              <w:spacing w:beforeAutospacing="0" w:after="0" w:afterAutospacing="0" w:line="240" w:lineRule="auto"/>
              <w:rPr>
                <w:rFonts w:eastAsia="Times New Roman"/>
                <w:color w:val="000000"/>
                <w:kern w:val="0"/>
                <w:lang w:eastAsia="en-GB"/>
                <w14:ligatures w14:val="none"/>
              </w:rPr>
            </w:pPr>
          </w:p>
          <w:p w14:paraId="53A7B0F2" w14:textId="5F330459" w:rsidR="00E1103E" w:rsidRPr="00DA4539" w:rsidRDefault="008E1FFE" w:rsidP="00DA4539">
            <w:pPr>
              <w:pStyle w:val="ListParagraph"/>
              <w:numPr>
                <w:ilvl w:val="0"/>
                <w:numId w:val="48"/>
              </w:numPr>
              <w:spacing w:after="0" w:line="240" w:lineRule="auto"/>
              <w:rPr>
                <w:rFonts w:eastAsia="Times New Roman"/>
                <w:color w:val="000000"/>
                <w:kern w:val="0"/>
                <w:lang w:eastAsia="en-GB"/>
                <w14:ligatures w14:val="none"/>
              </w:rPr>
            </w:pPr>
            <w:r w:rsidRPr="00DA4539">
              <w:rPr>
                <w:rFonts w:eastAsia="Times New Roman"/>
                <w:color w:val="000000"/>
                <w:kern w:val="0"/>
                <w:lang w:eastAsia="en-GB"/>
                <w14:ligatures w14:val="none"/>
              </w:rPr>
              <w:t>Comparative framework scorecard</w:t>
            </w:r>
          </w:p>
        </w:tc>
      </w:tr>
      <w:tr w:rsidR="00845B8A" w:rsidRPr="00E1103E" w14:paraId="7644204E"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12C2ECF6" w14:textId="433AA6A5" w:rsidR="00E1103E" w:rsidRPr="00E1103E" w:rsidRDefault="004201C2" w:rsidP="00E1103E">
            <w:pPr>
              <w:spacing w:line="240" w:lineRule="auto"/>
              <w:jc w:val="right"/>
              <w:rPr>
                <w:rFonts w:eastAsia="Times New Roman"/>
                <w:color w:val="000000"/>
                <w:kern w:val="0"/>
                <w:lang w:eastAsia="en-GB"/>
                <w14:ligatures w14:val="none"/>
              </w:rPr>
            </w:pPr>
            <w:r>
              <w:rPr>
                <w:rFonts w:eastAsia="Times New Roman"/>
                <w:color w:val="000000"/>
                <w:kern w:val="0"/>
                <w:lang w:eastAsia="en-GB"/>
                <w14:ligatures w14:val="none"/>
              </w:rPr>
              <w:lastRenderedPageBreak/>
              <w:t>12</w:t>
            </w:r>
          </w:p>
        </w:tc>
        <w:tc>
          <w:tcPr>
            <w:tcW w:w="1963" w:type="pct"/>
            <w:hideMark/>
          </w:tcPr>
          <w:p w14:paraId="5B094619"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Conclusion</w:t>
            </w:r>
          </w:p>
        </w:tc>
        <w:tc>
          <w:tcPr>
            <w:tcW w:w="2544" w:type="pct"/>
            <w:hideMark/>
          </w:tcPr>
          <w:p w14:paraId="0DD317C9"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41A44F38" w14:textId="77777777" w:rsidTr="00DA4539">
        <w:trPr>
          <w:cnfStyle w:val="000000100000" w:firstRow="0" w:lastRow="0" w:firstColumn="0" w:lastColumn="0" w:oddVBand="0" w:evenVBand="0" w:oddHBand="1" w:evenHBand="0" w:firstRowFirstColumn="0" w:firstRowLastColumn="0" w:lastRowFirstColumn="0" w:lastRowLastColumn="0"/>
          <w:trHeight w:val="20"/>
        </w:trPr>
        <w:tc>
          <w:tcPr>
            <w:tcW w:w="493" w:type="pct"/>
            <w:hideMark/>
          </w:tcPr>
          <w:p w14:paraId="2E984992" w14:textId="3C17D964"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w:t>
            </w:r>
            <w:r w:rsidR="004201C2">
              <w:rPr>
                <w:rFonts w:eastAsia="Times New Roman"/>
                <w:color w:val="000000"/>
                <w:kern w:val="0"/>
                <w:lang w:eastAsia="en-GB"/>
                <w14:ligatures w14:val="none"/>
              </w:rPr>
              <w:t>3</w:t>
            </w:r>
          </w:p>
        </w:tc>
        <w:tc>
          <w:tcPr>
            <w:tcW w:w="1963" w:type="pct"/>
            <w:hideMark/>
          </w:tcPr>
          <w:p w14:paraId="234B3BFC"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Index</w:t>
            </w:r>
          </w:p>
        </w:tc>
        <w:tc>
          <w:tcPr>
            <w:tcW w:w="2544" w:type="pct"/>
            <w:hideMark/>
          </w:tcPr>
          <w:p w14:paraId="1848F323" w14:textId="77777777" w:rsidR="00E1103E" w:rsidRPr="00E1103E" w:rsidRDefault="00E1103E" w:rsidP="00E1103E">
            <w:pPr>
              <w:spacing w:line="240" w:lineRule="auto"/>
              <w:rPr>
                <w:rFonts w:eastAsia="Times New Roman"/>
                <w:color w:val="000000"/>
                <w:kern w:val="0"/>
                <w:lang w:eastAsia="en-GB"/>
                <w14:ligatures w14:val="none"/>
              </w:rPr>
            </w:pPr>
          </w:p>
        </w:tc>
      </w:tr>
      <w:tr w:rsidR="00845B8A" w:rsidRPr="00E1103E" w14:paraId="3DC10D30" w14:textId="77777777" w:rsidTr="00DA4539">
        <w:trPr>
          <w:cnfStyle w:val="000000010000" w:firstRow="0" w:lastRow="0" w:firstColumn="0" w:lastColumn="0" w:oddVBand="0" w:evenVBand="0" w:oddHBand="0" w:evenHBand="1" w:firstRowFirstColumn="0" w:firstRowLastColumn="0" w:lastRowFirstColumn="0" w:lastRowLastColumn="0"/>
          <w:trHeight w:val="20"/>
        </w:trPr>
        <w:tc>
          <w:tcPr>
            <w:tcW w:w="493" w:type="pct"/>
            <w:hideMark/>
          </w:tcPr>
          <w:p w14:paraId="577FF873" w14:textId="79FB95CF" w:rsidR="00E1103E" w:rsidRPr="00E1103E" w:rsidRDefault="00E1103E" w:rsidP="00E1103E">
            <w:pPr>
              <w:spacing w:line="240" w:lineRule="auto"/>
              <w:jc w:val="right"/>
              <w:rPr>
                <w:rFonts w:eastAsia="Times New Roman"/>
                <w:color w:val="000000"/>
                <w:kern w:val="0"/>
                <w:lang w:eastAsia="en-GB"/>
                <w14:ligatures w14:val="none"/>
              </w:rPr>
            </w:pPr>
            <w:r w:rsidRPr="00E1103E">
              <w:rPr>
                <w:rFonts w:eastAsia="Times New Roman"/>
                <w:color w:val="000000"/>
                <w:kern w:val="0"/>
                <w:lang w:eastAsia="en-GB"/>
                <w14:ligatures w14:val="none"/>
              </w:rPr>
              <w:t>1</w:t>
            </w:r>
            <w:r w:rsidR="004201C2">
              <w:rPr>
                <w:rFonts w:eastAsia="Times New Roman"/>
                <w:color w:val="000000"/>
                <w:kern w:val="0"/>
                <w:lang w:eastAsia="en-GB"/>
                <w14:ligatures w14:val="none"/>
              </w:rPr>
              <w:t>4</w:t>
            </w:r>
          </w:p>
        </w:tc>
        <w:tc>
          <w:tcPr>
            <w:tcW w:w="1963" w:type="pct"/>
            <w:hideMark/>
          </w:tcPr>
          <w:p w14:paraId="636B3D33"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Appendices</w:t>
            </w:r>
          </w:p>
        </w:tc>
        <w:tc>
          <w:tcPr>
            <w:tcW w:w="2544" w:type="pct"/>
            <w:hideMark/>
          </w:tcPr>
          <w:p w14:paraId="2417BD2C" w14:textId="77777777" w:rsidR="00E1103E" w:rsidRPr="00E1103E" w:rsidRDefault="00E1103E" w:rsidP="00E1103E">
            <w:pPr>
              <w:spacing w:line="240" w:lineRule="auto"/>
              <w:rPr>
                <w:rFonts w:eastAsia="Times New Roman"/>
                <w:color w:val="000000"/>
                <w:kern w:val="0"/>
                <w:lang w:eastAsia="en-GB"/>
                <w14:ligatures w14:val="none"/>
              </w:rPr>
            </w:pPr>
            <w:r w:rsidRPr="00E1103E">
              <w:rPr>
                <w:rFonts w:eastAsia="Times New Roman"/>
                <w:color w:val="000000"/>
                <w:kern w:val="0"/>
                <w:lang w:eastAsia="en-GB"/>
                <w14:ligatures w14:val="none"/>
              </w:rPr>
              <w:t>Interview questionnaires and surveys</w:t>
            </w:r>
          </w:p>
        </w:tc>
      </w:tr>
    </w:tbl>
    <w:p w14:paraId="34456B36" w14:textId="77777777" w:rsidR="00A831A1" w:rsidRPr="006766D8" w:rsidRDefault="00A831A1" w:rsidP="00810CC9">
      <w:pPr>
        <w:sectPr w:rsidR="00A831A1" w:rsidRPr="006766D8" w:rsidSect="00091E50">
          <w:headerReference w:type="default" r:id="rId14"/>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5"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43D40F7C" w:rsidR="001143DE" w:rsidRPr="006766D8" w:rsidRDefault="001143DE" w:rsidP="00243ABB">
            <w:pPr>
              <w:pStyle w:val="ListParagraph"/>
              <w:numPr>
                <w:ilvl w:val="0"/>
                <w:numId w:val="0"/>
              </w:numPr>
            </w:pPr>
            <w:r w:rsidRPr="006766D8">
              <w:t>S.</w:t>
            </w:r>
            <w:r w:rsidR="009405D8">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 xml:space="preserve">I shall be available for the services from ____________ </w:t>
      </w:r>
      <w:proofErr w:type="spellStart"/>
      <w:r w:rsidRPr="006766D8">
        <w:t>to</w:t>
      </w:r>
      <w:proofErr w:type="spellEnd"/>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ppendix A), for this assignment</w:t>
      </w:r>
      <w:r w:rsidR="0030336F" w:rsidRPr="006766D8">
        <w:t>;</w:t>
      </w:r>
    </w:p>
    <w:p w14:paraId="241A46EA" w14:textId="35C3F1E0" w:rsidR="0030336F" w:rsidRPr="006766D8" w:rsidRDefault="00F00EC5" w:rsidP="0030336F">
      <w:pPr>
        <w:pStyle w:val="ListParagraph"/>
        <w:numPr>
          <w:ilvl w:val="1"/>
          <w:numId w:val="44"/>
        </w:numPr>
      </w:pPr>
      <w:r w:rsidRPr="006766D8">
        <w:t>I confirm that the project references submitted as part of this EOI accurately reflect the experience of myself</w:t>
      </w:r>
      <w:r w:rsidR="00333302" w:rsidRPr="006766D8">
        <w:t>;</w:t>
      </w:r>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w:t>
      </w:r>
      <w:proofErr w:type="gramStart"/>
      <w:r w:rsidRPr="006766D8">
        <w:t>mislead, or</w:t>
      </w:r>
      <w:proofErr w:type="gramEnd"/>
      <w:r w:rsidRPr="006766D8">
        <w:t xml:space="preserve">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DB82" w14:textId="77777777" w:rsidR="00DC0FE8" w:rsidRPr="00114C8C" w:rsidRDefault="00DC0FE8" w:rsidP="00BF4A2C">
      <w:r w:rsidRPr="00114C8C">
        <w:separator/>
      </w:r>
    </w:p>
  </w:endnote>
  <w:endnote w:type="continuationSeparator" w:id="0">
    <w:p w14:paraId="0D201918" w14:textId="77777777" w:rsidR="00DC0FE8" w:rsidRPr="00114C8C" w:rsidRDefault="00DC0FE8"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63E7" w14:textId="77777777" w:rsidR="00DC0FE8" w:rsidRPr="00114C8C" w:rsidRDefault="00DC0FE8" w:rsidP="00BF4A2C">
      <w:r w:rsidRPr="00114C8C">
        <w:separator/>
      </w:r>
    </w:p>
  </w:footnote>
  <w:footnote w:type="continuationSeparator" w:id="0">
    <w:p w14:paraId="3C3441D6" w14:textId="77777777" w:rsidR="00DC0FE8" w:rsidRPr="00114C8C" w:rsidRDefault="00DC0FE8"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82AE" w14:textId="653C14CE" w:rsidR="00A728FF" w:rsidRDefault="00A728FF">
    <w:pPr>
      <w:pStyle w:val="Header"/>
    </w:pPr>
    <w:r>
      <w:rPr>
        <w:noProof/>
      </w:rPr>
      <mc:AlternateContent>
        <mc:Choice Requires="wps">
          <w:drawing>
            <wp:anchor distT="0" distB="0" distL="0" distR="0" simplePos="0" relativeHeight="251659264" behindDoc="0" locked="0" layoutInCell="1" allowOverlap="1" wp14:anchorId="4CF70B83" wp14:editId="633ADBE1">
              <wp:simplePos x="635" y="635"/>
              <wp:positionH relativeFrom="page">
                <wp:align>left</wp:align>
              </wp:positionH>
              <wp:positionV relativeFrom="page">
                <wp:align>top</wp:align>
              </wp:positionV>
              <wp:extent cx="789940" cy="368935"/>
              <wp:effectExtent l="0" t="0" r="10160" b="12065"/>
              <wp:wrapNone/>
              <wp:docPr id="23776512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38045B21" w14:textId="1A28C600"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F70B83"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textbox style="mso-fit-shape-to-text:t" inset="20pt,15pt,0,0">
                <w:txbxContent>
                  <w:p w14:paraId="38045B21" w14:textId="1A28C600"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287E0829" w:rsidR="00204C72" w:rsidRPr="00204C72" w:rsidRDefault="00A728FF"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060BD966" wp14:editId="0DDBC1C3">
              <wp:simplePos x="685800" y="450850"/>
              <wp:positionH relativeFrom="page">
                <wp:align>left</wp:align>
              </wp:positionH>
              <wp:positionV relativeFrom="page">
                <wp:align>top</wp:align>
              </wp:positionV>
              <wp:extent cx="789940" cy="368935"/>
              <wp:effectExtent l="0" t="0" r="10160" b="12065"/>
              <wp:wrapNone/>
              <wp:docPr id="174100716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28FD92D" w14:textId="138B9281"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0BD966"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textbox style="mso-fit-shape-to-text:t" inset="20pt,15pt,0,0">
                <w:txbxContent>
                  <w:p w14:paraId="728FD92D" w14:textId="138B9281"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1CF" w14:textId="1BB7BE65" w:rsidR="00A728FF" w:rsidRDefault="00A728FF">
    <w:pPr>
      <w:pStyle w:val="Header"/>
    </w:pPr>
    <w:r>
      <w:rPr>
        <w:noProof/>
      </w:rPr>
      <mc:AlternateContent>
        <mc:Choice Requires="wps">
          <w:drawing>
            <wp:anchor distT="0" distB="0" distL="0" distR="0" simplePos="0" relativeHeight="251658240" behindDoc="0" locked="0" layoutInCell="1" allowOverlap="1" wp14:anchorId="730FDE6A" wp14:editId="2AB0B788">
              <wp:simplePos x="635" y="635"/>
              <wp:positionH relativeFrom="page">
                <wp:align>left</wp:align>
              </wp:positionH>
              <wp:positionV relativeFrom="page">
                <wp:align>top</wp:align>
              </wp:positionV>
              <wp:extent cx="789940" cy="368935"/>
              <wp:effectExtent l="0" t="0" r="10160" b="12065"/>
              <wp:wrapNone/>
              <wp:docPr id="8894915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57E08686" w14:textId="5B9597DF"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0FDE6A"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textbox style="mso-fit-shape-to-text:t" inset="20pt,15pt,0,0">
                <w:txbxContent>
                  <w:p w14:paraId="57E08686" w14:textId="5B9597DF"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5251A3DA" w:rsidR="00204C72" w:rsidRPr="00204C72" w:rsidRDefault="00A728FF"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2107CFAB" wp14:editId="76A3856E">
              <wp:simplePos x="635" y="635"/>
              <wp:positionH relativeFrom="page">
                <wp:align>left</wp:align>
              </wp:positionH>
              <wp:positionV relativeFrom="page">
                <wp:align>top</wp:align>
              </wp:positionV>
              <wp:extent cx="789940" cy="368935"/>
              <wp:effectExtent l="0" t="0" r="10160" b="12065"/>
              <wp:wrapNone/>
              <wp:docPr id="473168743"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4DC004E6" w14:textId="5A88DBB9"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07CFAB"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textbox style="mso-fit-shape-to-text:t" inset="20pt,15pt,0,0">
                <w:txbxContent>
                  <w:p w14:paraId="4DC004E6" w14:textId="5A88DBB9"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7060CF05" w:rsidR="00A831A1" w:rsidRPr="00204C72" w:rsidRDefault="00A728FF"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4CF2DAE4" wp14:editId="5399B59A">
              <wp:simplePos x="635" y="635"/>
              <wp:positionH relativeFrom="page">
                <wp:align>left</wp:align>
              </wp:positionH>
              <wp:positionV relativeFrom="page">
                <wp:align>top</wp:align>
              </wp:positionV>
              <wp:extent cx="789940" cy="368935"/>
              <wp:effectExtent l="0" t="0" r="10160" b="12065"/>
              <wp:wrapNone/>
              <wp:docPr id="746620150"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6306B4B" w14:textId="3A91242B"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F2DAE4"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textbox style="mso-fit-shape-to-text:t" inset="20pt,15pt,0,0">
                <w:txbxContent>
                  <w:p w14:paraId="76306B4B" w14:textId="3A91242B" w:rsidR="00A728FF" w:rsidRPr="00A728FF" w:rsidRDefault="00A728FF" w:rsidP="00A728FF">
                    <w:pPr>
                      <w:spacing w:after="0"/>
                      <w:rPr>
                        <w:rFonts w:ascii="Aptos" w:eastAsia="Aptos" w:hAnsi="Aptos" w:cs="Aptos"/>
                        <w:noProof/>
                        <w:color w:val="000000"/>
                        <w:sz w:val="20"/>
                        <w:szCs w:val="20"/>
                      </w:rPr>
                    </w:pPr>
                    <w:r w:rsidRPr="00A728FF">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4A7D15"/>
    <w:multiLevelType w:val="hybridMultilevel"/>
    <w:tmpl w:val="22986AEE"/>
    <w:lvl w:ilvl="0" w:tplc="EA86CA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 w15:restartNumberingAfterBreak="0">
    <w:nsid w:val="071F606D"/>
    <w:multiLevelType w:val="multilevel"/>
    <w:tmpl w:val="B0B0F14E"/>
    <w:numStyleLink w:val="alphabeticlist"/>
  </w:abstractNum>
  <w:abstractNum w:abstractNumId="5"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4B228C"/>
    <w:multiLevelType w:val="multilevel"/>
    <w:tmpl w:val="B0B0F14E"/>
    <w:numStyleLink w:val="alphabeticlist"/>
  </w:abstractNum>
  <w:abstractNum w:abstractNumId="7"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8" w15:restartNumberingAfterBreak="0">
    <w:nsid w:val="15B02732"/>
    <w:multiLevelType w:val="multilevel"/>
    <w:tmpl w:val="B0B0F14E"/>
    <w:numStyleLink w:val="alphabeticlist"/>
  </w:abstractNum>
  <w:abstractNum w:abstractNumId="9"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0"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1"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2" w15:restartNumberingAfterBreak="0">
    <w:nsid w:val="1AD22763"/>
    <w:multiLevelType w:val="multilevel"/>
    <w:tmpl w:val="B0B0F14E"/>
    <w:numStyleLink w:val="alphabeticlist"/>
  </w:abstractNum>
  <w:abstractNum w:abstractNumId="13"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AA147E"/>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5" w15:restartNumberingAfterBreak="0">
    <w:nsid w:val="21527C06"/>
    <w:multiLevelType w:val="multilevel"/>
    <w:tmpl w:val="B0B0F14E"/>
    <w:numStyleLink w:val="alphabeticlist"/>
  </w:abstractNum>
  <w:abstractNum w:abstractNumId="16"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8" w15:restartNumberingAfterBreak="0">
    <w:nsid w:val="2D3E6808"/>
    <w:multiLevelType w:val="multilevel"/>
    <w:tmpl w:val="B0B0F14E"/>
    <w:numStyleLink w:val="alphabeticlist"/>
  </w:abstractNum>
  <w:abstractNum w:abstractNumId="19" w15:restartNumberingAfterBreak="0">
    <w:nsid w:val="348D43A9"/>
    <w:multiLevelType w:val="multilevel"/>
    <w:tmpl w:val="B0B0F14E"/>
    <w:numStyleLink w:val="alphabeticlist"/>
  </w:abstractNum>
  <w:abstractNum w:abstractNumId="20" w15:restartNumberingAfterBreak="0">
    <w:nsid w:val="36144C33"/>
    <w:multiLevelType w:val="multilevel"/>
    <w:tmpl w:val="B0B0F14E"/>
    <w:numStyleLink w:val="alphabeticlist"/>
  </w:abstractNum>
  <w:abstractNum w:abstractNumId="21"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2"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3"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4"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5" w15:restartNumberingAfterBreak="0">
    <w:nsid w:val="458F3902"/>
    <w:multiLevelType w:val="multilevel"/>
    <w:tmpl w:val="B0B0F14E"/>
    <w:numStyleLink w:val="alphabeticlist"/>
  </w:abstractNum>
  <w:abstractNum w:abstractNumId="26"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8"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9"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1" w15:restartNumberingAfterBreak="0">
    <w:nsid w:val="575646FD"/>
    <w:multiLevelType w:val="multilevel"/>
    <w:tmpl w:val="B0B0F14E"/>
    <w:numStyleLink w:val="alphabeticlist"/>
  </w:abstractNum>
  <w:abstractNum w:abstractNumId="32"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4" w15:restartNumberingAfterBreak="0">
    <w:nsid w:val="68B12C1B"/>
    <w:multiLevelType w:val="multilevel"/>
    <w:tmpl w:val="B0B0F14E"/>
    <w:numStyleLink w:val="alphabeticlist"/>
  </w:abstractNum>
  <w:abstractNum w:abstractNumId="35"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7"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8"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9"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1" w15:restartNumberingAfterBreak="0">
    <w:nsid w:val="78551967"/>
    <w:multiLevelType w:val="multilevel"/>
    <w:tmpl w:val="B0B0F14E"/>
    <w:numStyleLink w:val="alphabeticlist"/>
  </w:abstractNum>
  <w:abstractNum w:abstractNumId="42"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3"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40"/>
  </w:num>
  <w:num w:numId="4" w16cid:durableId="2040355165">
    <w:abstractNumId w:val="10"/>
  </w:num>
  <w:num w:numId="5" w16cid:durableId="956906937">
    <w:abstractNumId w:val="23"/>
  </w:num>
  <w:num w:numId="6" w16cid:durableId="1030763697">
    <w:abstractNumId w:val="38"/>
  </w:num>
  <w:num w:numId="7" w16cid:durableId="1754622550">
    <w:abstractNumId w:val="18"/>
  </w:num>
  <w:num w:numId="8" w16cid:durableId="84957830">
    <w:abstractNumId w:val="12"/>
  </w:num>
  <w:num w:numId="9" w16cid:durableId="273557635">
    <w:abstractNumId w:val="11"/>
  </w:num>
  <w:num w:numId="10" w16cid:durableId="1326319021">
    <w:abstractNumId w:val="43"/>
  </w:num>
  <w:num w:numId="11" w16cid:durableId="980959296">
    <w:abstractNumId w:val="15"/>
  </w:num>
  <w:num w:numId="12" w16cid:durableId="1331523949">
    <w:abstractNumId w:val="19"/>
  </w:num>
  <w:num w:numId="13" w16cid:durableId="773592549">
    <w:abstractNumId w:val="6"/>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1"/>
  </w:num>
  <w:num w:numId="15" w16cid:durableId="1460956043">
    <w:abstractNumId w:val="4"/>
  </w:num>
  <w:num w:numId="16" w16cid:durableId="1295794166">
    <w:abstractNumId w:val="22"/>
  </w:num>
  <w:num w:numId="17" w16cid:durableId="1111127724">
    <w:abstractNumId w:val="34"/>
  </w:num>
  <w:num w:numId="18" w16cid:durableId="556211198">
    <w:abstractNumId w:val="36"/>
  </w:num>
  <w:num w:numId="19" w16cid:durableId="219175742">
    <w:abstractNumId w:val="28"/>
  </w:num>
  <w:num w:numId="20" w16cid:durableId="1219711272">
    <w:abstractNumId w:val="35"/>
  </w:num>
  <w:num w:numId="21" w16cid:durableId="1137651330">
    <w:abstractNumId w:val="5"/>
  </w:num>
  <w:num w:numId="22" w16cid:durableId="656417451">
    <w:abstractNumId w:val="13"/>
  </w:num>
  <w:num w:numId="23" w16cid:durableId="80566737">
    <w:abstractNumId w:val="41"/>
  </w:num>
  <w:num w:numId="24" w16cid:durableId="10285273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8"/>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5"/>
  </w:num>
  <w:num w:numId="27" w16cid:durableId="911088265">
    <w:abstractNumId w:val="20"/>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7"/>
  </w:num>
  <w:num w:numId="29" w16cid:durableId="103691948">
    <w:abstractNumId w:val="16"/>
  </w:num>
  <w:num w:numId="30" w16cid:durableId="1685748060">
    <w:abstractNumId w:val="3"/>
  </w:num>
  <w:num w:numId="31" w16cid:durableId="1357270523">
    <w:abstractNumId w:val="32"/>
  </w:num>
  <w:num w:numId="32" w16cid:durableId="1256862855">
    <w:abstractNumId w:val="33"/>
  </w:num>
  <w:num w:numId="33" w16cid:durableId="15699975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6"/>
  </w:num>
  <w:num w:numId="36" w16cid:durableId="1582983916">
    <w:abstractNumId w:val="17"/>
  </w:num>
  <w:num w:numId="37" w16cid:durableId="1790591206">
    <w:abstractNumId w:val="42"/>
  </w:num>
  <w:num w:numId="38" w16cid:durableId="1125268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30"/>
  </w:num>
  <w:num w:numId="40" w16cid:durableId="1581214273">
    <w:abstractNumId w:val="9"/>
  </w:num>
  <w:num w:numId="41" w16cid:durableId="2079554386">
    <w:abstractNumId w:val="21"/>
  </w:num>
  <w:num w:numId="42" w16cid:durableId="1000893048">
    <w:abstractNumId w:val="29"/>
  </w:num>
  <w:num w:numId="43" w16cid:durableId="1257440269">
    <w:abstractNumId w:val="7"/>
  </w:num>
  <w:num w:numId="44" w16cid:durableId="1603412568">
    <w:abstractNumId w:val="27"/>
  </w:num>
  <w:num w:numId="45" w16cid:durableId="1380007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3890190">
    <w:abstractNumId w:val="14"/>
  </w:num>
  <w:num w:numId="48" w16cid:durableId="88876146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640D"/>
    <w:rsid w:val="00086737"/>
    <w:rsid w:val="00087892"/>
    <w:rsid w:val="00090665"/>
    <w:rsid w:val="00091E50"/>
    <w:rsid w:val="000A604B"/>
    <w:rsid w:val="000B0E1F"/>
    <w:rsid w:val="000B4B2D"/>
    <w:rsid w:val="000B64C4"/>
    <w:rsid w:val="000C0DE7"/>
    <w:rsid w:val="000C3AAD"/>
    <w:rsid w:val="000C606E"/>
    <w:rsid w:val="000C627A"/>
    <w:rsid w:val="000C6A0D"/>
    <w:rsid w:val="000D0902"/>
    <w:rsid w:val="000D1DC6"/>
    <w:rsid w:val="000D656B"/>
    <w:rsid w:val="000D6B51"/>
    <w:rsid w:val="000D6C40"/>
    <w:rsid w:val="001143DE"/>
    <w:rsid w:val="00114C8C"/>
    <w:rsid w:val="00114E12"/>
    <w:rsid w:val="00117B68"/>
    <w:rsid w:val="001331D6"/>
    <w:rsid w:val="0014132B"/>
    <w:rsid w:val="0014661E"/>
    <w:rsid w:val="0015358F"/>
    <w:rsid w:val="00160C0F"/>
    <w:rsid w:val="001643BA"/>
    <w:rsid w:val="0016649A"/>
    <w:rsid w:val="001705E5"/>
    <w:rsid w:val="00184DCC"/>
    <w:rsid w:val="0018788E"/>
    <w:rsid w:val="0019561D"/>
    <w:rsid w:val="00195CFB"/>
    <w:rsid w:val="001A4478"/>
    <w:rsid w:val="001A4E7D"/>
    <w:rsid w:val="001B10D4"/>
    <w:rsid w:val="001B2D25"/>
    <w:rsid w:val="001B6175"/>
    <w:rsid w:val="001C322A"/>
    <w:rsid w:val="001C675F"/>
    <w:rsid w:val="001D5044"/>
    <w:rsid w:val="001D5CE0"/>
    <w:rsid w:val="001E178D"/>
    <w:rsid w:val="001F6BCB"/>
    <w:rsid w:val="001F7A9F"/>
    <w:rsid w:val="00204C72"/>
    <w:rsid w:val="00214FF0"/>
    <w:rsid w:val="002260D4"/>
    <w:rsid w:val="0023032D"/>
    <w:rsid w:val="00241E84"/>
    <w:rsid w:val="00243ABB"/>
    <w:rsid w:val="00245E51"/>
    <w:rsid w:val="00254458"/>
    <w:rsid w:val="00257715"/>
    <w:rsid w:val="0026268B"/>
    <w:rsid w:val="002859BA"/>
    <w:rsid w:val="00287D05"/>
    <w:rsid w:val="00292E57"/>
    <w:rsid w:val="002A4B1B"/>
    <w:rsid w:val="002B08E4"/>
    <w:rsid w:val="002C1A75"/>
    <w:rsid w:val="002C4448"/>
    <w:rsid w:val="002C5AAF"/>
    <w:rsid w:val="002C5AB5"/>
    <w:rsid w:val="002D6EBC"/>
    <w:rsid w:val="002D7B20"/>
    <w:rsid w:val="002E7CF2"/>
    <w:rsid w:val="002F5C16"/>
    <w:rsid w:val="00303169"/>
    <w:rsid w:val="0030336F"/>
    <w:rsid w:val="00307522"/>
    <w:rsid w:val="00317365"/>
    <w:rsid w:val="00320B13"/>
    <w:rsid w:val="0032297C"/>
    <w:rsid w:val="00333302"/>
    <w:rsid w:val="00333BCE"/>
    <w:rsid w:val="00336A64"/>
    <w:rsid w:val="00342211"/>
    <w:rsid w:val="00345F62"/>
    <w:rsid w:val="00347B96"/>
    <w:rsid w:val="00357681"/>
    <w:rsid w:val="00371B52"/>
    <w:rsid w:val="00376942"/>
    <w:rsid w:val="00393006"/>
    <w:rsid w:val="003A30F8"/>
    <w:rsid w:val="003A6988"/>
    <w:rsid w:val="003A7937"/>
    <w:rsid w:val="003B0E18"/>
    <w:rsid w:val="003B591A"/>
    <w:rsid w:val="003B7A2C"/>
    <w:rsid w:val="003C76C7"/>
    <w:rsid w:val="003D0AEC"/>
    <w:rsid w:val="003D11EF"/>
    <w:rsid w:val="003D26EF"/>
    <w:rsid w:val="003D4F17"/>
    <w:rsid w:val="003E09FD"/>
    <w:rsid w:val="003E377F"/>
    <w:rsid w:val="004044F6"/>
    <w:rsid w:val="0040595E"/>
    <w:rsid w:val="00405AEB"/>
    <w:rsid w:val="00406738"/>
    <w:rsid w:val="00410280"/>
    <w:rsid w:val="00415E42"/>
    <w:rsid w:val="00416A85"/>
    <w:rsid w:val="004201C2"/>
    <w:rsid w:val="0042055B"/>
    <w:rsid w:val="00420961"/>
    <w:rsid w:val="004268C5"/>
    <w:rsid w:val="00437788"/>
    <w:rsid w:val="004439F1"/>
    <w:rsid w:val="00466BFD"/>
    <w:rsid w:val="00470155"/>
    <w:rsid w:val="00472602"/>
    <w:rsid w:val="00477F0D"/>
    <w:rsid w:val="004952AA"/>
    <w:rsid w:val="004B16ED"/>
    <w:rsid w:val="004B2D23"/>
    <w:rsid w:val="004B61B6"/>
    <w:rsid w:val="004D0C38"/>
    <w:rsid w:val="004D2F97"/>
    <w:rsid w:val="004E4E3D"/>
    <w:rsid w:val="004E7644"/>
    <w:rsid w:val="004F21FE"/>
    <w:rsid w:val="004F4F60"/>
    <w:rsid w:val="00503616"/>
    <w:rsid w:val="005105F9"/>
    <w:rsid w:val="00514BAC"/>
    <w:rsid w:val="00514F1A"/>
    <w:rsid w:val="005157FF"/>
    <w:rsid w:val="00530598"/>
    <w:rsid w:val="00531CC4"/>
    <w:rsid w:val="00532415"/>
    <w:rsid w:val="0054197A"/>
    <w:rsid w:val="00542EC4"/>
    <w:rsid w:val="0055167A"/>
    <w:rsid w:val="00556AC7"/>
    <w:rsid w:val="0056340B"/>
    <w:rsid w:val="00574E0F"/>
    <w:rsid w:val="00580B5B"/>
    <w:rsid w:val="00582DF5"/>
    <w:rsid w:val="00583417"/>
    <w:rsid w:val="00587B94"/>
    <w:rsid w:val="005933F3"/>
    <w:rsid w:val="00594B05"/>
    <w:rsid w:val="00595D9B"/>
    <w:rsid w:val="005A232B"/>
    <w:rsid w:val="005A6FB3"/>
    <w:rsid w:val="005B49B5"/>
    <w:rsid w:val="005C4F05"/>
    <w:rsid w:val="005C7760"/>
    <w:rsid w:val="005D2754"/>
    <w:rsid w:val="005E6FD7"/>
    <w:rsid w:val="00603A34"/>
    <w:rsid w:val="00606C6E"/>
    <w:rsid w:val="00607F72"/>
    <w:rsid w:val="00631AD4"/>
    <w:rsid w:val="00634956"/>
    <w:rsid w:val="00636CAC"/>
    <w:rsid w:val="00637F6B"/>
    <w:rsid w:val="00642617"/>
    <w:rsid w:val="00642E65"/>
    <w:rsid w:val="00652E43"/>
    <w:rsid w:val="00674674"/>
    <w:rsid w:val="006766D8"/>
    <w:rsid w:val="00680F57"/>
    <w:rsid w:val="006831E9"/>
    <w:rsid w:val="00686EB2"/>
    <w:rsid w:val="00691A9B"/>
    <w:rsid w:val="00692CB6"/>
    <w:rsid w:val="00695011"/>
    <w:rsid w:val="006A22B3"/>
    <w:rsid w:val="006B7A11"/>
    <w:rsid w:val="006B7A34"/>
    <w:rsid w:val="006C2875"/>
    <w:rsid w:val="006C2E2F"/>
    <w:rsid w:val="006C729E"/>
    <w:rsid w:val="006C7A2F"/>
    <w:rsid w:val="006D4EAB"/>
    <w:rsid w:val="006E1350"/>
    <w:rsid w:val="006E1AE6"/>
    <w:rsid w:val="006E67D3"/>
    <w:rsid w:val="006E681C"/>
    <w:rsid w:val="0070715E"/>
    <w:rsid w:val="007125F2"/>
    <w:rsid w:val="00713CD9"/>
    <w:rsid w:val="00721A21"/>
    <w:rsid w:val="00725935"/>
    <w:rsid w:val="00733C4F"/>
    <w:rsid w:val="0073571A"/>
    <w:rsid w:val="00735DA8"/>
    <w:rsid w:val="00736746"/>
    <w:rsid w:val="00737CE3"/>
    <w:rsid w:val="00745253"/>
    <w:rsid w:val="00745AA8"/>
    <w:rsid w:val="00751DBD"/>
    <w:rsid w:val="00753591"/>
    <w:rsid w:val="007738DD"/>
    <w:rsid w:val="00782786"/>
    <w:rsid w:val="0078719A"/>
    <w:rsid w:val="00787486"/>
    <w:rsid w:val="007906C3"/>
    <w:rsid w:val="00795C8B"/>
    <w:rsid w:val="00796709"/>
    <w:rsid w:val="007977FA"/>
    <w:rsid w:val="007A1247"/>
    <w:rsid w:val="007A2DFD"/>
    <w:rsid w:val="007A4E96"/>
    <w:rsid w:val="007A59DA"/>
    <w:rsid w:val="007A6D39"/>
    <w:rsid w:val="007B40BF"/>
    <w:rsid w:val="007B6142"/>
    <w:rsid w:val="007E2A9D"/>
    <w:rsid w:val="007E6F40"/>
    <w:rsid w:val="007F5708"/>
    <w:rsid w:val="00804356"/>
    <w:rsid w:val="00810A72"/>
    <w:rsid w:val="00810CC9"/>
    <w:rsid w:val="00814ACD"/>
    <w:rsid w:val="008152CD"/>
    <w:rsid w:val="00823017"/>
    <w:rsid w:val="008241B5"/>
    <w:rsid w:val="00824CF2"/>
    <w:rsid w:val="00831B0D"/>
    <w:rsid w:val="00835055"/>
    <w:rsid w:val="00837A14"/>
    <w:rsid w:val="00844899"/>
    <w:rsid w:val="00845B8A"/>
    <w:rsid w:val="0085044A"/>
    <w:rsid w:val="008636C3"/>
    <w:rsid w:val="00871791"/>
    <w:rsid w:val="00880034"/>
    <w:rsid w:val="00882E10"/>
    <w:rsid w:val="00893AC0"/>
    <w:rsid w:val="00896068"/>
    <w:rsid w:val="008A1626"/>
    <w:rsid w:val="008A1FAC"/>
    <w:rsid w:val="008A648E"/>
    <w:rsid w:val="008A7F85"/>
    <w:rsid w:val="008B6473"/>
    <w:rsid w:val="008C3A7F"/>
    <w:rsid w:val="008C4A73"/>
    <w:rsid w:val="008C5105"/>
    <w:rsid w:val="008D7419"/>
    <w:rsid w:val="008E1FFE"/>
    <w:rsid w:val="008E3022"/>
    <w:rsid w:val="008F4967"/>
    <w:rsid w:val="008F4B28"/>
    <w:rsid w:val="009050A5"/>
    <w:rsid w:val="00913771"/>
    <w:rsid w:val="00914D28"/>
    <w:rsid w:val="00914EB1"/>
    <w:rsid w:val="0091628B"/>
    <w:rsid w:val="00917E75"/>
    <w:rsid w:val="00924622"/>
    <w:rsid w:val="00927D8A"/>
    <w:rsid w:val="00930B0E"/>
    <w:rsid w:val="009405D8"/>
    <w:rsid w:val="00942BF5"/>
    <w:rsid w:val="00960E50"/>
    <w:rsid w:val="009638C7"/>
    <w:rsid w:val="00964061"/>
    <w:rsid w:val="00966CCD"/>
    <w:rsid w:val="009760AC"/>
    <w:rsid w:val="00977C2F"/>
    <w:rsid w:val="00994CAD"/>
    <w:rsid w:val="00997EF0"/>
    <w:rsid w:val="00997F6E"/>
    <w:rsid w:val="009A18B2"/>
    <w:rsid w:val="009B0A7F"/>
    <w:rsid w:val="009B79D7"/>
    <w:rsid w:val="009D0FB9"/>
    <w:rsid w:val="009D6CB7"/>
    <w:rsid w:val="009E44F7"/>
    <w:rsid w:val="009E7B77"/>
    <w:rsid w:val="009E7E00"/>
    <w:rsid w:val="009F7B91"/>
    <w:rsid w:val="00A00E1C"/>
    <w:rsid w:val="00A04D84"/>
    <w:rsid w:val="00A07AD1"/>
    <w:rsid w:val="00A1007A"/>
    <w:rsid w:val="00A1172F"/>
    <w:rsid w:val="00A2087D"/>
    <w:rsid w:val="00A22FBD"/>
    <w:rsid w:val="00A27626"/>
    <w:rsid w:val="00A27E9C"/>
    <w:rsid w:val="00A33D0D"/>
    <w:rsid w:val="00A3596C"/>
    <w:rsid w:val="00A36422"/>
    <w:rsid w:val="00A37012"/>
    <w:rsid w:val="00A379C2"/>
    <w:rsid w:val="00A37C2A"/>
    <w:rsid w:val="00A4063A"/>
    <w:rsid w:val="00A45CE6"/>
    <w:rsid w:val="00A5759F"/>
    <w:rsid w:val="00A62FC7"/>
    <w:rsid w:val="00A6401A"/>
    <w:rsid w:val="00A64B8F"/>
    <w:rsid w:val="00A659A7"/>
    <w:rsid w:val="00A70484"/>
    <w:rsid w:val="00A728FF"/>
    <w:rsid w:val="00A72B40"/>
    <w:rsid w:val="00A819CF"/>
    <w:rsid w:val="00A8210A"/>
    <w:rsid w:val="00A824C3"/>
    <w:rsid w:val="00A831A1"/>
    <w:rsid w:val="00A86F8A"/>
    <w:rsid w:val="00A92746"/>
    <w:rsid w:val="00A97421"/>
    <w:rsid w:val="00AA7965"/>
    <w:rsid w:val="00AB17B2"/>
    <w:rsid w:val="00AB23DB"/>
    <w:rsid w:val="00AB5287"/>
    <w:rsid w:val="00AC09D2"/>
    <w:rsid w:val="00AD3A6F"/>
    <w:rsid w:val="00AD659A"/>
    <w:rsid w:val="00AD7852"/>
    <w:rsid w:val="00AE2925"/>
    <w:rsid w:val="00B01D75"/>
    <w:rsid w:val="00B15CBC"/>
    <w:rsid w:val="00B3237E"/>
    <w:rsid w:val="00B53AED"/>
    <w:rsid w:val="00B54749"/>
    <w:rsid w:val="00B617D7"/>
    <w:rsid w:val="00B65073"/>
    <w:rsid w:val="00BA3537"/>
    <w:rsid w:val="00BA7396"/>
    <w:rsid w:val="00BA7D44"/>
    <w:rsid w:val="00BC0B7F"/>
    <w:rsid w:val="00BC37CA"/>
    <w:rsid w:val="00BD0F4F"/>
    <w:rsid w:val="00BD5C05"/>
    <w:rsid w:val="00BE0CE1"/>
    <w:rsid w:val="00BE2DA3"/>
    <w:rsid w:val="00BF4A2C"/>
    <w:rsid w:val="00BF5EA6"/>
    <w:rsid w:val="00BF79BD"/>
    <w:rsid w:val="00C04A82"/>
    <w:rsid w:val="00C06B60"/>
    <w:rsid w:val="00C11683"/>
    <w:rsid w:val="00C13BCE"/>
    <w:rsid w:val="00C14C31"/>
    <w:rsid w:val="00C227EE"/>
    <w:rsid w:val="00C24D82"/>
    <w:rsid w:val="00C26747"/>
    <w:rsid w:val="00C507F5"/>
    <w:rsid w:val="00C53428"/>
    <w:rsid w:val="00C71F35"/>
    <w:rsid w:val="00C80994"/>
    <w:rsid w:val="00C819E9"/>
    <w:rsid w:val="00C87A54"/>
    <w:rsid w:val="00C947DE"/>
    <w:rsid w:val="00CA7FAD"/>
    <w:rsid w:val="00CC5CBF"/>
    <w:rsid w:val="00CC5E4B"/>
    <w:rsid w:val="00CC734F"/>
    <w:rsid w:val="00CD00CA"/>
    <w:rsid w:val="00CD5CE4"/>
    <w:rsid w:val="00CD5D7E"/>
    <w:rsid w:val="00CE03DC"/>
    <w:rsid w:val="00CE1263"/>
    <w:rsid w:val="00CE7EF0"/>
    <w:rsid w:val="00CF1192"/>
    <w:rsid w:val="00CF17A4"/>
    <w:rsid w:val="00CF37C5"/>
    <w:rsid w:val="00CF3B40"/>
    <w:rsid w:val="00D00B24"/>
    <w:rsid w:val="00D0493A"/>
    <w:rsid w:val="00D06B4A"/>
    <w:rsid w:val="00D07834"/>
    <w:rsid w:val="00D10BB1"/>
    <w:rsid w:val="00D13D65"/>
    <w:rsid w:val="00D24F2D"/>
    <w:rsid w:val="00D47D4B"/>
    <w:rsid w:val="00D47D6B"/>
    <w:rsid w:val="00D5132D"/>
    <w:rsid w:val="00D52157"/>
    <w:rsid w:val="00D54C50"/>
    <w:rsid w:val="00D64B87"/>
    <w:rsid w:val="00D73298"/>
    <w:rsid w:val="00D8485E"/>
    <w:rsid w:val="00D9298F"/>
    <w:rsid w:val="00DA0ADE"/>
    <w:rsid w:val="00DA2FC5"/>
    <w:rsid w:val="00DA4539"/>
    <w:rsid w:val="00DB3FA5"/>
    <w:rsid w:val="00DB76A1"/>
    <w:rsid w:val="00DC0FE8"/>
    <w:rsid w:val="00DD008E"/>
    <w:rsid w:val="00DD0766"/>
    <w:rsid w:val="00DD4C6D"/>
    <w:rsid w:val="00DD7471"/>
    <w:rsid w:val="00DF0157"/>
    <w:rsid w:val="00DF37E3"/>
    <w:rsid w:val="00DF403D"/>
    <w:rsid w:val="00DF6666"/>
    <w:rsid w:val="00DF6D9E"/>
    <w:rsid w:val="00E00CDF"/>
    <w:rsid w:val="00E0181C"/>
    <w:rsid w:val="00E04671"/>
    <w:rsid w:val="00E071CD"/>
    <w:rsid w:val="00E1103E"/>
    <w:rsid w:val="00E13BBF"/>
    <w:rsid w:val="00E2085E"/>
    <w:rsid w:val="00E233EA"/>
    <w:rsid w:val="00E30344"/>
    <w:rsid w:val="00E346ED"/>
    <w:rsid w:val="00E34CDA"/>
    <w:rsid w:val="00E420E5"/>
    <w:rsid w:val="00E43390"/>
    <w:rsid w:val="00E460B7"/>
    <w:rsid w:val="00E579DE"/>
    <w:rsid w:val="00E62624"/>
    <w:rsid w:val="00E73B46"/>
    <w:rsid w:val="00E75293"/>
    <w:rsid w:val="00E8575D"/>
    <w:rsid w:val="00E87521"/>
    <w:rsid w:val="00E97895"/>
    <w:rsid w:val="00EA13A9"/>
    <w:rsid w:val="00EA66CC"/>
    <w:rsid w:val="00EB02BA"/>
    <w:rsid w:val="00EB549D"/>
    <w:rsid w:val="00EB5871"/>
    <w:rsid w:val="00EB5FDD"/>
    <w:rsid w:val="00EC00E4"/>
    <w:rsid w:val="00EC3CB6"/>
    <w:rsid w:val="00ED21CC"/>
    <w:rsid w:val="00ED2AB6"/>
    <w:rsid w:val="00EF1FA5"/>
    <w:rsid w:val="00EF4037"/>
    <w:rsid w:val="00F00EC5"/>
    <w:rsid w:val="00F035C1"/>
    <w:rsid w:val="00F10231"/>
    <w:rsid w:val="00F155A3"/>
    <w:rsid w:val="00F178AD"/>
    <w:rsid w:val="00F20F90"/>
    <w:rsid w:val="00F2406E"/>
    <w:rsid w:val="00F24EA4"/>
    <w:rsid w:val="00F261C7"/>
    <w:rsid w:val="00F353CE"/>
    <w:rsid w:val="00F36C39"/>
    <w:rsid w:val="00F45307"/>
    <w:rsid w:val="00F574A9"/>
    <w:rsid w:val="00F6236B"/>
    <w:rsid w:val="00F6543F"/>
    <w:rsid w:val="00F82D9F"/>
    <w:rsid w:val="00FA2790"/>
    <w:rsid w:val="00FA4B7B"/>
    <w:rsid w:val="00FA630F"/>
    <w:rsid w:val="00FC46B9"/>
    <w:rsid w:val="00FC7E46"/>
    <w:rsid w:val="00FE271B"/>
    <w:rsid w:val="00FF7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CA7FA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CA7FAD"/>
    <w:rPr>
      <w:b/>
      <w:bCs/>
    </w:rPr>
  </w:style>
  <w:style w:type="paragraph" w:styleId="Revision">
    <w:name w:val="Revision"/>
    <w:hidden/>
    <w:uiPriority w:val="99"/>
    <w:semiHidden/>
    <w:rsid w:val="006831E9"/>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RDC@aaoifi.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97</TotalTime>
  <Pages>1</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9</cp:revision>
  <dcterms:created xsi:type="dcterms:W3CDTF">2026-04-05T09:05:00Z</dcterms:created>
  <dcterms:modified xsi:type="dcterms:W3CDTF">2026-04-12T09:35:00Z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54d41a7,e2c0206,67c5a93d,1c33fb67,2c8084f6</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2026-04-05T09:05:16Z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70db87c9-9575-444a-9b9c-8bbab51320ca</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