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5C5D152A" w14:textId="2FC2BF5B" w:rsidR="005F40FB" w:rsidRPr="0055476E" w:rsidRDefault="00F50C13" w:rsidP="003818BD">
      <w:pPr>
        <w:suppressAutoHyphens/>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sidR="00313A6E" w:rsidRPr="0055476E">
        <w:rPr>
          <w:rFonts w:ascii="Times New Roman" w:hAnsi="Times New Roman"/>
          <w:spacing w:val="-2"/>
          <w:sz w:val="24"/>
          <w:szCs w:val="24"/>
        </w:rPr>
        <w:t>Saudi Arabia</w:t>
      </w:r>
    </w:p>
    <w:p w14:paraId="1B29475D" w14:textId="48E950AC" w:rsidR="002378BD" w:rsidRPr="0055476E" w:rsidRDefault="00790458" w:rsidP="002378BD">
      <w:pPr>
        <w:suppressAutoHyphens/>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00CA2901" w:rsidRPr="00CA2901">
        <w:rPr>
          <w:rFonts w:ascii="Times New Roman" w:hAnsi="Times New Roman"/>
          <w:spacing w:val="-2"/>
          <w:sz w:val="24"/>
          <w:szCs w:val="24"/>
        </w:rPr>
        <w:t>Credit Incentive and Enhancement System (CIES) Implementation</w:t>
      </w:r>
    </w:p>
    <w:p w14:paraId="37E58B87" w14:textId="4889488D" w:rsidR="00920788" w:rsidRPr="0055476E" w:rsidRDefault="007279C8" w:rsidP="0081297F">
      <w:pPr>
        <w:suppressAutoHyphens/>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w:t>
      </w:r>
      <w:r w:rsidR="00F10D6E" w:rsidRPr="00F10D6E">
        <w:rPr>
          <w:rFonts w:ascii="Times New Roman" w:hAnsi="Times New Roman"/>
          <w:spacing w:val="-2"/>
          <w:sz w:val="24"/>
          <w:szCs w:val="24"/>
        </w:rPr>
        <w:t>Islamic Finance / Financial Inclusion / Fintech</w:t>
      </w:r>
    </w:p>
    <w:p w14:paraId="46D44CD7" w14:textId="3562E2E4" w:rsidR="00591E90" w:rsidRPr="0055476E" w:rsidRDefault="00A07D64" w:rsidP="00920788">
      <w:pPr>
        <w:suppressAutoHyphens/>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w:t>
      </w:r>
      <w:r w:rsidR="00322FC3" w:rsidRPr="0055476E">
        <w:rPr>
          <w:rFonts w:ascii="Times New Roman" w:hAnsi="Times New Roman"/>
          <w:sz w:val="24"/>
          <w:szCs w:val="24"/>
        </w:rPr>
        <w:t>Islamic Finance</w:t>
      </w:r>
      <w:r w:rsidRPr="0055476E">
        <w:rPr>
          <w:rFonts w:ascii="Times New Roman" w:hAnsi="Times New Roman"/>
          <w:sz w:val="24"/>
          <w:szCs w:val="24"/>
        </w:rPr>
        <w:t xml:space="preserve"> Grant </w:t>
      </w:r>
    </w:p>
    <w:p w14:paraId="3AE76D8F" w14:textId="39A6C12B" w:rsidR="005F40FB" w:rsidRPr="0055476E" w:rsidRDefault="005F40FB" w:rsidP="003818BD">
      <w:pPr>
        <w:pStyle w:val="BodyText"/>
        <w:rPr>
          <w:rFonts w:ascii="Times New Roman" w:hAnsi="Times New Roman"/>
          <w:szCs w:val="24"/>
        </w:rPr>
      </w:pPr>
      <w:r w:rsidRPr="00EB4709">
        <w:rPr>
          <w:rFonts w:ascii="Times New Roman" w:hAnsi="Times New Roman"/>
          <w:b/>
          <w:bCs/>
          <w:szCs w:val="24"/>
        </w:rPr>
        <w:t>Financing No</w:t>
      </w:r>
      <w:r w:rsidR="00EB4709">
        <w:rPr>
          <w:rFonts w:ascii="Times New Roman" w:hAnsi="Times New Roman"/>
          <w:b/>
          <w:bCs/>
          <w:szCs w:val="24"/>
        </w:rPr>
        <w:t>:</w:t>
      </w:r>
      <w:r w:rsidR="00EB4709">
        <w:rPr>
          <w:rFonts w:ascii="Times New Roman" w:hAnsi="Times New Roman"/>
          <w:szCs w:val="24"/>
        </w:rPr>
        <w:t xml:space="preserve"> </w:t>
      </w:r>
      <w:r w:rsidR="00313A6E" w:rsidRPr="0055476E">
        <w:rPr>
          <w:rFonts w:ascii="Times New Roman" w:hAnsi="Times New Roman"/>
          <w:szCs w:val="24"/>
        </w:rPr>
        <w:t>ZZZ2760</w:t>
      </w:r>
    </w:p>
    <w:p w14:paraId="5B62EC40" w14:textId="77777777" w:rsidR="005130C3" w:rsidRPr="00B96F14" w:rsidRDefault="005130C3">
      <w:pPr>
        <w:pStyle w:val="ChapterNumber"/>
        <w:tabs>
          <w:tab w:val="clear" w:pos="-720"/>
        </w:tabs>
        <w:rPr>
          <w:rFonts w:ascii="Times New Roman" w:hAnsi="Times New Roman"/>
          <w:spacing w:val="-2"/>
        </w:rPr>
      </w:pPr>
    </w:p>
    <w:p w14:paraId="7D0E4344" w14:textId="242F6B06" w:rsidR="005130C3" w:rsidRPr="00DE017B" w:rsidRDefault="00BC481C" w:rsidP="7257D6DB">
      <w:pPr>
        <w:suppressAutoHyphens/>
        <w:jc w:val="both"/>
        <w:rPr>
          <w:rFonts w:ascii="Times New Roman" w:hAnsi="Times New Roman"/>
          <w:i/>
          <w:iCs/>
          <w:spacing w:val="-2"/>
          <w:sz w:val="24"/>
          <w:szCs w:val="24"/>
        </w:rPr>
      </w:pPr>
      <w:r w:rsidRPr="00BC481C">
        <w:rPr>
          <w:rFonts w:ascii="Times New Roman" w:hAnsi="Times New Roman"/>
          <w:spacing w:val="-2"/>
          <w:sz w:val="24"/>
          <w:szCs w:val="24"/>
        </w:rPr>
        <w:t>The Islamic Development Bank Institute has approved grant ID 197,611, approximately USD 264,800 (United States Dollar Two Hundred and Sixty-Four Thousand Eight Hundred equivalent), to support the implementation of the Credit Incentive and Enhancement System (CIES). CIES is an innovative, blockchain-enabled system designed to enhance credit governance and financial inclusion.</w:t>
      </w:r>
      <w:r w:rsidR="005130C3" w:rsidRPr="7257D6DB">
        <w:rPr>
          <w:rFonts w:ascii="Times New Roman" w:hAnsi="Times New Roman"/>
          <w:spacing w:val="-2"/>
          <w:sz w:val="24"/>
          <w:szCs w:val="24"/>
        </w:rPr>
        <w:t xml:space="preserve"> </w:t>
      </w:r>
    </w:p>
    <w:p w14:paraId="0A8F5056" w14:textId="77777777" w:rsidR="00423073" w:rsidRPr="00423073" w:rsidRDefault="00423073" w:rsidP="00423073">
      <w:pPr>
        <w:spacing w:before="120" w:after="120"/>
        <w:rPr>
          <w:rFonts w:asciiTheme="majorBidi" w:hAnsiTheme="majorBidi" w:cstheme="majorBidi"/>
          <w:sz w:val="24"/>
          <w:szCs w:val="24"/>
        </w:rPr>
      </w:pPr>
      <w:r w:rsidRPr="00423073">
        <w:rPr>
          <w:rFonts w:asciiTheme="majorBidi" w:hAnsiTheme="majorBidi" w:cstheme="majorBidi"/>
          <w:sz w:val="24"/>
          <w:szCs w:val="24"/>
        </w:rPr>
        <w:t>The consultancy services will include the following components:</w:t>
      </w:r>
    </w:p>
    <w:p w14:paraId="3709A31F" w14:textId="77777777" w:rsidR="00423073" w:rsidRPr="00423073" w:rsidRDefault="00423073" w:rsidP="007E36F8">
      <w:pPr>
        <w:pStyle w:val="ListParagraph"/>
        <w:numPr>
          <w:ilvl w:val="0"/>
          <w:numId w:val="12"/>
        </w:numPr>
        <w:spacing w:before="120" w:line="276" w:lineRule="auto"/>
        <w:contextualSpacing w:val="0"/>
        <w:rPr>
          <w:rFonts w:asciiTheme="majorBidi" w:hAnsiTheme="majorBidi" w:cstheme="majorBidi"/>
          <w:sz w:val="24"/>
          <w:szCs w:val="24"/>
        </w:rPr>
      </w:pPr>
      <w:r w:rsidRPr="00423073">
        <w:rPr>
          <w:rFonts w:asciiTheme="majorBidi" w:hAnsiTheme="majorBidi" w:cstheme="majorBidi"/>
          <w:b/>
          <w:bCs/>
          <w:sz w:val="24"/>
          <w:szCs w:val="24"/>
        </w:rPr>
        <w:t>Client Engagement &amp; Market Validation Component:</w:t>
      </w:r>
      <w:r w:rsidRPr="00423073">
        <w:rPr>
          <w:rFonts w:asciiTheme="majorBidi" w:hAnsiTheme="majorBidi" w:cstheme="majorBidi"/>
          <w:sz w:val="24"/>
          <w:szCs w:val="24"/>
        </w:rPr>
        <w:t xml:space="preserve"> Identify and secure a suitable partner institution for the CIES deployment.</w:t>
      </w:r>
    </w:p>
    <w:p w14:paraId="07C3B8BA" w14:textId="77777777" w:rsidR="00423073" w:rsidRPr="00423073" w:rsidRDefault="00423073" w:rsidP="007E36F8">
      <w:pPr>
        <w:pStyle w:val="ListParagraph"/>
        <w:numPr>
          <w:ilvl w:val="0"/>
          <w:numId w:val="12"/>
        </w:numPr>
        <w:spacing w:before="120" w:line="276" w:lineRule="auto"/>
        <w:contextualSpacing w:val="0"/>
        <w:rPr>
          <w:rFonts w:asciiTheme="majorBidi" w:hAnsiTheme="majorBidi" w:cstheme="majorBidi"/>
          <w:sz w:val="24"/>
          <w:szCs w:val="24"/>
        </w:rPr>
      </w:pPr>
      <w:r w:rsidRPr="00423073">
        <w:rPr>
          <w:rFonts w:asciiTheme="majorBidi" w:hAnsiTheme="majorBidi" w:cstheme="majorBidi"/>
          <w:b/>
          <w:bCs/>
          <w:sz w:val="24"/>
          <w:szCs w:val="24"/>
        </w:rPr>
        <w:t>CIES System Implementation Component:</w:t>
      </w:r>
      <w:r w:rsidRPr="00423073">
        <w:rPr>
          <w:rFonts w:asciiTheme="majorBidi" w:hAnsiTheme="majorBidi" w:cstheme="majorBidi"/>
          <w:sz w:val="24"/>
          <w:szCs w:val="24"/>
        </w:rPr>
        <w:t xml:space="preserve"> Implement the CIES solution, including backend setup, API development, blockchain deployment, and system integration.</w:t>
      </w:r>
    </w:p>
    <w:p w14:paraId="7A927096" w14:textId="77777777" w:rsidR="00423073" w:rsidRPr="00423073" w:rsidRDefault="00423073" w:rsidP="007E36F8">
      <w:pPr>
        <w:pStyle w:val="ListParagraph"/>
        <w:numPr>
          <w:ilvl w:val="0"/>
          <w:numId w:val="12"/>
        </w:numPr>
        <w:spacing w:before="120" w:line="276" w:lineRule="auto"/>
        <w:contextualSpacing w:val="0"/>
        <w:rPr>
          <w:rFonts w:asciiTheme="majorBidi" w:hAnsiTheme="majorBidi" w:cstheme="majorBidi"/>
          <w:sz w:val="24"/>
          <w:szCs w:val="24"/>
        </w:rPr>
      </w:pPr>
      <w:r w:rsidRPr="00423073">
        <w:rPr>
          <w:rFonts w:asciiTheme="majorBidi" w:hAnsiTheme="majorBidi" w:cstheme="majorBidi"/>
          <w:b/>
          <w:bCs/>
          <w:sz w:val="24"/>
          <w:szCs w:val="24"/>
        </w:rPr>
        <w:t>Integration, Testing &amp; User Acceptance Component:</w:t>
      </w:r>
      <w:r w:rsidRPr="00423073">
        <w:rPr>
          <w:rFonts w:asciiTheme="majorBidi" w:hAnsiTheme="majorBidi" w:cstheme="majorBidi"/>
          <w:sz w:val="24"/>
          <w:szCs w:val="24"/>
        </w:rPr>
        <w:t xml:space="preserve"> Conduct integration testing, UAT, and formal sign-off.</w:t>
      </w:r>
    </w:p>
    <w:p w14:paraId="5EF63376" w14:textId="77777777" w:rsidR="00423073" w:rsidRDefault="00423073" w:rsidP="007E36F8">
      <w:pPr>
        <w:pStyle w:val="ListParagraph"/>
        <w:numPr>
          <w:ilvl w:val="0"/>
          <w:numId w:val="12"/>
        </w:numPr>
        <w:spacing w:before="120" w:line="276" w:lineRule="auto"/>
        <w:contextualSpacing w:val="0"/>
        <w:rPr>
          <w:rFonts w:asciiTheme="majorBidi" w:hAnsiTheme="majorBidi" w:cstheme="majorBidi"/>
          <w:sz w:val="24"/>
          <w:szCs w:val="24"/>
        </w:rPr>
      </w:pPr>
      <w:r w:rsidRPr="00423073">
        <w:rPr>
          <w:rFonts w:asciiTheme="majorBidi" w:hAnsiTheme="majorBidi" w:cstheme="majorBidi"/>
          <w:b/>
          <w:bCs/>
          <w:sz w:val="24"/>
          <w:szCs w:val="24"/>
        </w:rPr>
        <w:t>Training, Adoption &amp; Handover Component:</w:t>
      </w:r>
      <w:r w:rsidRPr="00423073">
        <w:rPr>
          <w:rFonts w:asciiTheme="majorBidi" w:hAnsiTheme="majorBidi" w:cstheme="majorBidi"/>
          <w:sz w:val="24"/>
          <w:szCs w:val="24"/>
        </w:rPr>
        <w:t xml:space="preserve"> Deliver user training, adoption support, and final system handover.</w:t>
      </w:r>
    </w:p>
    <w:p w14:paraId="419E261D" w14:textId="1D1B6796" w:rsidR="007E36F8" w:rsidRPr="007E36F8" w:rsidRDefault="007E36F8" w:rsidP="007E36F8">
      <w:pPr>
        <w:spacing w:before="120" w:line="276" w:lineRule="auto"/>
        <w:rPr>
          <w:rFonts w:asciiTheme="majorBidi" w:hAnsiTheme="majorBidi" w:cstheme="majorBidi"/>
          <w:sz w:val="24"/>
          <w:szCs w:val="24"/>
        </w:rPr>
      </w:pPr>
      <w:r>
        <w:rPr>
          <w:rFonts w:asciiTheme="majorBidi" w:hAnsiTheme="majorBidi" w:cstheme="majorBidi"/>
          <w:sz w:val="24"/>
          <w:szCs w:val="24"/>
        </w:rPr>
        <w:t>The Consultancy Services will be based on an international shortlist using Fixed Budget Selection (FBS) method.</w:t>
      </w:r>
    </w:p>
    <w:p w14:paraId="050AFBF4" w14:textId="04AA0735" w:rsidR="005130C3" w:rsidRPr="00B96F14" w:rsidRDefault="003B360E" w:rsidP="0065085F">
      <w:pPr>
        <w:suppressAutoHyphens/>
        <w:jc w:val="both"/>
        <w:rPr>
          <w:rFonts w:ascii="Times New Roman" w:hAnsi="Times New Roman"/>
          <w:iCs/>
          <w:spacing w:val="-2"/>
          <w:sz w:val="24"/>
        </w:rPr>
      </w:pPr>
      <w:r w:rsidRPr="003B360E">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proofErr w:type="gramStart"/>
      <w:r w:rsidRPr="003B360E">
        <w:rPr>
          <w:rFonts w:ascii="Times New Roman" w:hAnsi="Times New Roman"/>
          <w:spacing w:val="-2"/>
          <w:sz w:val="24"/>
        </w:rPr>
        <w:t>Revised</w:t>
      </w:r>
      <w:proofErr w:type="gramEnd"/>
      <w:r w:rsidRPr="003B360E">
        <w:rPr>
          <w:rFonts w:ascii="Times New Roman" w:hAnsi="Times New Roman"/>
          <w:spacing w:val="-2"/>
          <w:sz w:val="24"/>
        </w:rPr>
        <w:t xml:space="preserve"> in February 2023) and is open to all eligible bidders as defined in the guidelines.</w:t>
      </w:r>
      <w:r w:rsidR="00DF62EB" w:rsidRPr="00B96F14">
        <w:rPr>
          <w:rFonts w:ascii="Times New Roman" w:hAnsi="Times New Roman"/>
          <w:spacing w:val="-2"/>
          <w:sz w:val="24"/>
        </w:rPr>
        <w:t xml:space="preserve"> </w:t>
      </w:r>
    </w:p>
    <w:p w14:paraId="2D9B0BC7" w14:textId="1063BCD3" w:rsidR="00E574FD" w:rsidRPr="00093C31" w:rsidRDefault="005D5F34" w:rsidP="00DB5377">
      <w:pPr>
        <w:spacing w:before="400" w:after="200"/>
        <w:ind w:right="200"/>
        <w:jc w:val="both"/>
        <w:rPr>
          <w:rFonts w:ascii="Times New Roman" w:hAnsi="Times New Roman"/>
          <w:spacing w:val="-2"/>
          <w:sz w:val="24"/>
          <w:u w:val="single"/>
        </w:rPr>
      </w:pPr>
      <w:r w:rsidRPr="00093C31">
        <w:rPr>
          <w:rFonts w:ascii="Times New Roman" w:hAnsi="Times New Roman"/>
          <w:spacing w:val="-2"/>
          <w:sz w:val="24"/>
          <w:u w:val="single"/>
        </w:rPr>
        <w:t xml:space="preserve">Requests for Expression of Interest for contracts for consultancy services will be announced as they become available on </w:t>
      </w:r>
      <w:r w:rsidR="003A3B2B" w:rsidRPr="00093C31">
        <w:rPr>
          <w:rFonts w:ascii="Times New Roman" w:hAnsi="Times New Roman"/>
          <w:spacing w:val="-2"/>
          <w:sz w:val="24"/>
          <w:u w:val="single"/>
        </w:rPr>
        <w:t xml:space="preserve">the </w:t>
      </w:r>
      <w:r w:rsidRPr="00093C31">
        <w:rPr>
          <w:rFonts w:ascii="Times New Roman" w:hAnsi="Times New Roman"/>
          <w:spacing w:val="-2"/>
          <w:sz w:val="24"/>
          <w:u w:val="single"/>
        </w:rPr>
        <w:t>IsDB Website</w:t>
      </w:r>
      <w:r w:rsidR="008D3A69" w:rsidRPr="00093C31">
        <w:rPr>
          <w:rFonts w:ascii="Times New Roman" w:hAnsi="Times New Roman"/>
          <w:spacing w:val="-2"/>
          <w:sz w:val="24"/>
          <w:u w:val="single"/>
        </w:rPr>
        <w:t xml:space="preserve"> </w:t>
      </w:r>
      <w:r w:rsidRPr="00093C31">
        <w:rPr>
          <w:rFonts w:ascii="Times New Roman" w:hAnsi="Times New Roman"/>
          <w:spacing w:val="-2"/>
          <w:sz w:val="24"/>
          <w:u w:val="single"/>
        </w:rPr>
        <w:t xml:space="preserve">and DG Market. </w:t>
      </w:r>
    </w:p>
    <w:p w14:paraId="1550C77A" w14:textId="6F8A7442" w:rsidR="00DB5377" w:rsidRDefault="00DB5377" w:rsidP="00DB5377">
      <w:pPr>
        <w:spacing w:before="400" w:after="200"/>
        <w:ind w:right="200"/>
        <w:jc w:val="both"/>
        <w:rPr>
          <w:rFonts w:ascii="Times New Roman" w:hAnsi="Times New Roman"/>
          <w:spacing w:val="-2"/>
          <w:sz w:val="24"/>
        </w:rPr>
      </w:pPr>
      <w:r w:rsidRPr="00B96F14">
        <w:rPr>
          <w:rFonts w:ascii="Times New Roman" w:hAnsi="Times New Roman"/>
          <w:spacing w:val="-2"/>
          <w:sz w:val="24"/>
        </w:rPr>
        <w:t xml:space="preserve">Interested eligible firms and individuals who would wish to be considered for the provision of consulting services for the </w:t>
      </w:r>
      <w:r w:rsidR="001D5A25" w:rsidRPr="00B96F14">
        <w:rPr>
          <w:rFonts w:ascii="Times New Roman" w:hAnsi="Times New Roman"/>
          <w:spacing w:val="-2"/>
          <w:sz w:val="24"/>
        </w:rPr>
        <w:t>above-mentioned</w:t>
      </w:r>
      <w:r w:rsidRPr="00B96F14">
        <w:rPr>
          <w:rFonts w:ascii="Times New Roman" w:hAnsi="Times New Roman"/>
          <w:spacing w:val="-2"/>
          <w:sz w:val="24"/>
        </w:rPr>
        <w:t xml:space="preserve"> project, or those requiring additional information, should contact the Beneficiary at the address below:</w:t>
      </w:r>
    </w:p>
    <w:p w14:paraId="485012BE" w14:textId="77777777" w:rsidR="00313A6E" w:rsidRPr="00313A6E" w:rsidRDefault="00313A6E" w:rsidP="00313A6E">
      <w:pPr>
        <w:spacing w:before="400" w:after="200"/>
        <w:ind w:right="200"/>
        <w:jc w:val="both"/>
        <w:rPr>
          <w:rFonts w:ascii="Times New Roman" w:hAnsi="Times New Roman"/>
          <w:spacing w:val="-2"/>
          <w:sz w:val="24"/>
        </w:rPr>
      </w:pPr>
      <w:r w:rsidRPr="00313A6E">
        <w:rPr>
          <w:rFonts w:ascii="Times New Roman" w:hAnsi="Times New Roman"/>
          <w:spacing w:val="-2"/>
          <w:sz w:val="24"/>
        </w:rPr>
        <w:t>THE ISLAMIC DEVELOPMENT BANK INSTITUTE</w:t>
      </w:r>
    </w:p>
    <w:p w14:paraId="42EBD79E" w14:textId="77777777" w:rsidR="00313A6E" w:rsidRPr="00313A6E" w:rsidRDefault="00313A6E" w:rsidP="00313A6E">
      <w:pPr>
        <w:suppressAutoHyphens/>
        <w:jc w:val="both"/>
        <w:rPr>
          <w:rFonts w:asciiTheme="majorBidi" w:eastAsia="Calibri" w:hAnsiTheme="majorBidi" w:cstheme="majorBidi"/>
          <w:spacing w:val="-2"/>
          <w:sz w:val="24"/>
          <w:szCs w:val="22"/>
        </w:rPr>
      </w:pPr>
      <w:r w:rsidRPr="00313A6E">
        <w:rPr>
          <w:rFonts w:asciiTheme="majorBidi" w:eastAsia="Calibri" w:hAnsiTheme="majorBidi" w:cstheme="majorBidi"/>
          <w:spacing w:val="-2"/>
          <w:sz w:val="24"/>
          <w:szCs w:val="22"/>
        </w:rPr>
        <w:t>Attention:        The Islamic Development Bank Institute</w:t>
      </w:r>
    </w:p>
    <w:p w14:paraId="5D9859E6" w14:textId="54BF19EC" w:rsidR="00EF369A" w:rsidRPr="00A37740" w:rsidRDefault="00313A6E" w:rsidP="008D3A69">
      <w:pPr>
        <w:ind w:right="202"/>
        <w:jc w:val="both"/>
        <w:rPr>
          <w:rFonts w:ascii="Times New Roman" w:hAnsi="Times New Roman"/>
          <w:spacing w:val="-2"/>
          <w:sz w:val="24"/>
        </w:rPr>
      </w:pPr>
      <w:r w:rsidRPr="00313A6E">
        <w:rPr>
          <w:rFonts w:asciiTheme="majorBidi" w:eastAsia="Calibri" w:hAnsiTheme="majorBidi" w:cstheme="majorBidi"/>
          <w:spacing w:val="-2"/>
          <w:sz w:val="24"/>
          <w:szCs w:val="22"/>
        </w:rPr>
        <w:t>Email:</w:t>
      </w:r>
      <w:r w:rsidRPr="00313A6E">
        <w:rPr>
          <w:rFonts w:asciiTheme="majorBidi" w:eastAsia="Calibri" w:hAnsiTheme="majorBidi" w:cstheme="majorBidi"/>
          <w:spacing w:val="-2"/>
          <w:sz w:val="24"/>
          <w:szCs w:val="22"/>
        </w:rPr>
        <w:tab/>
      </w:r>
      <w:r w:rsidR="008D3A69">
        <w:rPr>
          <w:rFonts w:asciiTheme="majorBidi" w:eastAsia="Calibri" w:hAnsiTheme="majorBidi" w:cstheme="majorBidi"/>
          <w:spacing w:val="-2"/>
          <w:sz w:val="24"/>
          <w:szCs w:val="22"/>
        </w:rPr>
        <w:tab/>
      </w:r>
      <w:hyperlink r:id="rId8" w:history="1">
        <w:r w:rsidR="00F812F2" w:rsidRPr="00944C66">
          <w:rPr>
            <w:rStyle w:val="Hyperlink"/>
            <w:rFonts w:asciiTheme="majorBidi" w:eastAsia="Calibri" w:hAnsiTheme="majorBidi" w:cstheme="majorBidi"/>
            <w:spacing w:val="-2"/>
            <w:sz w:val="24"/>
            <w:szCs w:val="22"/>
          </w:rPr>
          <w:t>cp.isdbi@isdb.org</w:t>
        </w:r>
      </w:hyperlink>
      <w:r w:rsidR="00F812F2">
        <w:rPr>
          <w:rFonts w:asciiTheme="majorBidi" w:eastAsia="Calibri" w:hAnsiTheme="majorBidi" w:cstheme="majorBidi"/>
          <w:spacing w:val="-2"/>
          <w:sz w:val="24"/>
          <w:szCs w:val="22"/>
        </w:rPr>
        <w:t xml:space="preserve"> </w:t>
      </w:r>
    </w:p>
    <w:sectPr w:rsidR="00EF369A" w:rsidRPr="00A37740" w:rsidSect="0020383A">
      <w:headerReference w:type="even" r:id="rId9"/>
      <w:endnotePr>
        <w:numFmt w:val="decimal"/>
      </w:endnotePr>
      <w:pgSz w:w="11907" w:h="16839" w:code="9"/>
      <w:pgMar w:top="450" w:right="1800" w:bottom="900" w:left="180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56FF" w14:textId="77777777" w:rsidR="0057144F" w:rsidRDefault="0057144F">
      <w:r>
        <w:separator/>
      </w:r>
    </w:p>
  </w:endnote>
  <w:endnote w:type="continuationSeparator" w:id="0">
    <w:p w14:paraId="08A2B38C" w14:textId="77777777" w:rsidR="0057144F" w:rsidRDefault="0057144F">
      <w:r>
        <w:rPr>
          <w:sz w:val="24"/>
        </w:rPr>
        <w:t xml:space="preserve"> </w:t>
      </w:r>
    </w:p>
  </w:endnote>
  <w:endnote w:type="continuationNotice" w:id="1">
    <w:p w14:paraId="68771CC4" w14:textId="77777777" w:rsidR="0057144F" w:rsidRDefault="005714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EAC6" w14:textId="77777777" w:rsidR="0057144F" w:rsidRDefault="0057144F">
      <w:r>
        <w:rPr>
          <w:sz w:val="24"/>
        </w:rPr>
        <w:separator/>
      </w:r>
    </w:p>
  </w:footnote>
  <w:footnote w:type="continuationSeparator" w:id="0">
    <w:p w14:paraId="63B355E1" w14:textId="77777777" w:rsidR="0057144F" w:rsidRDefault="0057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B84A40"/>
    <w:multiLevelType w:val="hybridMultilevel"/>
    <w:tmpl w:val="48F2F68C"/>
    <w:lvl w:ilvl="0" w:tplc="B442C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6201E9"/>
    <w:multiLevelType w:val="hybridMultilevel"/>
    <w:tmpl w:val="870C50CA"/>
    <w:lvl w:ilvl="0" w:tplc="C8C245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07362C5"/>
    <w:multiLevelType w:val="hybridMultilevel"/>
    <w:tmpl w:val="D3866FE2"/>
    <w:lvl w:ilvl="0" w:tplc="04090005">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2319149">
    <w:abstractNumId w:val="7"/>
  </w:num>
  <w:num w:numId="2" w16cid:durableId="793406557">
    <w:abstractNumId w:val="9"/>
  </w:num>
  <w:num w:numId="3" w16cid:durableId="55981859">
    <w:abstractNumId w:val="4"/>
  </w:num>
  <w:num w:numId="4" w16cid:durableId="1549754977">
    <w:abstractNumId w:val="10"/>
  </w:num>
  <w:num w:numId="5" w16cid:durableId="529493172">
    <w:abstractNumId w:val="5"/>
  </w:num>
  <w:num w:numId="6" w16cid:durableId="1665014975">
    <w:abstractNumId w:val="0"/>
  </w:num>
  <w:num w:numId="7" w16cid:durableId="1569682505">
    <w:abstractNumId w:val="1"/>
  </w:num>
  <w:num w:numId="8" w16cid:durableId="1203244881">
    <w:abstractNumId w:val="8"/>
  </w:num>
  <w:num w:numId="9" w16cid:durableId="141893788">
    <w:abstractNumId w:val="3"/>
  </w:num>
  <w:num w:numId="10" w16cid:durableId="1414352411">
    <w:abstractNumId w:val="6"/>
  </w:num>
  <w:num w:numId="11" w16cid:durableId="220138471">
    <w:abstractNumId w:val="2"/>
  </w:num>
  <w:num w:numId="12" w16cid:durableId="1736393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qQUAHpm3VywAAAA="/>
  </w:docVars>
  <w:rsids>
    <w:rsidRoot w:val="005130C3"/>
    <w:rsid w:val="0001394F"/>
    <w:rsid w:val="00037F1C"/>
    <w:rsid w:val="00073C60"/>
    <w:rsid w:val="00080B04"/>
    <w:rsid w:val="0008270C"/>
    <w:rsid w:val="0008577E"/>
    <w:rsid w:val="00087A5D"/>
    <w:rsid w:val="0009213A"/>
    <w:rsid w:val="00093C31"/>
    <w:rsid w:val="000B33E5"/>
    <w:rsid w:val="000B3C65"/>
    <w:rsid w:val="000B4D40"/>
    <w:rsid w:val="000D0B4C"/>
    <w:rsid w:val="000E734D"/>
    <w:rsid w:val="000F4D9A"/>
    <w:rsid w:val="000F5AD5"/>
    <w:rsid w:val="0010171D"/>
    <w:rsid w:val="00117F46"/>
    <w:rsid w:val="001744B5"/>
    <w:rsid w:val="00190C88"/>
    <w:rsid w:val="001942C9"/>
    <w:rsid w:val="001B38AC"/>
    <w:rsid w:val="001B53B8"/>
    <w:rsid w:val="001D5A25"/>
    <w:rsid w:val="001D7B59"/>
    <w:rsid w:val="001F4D12"/>
    <w:rsid w:val="001F65C4"/>
    <w:rsid w:val="0020383A"/>
    <w:rsid w:val="00216103"/>
    <w:rsid w:val="002378BD"/>
    <w:rsid w:val="00240380"/>
    <w:rsid w:val="00260A8E"/>
    <w:rsid w:val="0028708A"/>
    <w:rsid w:val="002C5423"/>
    <w:rsid w:val="00313A6E"/>
    <w:rsid w:val="00322FC3"/>
    <w:rsid w:val="0033717F"/>
    <w:rsid w:val="00343FB8"/>
    <w:rsid w:val="00347B31"/>
    <w:rsid w:val="003710CD"/>
    <w:rsid w:val="003818BD"/>
    <w:rsid w:val="003A3B2B"/>
    <w:rsid w:val="003B360E"/>
    <w:rsid w:val="003F5CF1"/>
    <w:rsid w:val="00410A67"/>
    <w:rsid w:val="00411482"/>
    <w:rsid w:val="00423073"/>
    <w:rsid w:val="00440F14"/>
    <w:rsid w:val="00446758"/>
    <w:rsid w:val="00456400"/>
    <w:rsid w:val="00457B5D"/>
    <w:rsid w:val="00472074"/>
    <w:rsid w:val="004A5F59"/>
    <w:rsid w:val="005130C3"/>
    <w:rsid w:val="00514999"/>
    <w:rsid w:val="0055476E"/>
    <w:rsid w:val="00557532"/>
    <w:rsid w:val="0057144F"/>
    <w:rsid w:val="00581EEA"/>
    <w:rsid w:val="0058450F"/>
    <w:rsid w:val="00591E90"/>
    <w:rsid w:val="00596C54"/>
    <w:rsid w:val="005C4E63"/>
    <w:rsid w:val="005C7504"/>
    <w:rsid w:val="005D1F6B"/>
    <w:rsid w:val="005D5F34"/>
    <w:rsid w:val="005E0060"/>
    <w:rsid w:val="005F40FB"/>
    <w:rsid w:val="00606DA8"/>
    <w:rsid w:val="00633BF6"/>
    <w:rsid w:val="0065085F"/>
    <w:rsid w:val="00677A84"/>
    <w:rsid w:val="00683074"/>
    <w:rsid w:val="00693295"/>
    <w:rsid w:val="006C61FF"/>
    <w:rsid w:val="006C780E"/>
    <w:rsid w:val="006D1046"/>
    <w:rsid w:val="006E45CD"/>
    <w:rsid w:val="006F77EA"/>
    <w:rsid w:val="0071170D"/>
    <w:rsid w:val="007279C8"/>
    <w:rsid w:val="007360B0"/>
    <w:rsid w:val="00737AC3"/>
    <w:rsid w:val="007636A6"/>
    <w:rsid w:val="00772158"/>
    <w:rsid w:val="007757C0"/>
    <w:rsid w:val="00784716"/>
    <w:rsid w:val="00790458"/>
    <w:rsid w:val="007A56B0"/>
    <w:rsid w:val="007B2DE3"/>
    <w:rsid w:val="007B7103"/>
    <w:rsid w:val="007C347A"/>
    <w:rsid w:val="007D23F5"/>
    <w:rsid w:val="007E36F8"/>
    <w:rsid w:val="007F2386"/>
    <w:rsid w:val="00811900"/>
    <w:rsid w:val="0081297F"/>
    <w:rsid w:val="008268E8"/>
    <w:rsid w:val="00837EB4"/>
    <w:rsid w:val="00846B37"/>
    <w:rsid w:val="008C6246"/>
    <w:rsid w:val="008D3A69"/>
    <w:rsid w:val="008E47FB"/>
    <w:rsid w:val="008F7EA6"/>
    <w:rsid w:val="009063C5"/>
    <w:rsid w:val="00920788"/>
    <w:rsid w:val="00924F5F"/>
    <w:rsid w:val="00944DFB"/>
    <w:rsid w:val="009462BF"/>
    <w:rsid w:val="009865B1"/>
    <w:rsid w:val="009E4E88"/>
    <w:rsid w:val="009E7C2D"/>
    <w:rsid w:val="009F23EC"/>
    <w:rsid w:val="00A04504"/>
    <w:rsid w:val="00A07D64"/>
    <w:rsid w:val="00A2771A"/>
    <w:rsid w:val="00A35CA3"/>
    <w:rsid w:val="00A37740"/>
    <w:rsid w:val="00A54B9D"/>
    <w:rsid w:val="00A903DD"/>
    <w:rsid w:val="00A92C92"/>
    <w:rsid w:val="00A93FAE"/>
    <w:rsid w:val="00A94FE4"/>
    <w:rsid w:val="00AB6B93"/>
    <w:rsid w:val="00AC3470"/>
    <w:rsid w:val="00AD6056"/>
    <w:rsid w:val="00B37961"/>
    <w:rsid w:val="00B4480E"/>
    <w:rsid w:val="00B575C1"/>
    <w:rsid w:val="00B96F14"/>
    <w:rsid w:val="00BC481C"/>
    <w:rsid w:val="00BC7634"/>
    <w:rsid w:val="00BD33E3"/>
    <w:rsid w:val="00BE58D4"/>
    <w:rsid w:val="00C12FE6"/>
    <w:rsid w:val="00C35E72"/>
    <w:rsid w:val="00C37D2F"/>
    <w:rsid w:val="00C87D46"/>
    <w:rsid w:val="00CA2901"/>
    <w:rsid w:val="00CF1A04"/>
    <w:rsid w:val="00D04375"/>
    <w:rsid w:val="00D40631"/>
    <w:rsid w:val="00D52227"/>
    <w:rsid w:val="00D628D6"/>
    <w:rsid w:val="00D879CE"/>
    <w:rsid w:val="00D9176D"/>
    <w:rsid w:val="00D95C2C"/>
    <w:rsid w:val="00D96FC4"/>
    <w:rsid w:val="00DB5377"/>
    <w:rsid w:val="00DB62EA"/>
    <w:rsid w:val="00DB78F4"/>
    <w:rsid w:val="00DE017B"/>
    <w:rsid w:val="00DF62EB"/>
    <w:rsid w:val="00E03FA9"/>
    <w:rsid w:val="00E1704E"/>
    <w:rsid w:val="00E1795B"/>
    <w:rsid w:val="00E327FB"/>
    <w:rsid w:val="00E574FD"/>
    <w:rsid w:val="00E612DE"/>
    <w:rsid w:val="00E706F3"/>
    <w:rsid w:val="00E708FB"/>
    <w:rsid w:val="00E8259B"/>
    <w:rsid w:val="00E91D42"/>
    <w:rsid w:val="00EA1FCE"/>
    <w:rsid w:val="00EA3994"/>
    <w:rsid w:val="00EB4709"/>
    <w:rsid w:val="00EC4BD3"/>
    <w:rsid w:val="00EC7758"/>
    <w:rsid w:val="00EF369A"/>
    <w:rsid w:val="00F0555B"/>
    <w:rsid w:val="00F10D6E"/>
    <w:rsid w:val="00F26132"/>
    <w:rsid w:val="00F31D76"/>
    <w:rsid w:val="00F50C13"/>
    <w:rsid w:val="00F5133B"/>
    <w:rsid w:val="00F57864"/>
    <w:rsid w:val="00F812F2"/>
    <w:rsid w:val="00F822DF"/>
    <w:rsid w:val="00F83572"/>
    <w:rsid w:val="00FC6C8B"/>
    <w:rsid w:val="00FD4C8B"/>
    <w:rsid w:val="00FE439A"/>
    <w:rsid w:val="00FF3796"/>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E1704E"/>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isdbi@isd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1897</Characters>
  <Application>Microsoft Office Word</Application>
  <DocSecurity>0</DocSecurity>
  <Lines>37</Lines>
  <Paragraphs>22</Paragraphs>
  <ScaleCrop>false</ScaleCrop>
  <Company>The World Bank</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Taha El feel</cp:lastModifiedBy>
  <cp:revision>3</cp:revision>
  <cp:lastPrinted>2009-03-05T06:40:00Z</cp:lastPrinted>
  <dcterms:created xsi:type="dcterms:W3CDTF">2026-03-31T09:52:00Z</dcterms:created>
  <dcterms:modified xsi:type="dcterms:W3CDTF">2026-03-31T09:58:00Z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