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1025" o:bwmode="white" o:targetscreensize="1024,768">
      <v:fill r:id="rId4" o:title="smart_cookie_media_cover" recolor="t" type="frame"/>
    </v:background>
  </w:background>
  <w:body>
    <w:p w14:paraId="10DFA06C" w14:textId="77777777" w:rsidR="006B0CEA" w:rsidRDefault="00782333" w:rsidP="00782333">
      <w:pPr>
        <w:pStyle w:val="Heading1"/>
        <w:jc w:val="center"/>
        <w:rPr>
          <w:lang w:val="en-US"/>
        </w:rPr>
      </w:pPr>
      <w:r>
        <w:rPr>
          <w:lang w:val="en-US"/>
        </w:rPr>
        <w:t>REQUEST FOR EXPRESSIONS OF INTEREST</w:t>
      </w:r>
    </w:p>
    <w:p w14:paraId="6E1A15BD" w14:textId="77777777" w:rsidR="00782333" w:rsidRDefault="00782333" w:rsidP="00782333">
      <w:pPr>
        <w:jc w:val="center"/>
        <w:rPr>
          <w:lang w:val="en-US"/>
        </w:rPr>
      </w:pPr>
      <w:r>
        <w:rPr>
          <w:lang w:val="en-US"/>
        </w:rPr>
        <w:t>(CONSULTANT SERVICES – SELECTION OF FIRM)</w:t>
      </w:r>
    </w:p>
    <w:tbl>
      <w:tblPr>
        <w:tblStyle w:val="TableGrid"/>
        <w:tblW w:w="97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235"/>
      </w:tblGrid>
      <w:tr w:rsidR="00782333" w:rsidRPr="00D05134" w14:paraId="58870CBB" w14:textId="77777777" w:rsidTr="001F4D05">
        <w:trPr>
          <w:trHeight w:val="340"/>
          <w:jc w:val="center"/>
        </w:trPr>
        <w:tc>
          <w:tcPr>
            <w:tcW w:w="2547" w:type="dxa"/>
            <w:vAlign w:val="center"/>
          </w:tcPr>
          <w:p w14:paraId="79C0F0F0" w14:textId="77777777" w:rsidR="00782333" w:rsidRPr="00D05134" w:rsidRDefault="00782333" w:rsidP="001F4D05">
            <w:pPr>
              <w:rPr>
                <w:sz w:val="20"/>
                <w:szCs w:val="20"/>
                <w:lang w:val="en-US"/>
              </w:rPr>
            </w:pPr>
            <w:r w:rsidRPr="00D05134">
              <w:rPr>
                <w:sz w:val="20"/>
                <w:szCs w:val="20"/>
                <w:lang w:val="en-US"/>
              </w:rPr>
              <w:t>Country:</w:t>
            </w:r>
          </w:p>
        </w:tc>
        <w:tc>
          <w:tcPr>
            <w:tcW w:w="7235" w:type="dxa"/>
            <w:vAlign w:val="center"/>
          </w:tcPr>
          <w:p w14:paraId="79E81BFF" w14:textId="77777777" w:rsidR="00782333" w:rsidRPr="00D05134" w:rsidRDefault="00782333" w:rsidP="001F4D05">
            <w:pPr>
              <w:rPr>
                <w:sz w:val="20"/>
                <w:szCs w:val="20"/>
                <w:lang w:val="en-US"/>
              </w:rPr>
            </w:pPr>
            <w:r w:rsidRPr="00D05134">
              <w:rPr>
                <w:sz w:val="20"/>
                <w:szCs w:val="20"/>
                <w:lang w:val="en-US"/>
              </w:rPr>
              <w:t>Republic of Uzbekistan</w:t>
            </w:r>
          </w:p>
        </w:tc>
      </w:tr>
      <w:tr w:rsidR="00782333" w:rsidRPr="00F55FB1" w14:paraId="0F488D59" w14:textId="77777777" w:rsidTr="001F4D05">
        <w:trPr>
          <w:trHeight w:val="340"/>
          <w:jc w:val="center"/>
        </w:trPr>
        <w:tc>
          <w:tcPr>
            <w:tcW w:w="2547" w:type="dxa"/>
            <w:vAlign w:val="center"/>
          </w:tcPr>
          <w:p w14:paraId="50004EF4" w14:textId="77777777" w:rsidR="00782333" w:rsidRPr="00D05134" w:rsidRDefault="00782333" w:rsidP="001F4D05">
            <w:pPr>
              <w:rPr>
                <w:sz w:val="20"/>
                <w:szCs w:val="20"/>
                <w:lang w:val="en-US"/>
              </w:rPr>
            </w:pPr>
            <w:r w:rsidRPr="00D05134">
              <w:rPr>
                <w:sz w:val="20"/>
                <w:szCs w:val="20"/>
                <w:lang w:val="en-US"/>
              </w:rPr>
              <w:t>Name Project:</w:t>
            </w:r>
          </w:p>
        </w:tc>
        <w:tc>
          <w:tcPr>
            <w:tcW w:w="7235" w:type="dxa"/>
            <w:vAlign w:val="center"/>
          </w:tcPr>
          <w:p w14:paraId="36E1CB7F" w14:textId="516B5823" w:rsidR="00782333" w:rsidRPr="00D05134" w:rsidRDefault="00782333" w:rsidP="001F4D05">
            <w:pPr>
              <w:jc w:val="both"/>
              <w:rPr>
                <w:sz w:val="20"/>
                <w:szCs w:val="20"/>
                <w:lang w:val="en-US"/>
              </w:rPr>
            </w:pPr>
            <w:r>
              <w:rPr>
                <w:sz w:val="20"/>
                <w:szCs w:val="20"/>
                <w:lang w:val="en-US"/>
              </w:rPr>
              <w:t xml:space="preserve">Reconstruction of 4R40 Dashtabad – Zaamin – Bakhmal – </w:t>
            </w:r>
            <w:r w:rsidR="00291F36" w:rsidRPr="00291F36">
              <w:rPr>
                <w:sz w:val="20"/>
                <w:szCs w:val="20"/>
                <w:lang w:val="en-US"/>
              </w:rPr>
              <w:t xml:space="preserve">Gallyaaral </w:t>
            </w:r>
            <w:r>
              <w:rPr>
                <w:sz w:val="20"/>
                <w:szCs w:val="20"/>
                <w:lang w:val="en-US"/>
              </w:rPr>
              <w:t>Road Project (24-182 km)</w:t>
            </w:r>
          </w:p>
        </w:tc>
      </w:tr>
      <w:tr w:rsidR="00782333" w:rsidRPr="00D05134" w14:paraId="664F9B6E" w14:textId="77777777" w:rsidTr="001F4D05">
        <w:trPr>
          <w:trHeight w:val="340"/>
          <w:jc w:val="center"/>
        </w:trPr>
        <w:tc>
          <w:tcPr>
            <w:tcW w:w="2547" w:type="dxa"/>
            <w:vAlign w:val="center"/>
          </w:tcPr>
          <w:p w14:paraId="6D634A60" w14:textId="77777777" w:rsidR="00782333" w:rsidRPr="00D05134" w:rsidRDefault="00782333" w:rsidP="001F4D05">
            <w:pPr>
              <w:rPr>
                <w:sz w:val="20"/>
                <w:szCs w:val="20"/>
                <w:lang w:val="en-US"/>
              </w:rPr>
            </w:pPr>
            <w:r w:rsidRPr="00D05134">
              <w:rPr>
                <w:sz w:val="20"/>
                <w:szCs w:val="20"/>
                <w:lang w:val="en-US"/>
              </w:rPr>
              <w:t>Sector:</w:t>
            </w:r>
          </w:p>
        </w:tc>
        <w:tc>
          <w:tcPr>
            <w:tcW w:w="7235" w:type="dxa"/>
            <w:vAlign w:val="center"/>
          </w:tcPr>
          <w:p w14:paraId="152923D0" w14:textId="77777777" w:rsidR="00782333" w:rsidRPr="00D05134" w:rsidRDefault="00782333" w:rsidP="001F4D05">
            <w:pPr>
              <w:rPr>
                <w:sz w:val="20"/>
                <w:szCs w:val="20"/>
                <w:lang w:val="en-US"/>
              </w:rPr>
            </w:pPr>
            <w:r>
              <w:rPr>
                <w:sz w:val="20"/>
                <w:szCs w:val="20"/>
                <w:lang w:val="en-US"/>
              </w:rPr>
              <w:t>Transport</w:t>
            </w:r>
          </w:p>
        </w:tc>
      </w:tr>
      <w:tr w:rsidR="00782333" w:rsidRPr="00D05134" w14:paraId="12A78866" w14:textId="77777777" w:rsidTr="001F4D05">
        <w:trPr>
          <w:trHeight w:val="340"/>
          <w:jc w:val="center"/>
        </w:trPr>
        <w:tc>
          <w:tcPr>
            <w:tcW w:w="2547" w:type="dxa"/>
            <w:vAlign w:val="center"/>
          </w:tcPr>
          <w:p w14:paraId="170AC5FF" w14:textId="77777777" w:rsidR="00782333" w:rsidRPr="00D05134" w:rsidRDefault="00782333" w:rsidP="001F4D05">
            <w:pPr>
              <w:rPr>
                <w:sz w:val="20"/>
                <w:szCs w:val="20"/>
                <w:lang w:val="en-US"/>
              </w:rPr>
            </w:pPr>
            <w:r>
              <w:rPr>
                <w:sz w:val="20"/>
                <w:szCs w:val="20"/>
                <w:lang w:val="en-US"/>
              </w:rPr>
              <w:t>Consulting services:</w:t>
            </w:r>
          </w:p>
        </w:tc>
        <w:tc>
          <w:tcPr>
            <w:tcW w:w="7235" w:type="dxa"/>
            <w:vAlign w:val="center"/>
          </w:tcPr>
          <w:p w14:paraId="135A84DB" w14:textId="77777777" w:rsidR="00782333" w:rsidRDefault="00782333" w:rsidP="001F4D05">
            <w:pPr>
              <w:rPr>
                <w:sz w:val="20"/>
                <w:szCs w:val="20"/>
                <w:lang w:val="en-US"/>
              </w:rPr>
            </w:pPr>
            <w:r>
              <w:rPr>
                <w:sz w:val="20"/>
                <w:szCs w:val="20"/>
                <w:lang w:val="en-US"/>
              </w:rPr>
              <w:t>Construction Supervision Consultant</w:t>
            </w:r>
          </w:p>
        </w:tc>
      </w:tr>
      <w:tr w:rsidR="00782333" w:rsidRPr="00D05134" w14:paraId="5C88DA57" w14:textId="77777777" w:rsidTr="001F4D05">
        <w:trPr>
          <w:trHeight w:val="340"/>
          <w:jc w:val="center"/>
        </w:trPr>
        <w:tc>
          <w:tcPr>
            <w:tcW w:w="2547" w:type="dxa"/>
            <w:vAlign w:val="center"/>
          </w:tcPr>
          <w:p w14:paraId="4028656E" w14:textId="77777777" w:rsidR="00782333" w:rsidRPr="00D05134" w:rsidRDefault="00782333" w:rsidP="001F4D05">
            <w:pPr>
              <w:rPr>
                <w:sz w:val="20"/>
                <w:szCs w:val="20"/>
                <w:lang w:val="en-US"/>
              </w:rPr>
            </w:pPr>
            <w:r w:rsidRPr="00D05134">
              <w:rPr>
                <w:sz w:val="20"/>
                <w:szCs w:val="20"/>
                <w:lang w:val="en-US"/>
              </w:rPr>
              <w:t>Mode of Financing:</w:t>
            </w:r>
          </w:p>
        </w:tc>
        <w:tc>
          <w:tcPr>
            <w:tcW w:w="7235" w:type="dxa"/>
            <w:vAlign w:val="center"/>
          </w:tcPr>
          <w:p w14:paraId="68C80586" w14:textId="77777777" w:rsidR="00782333" w:rsidRPr="00D05134" w:rsidRDefault="00782333" w:rsidP="001F4D05">
            <w:pPr>
              <w:rPr>
                <w:sz w:val="20"/>
                <w:szCs w:val="20"/>
                <w:lang w:val="en-US"/>
              </w:rPr>
            </w:pPr>
            <w:r>
              <w:rPr>
                <w:sz w:val="20"/>
                <w:szCs w:val="20"/>
                <w:lang w:val="en-US"/>
              </w:rPr>
              <w:t>Installment Sale</w:t>
            </w:r>
          </w:p>
        </w:tc>
      </w:tr>
      <w:tr w:rsidR="00782333" w:rsidRPr="00D05134" w14:paraId="2DD009CA" w14:textId="77777777" w:rsidTr="001F4D05">
        <w:trPr>
          <w:trHeight w:val="340"/>
          <w:jc w:val="center"/>
        </w:trPr>
        <w:tc>
          <w:tcPr>
            <w:tcW w:w="2547" w:type="dxa"/>
            <w:vAlign w:val="center"/>
          </w:tcPr>
          <w:p w14:paraId="092D34B1" w14:textId="4AB5C55E" w:rsidR="00782333" w:rsidRPr="00D05134" w:rsidRDefault="00782333" w:rsidP="001F4D05">
            <w:pPr>
              <w:rPr>
                <w:sz w:val="20"/>
                <w:szCs w:val="20"/>
                <w:lang w:val="en-US"/>
              </w:rPr>
            </w:pPr>
          </w:p>
        </w:tc>
        <w:tc>
          <w:tcPr>
            <w:tcW w:w="7235" w:type="dxa"/>
            <w:vAlign w:val="center"/>
          </w:tcPr>
          <w:p w14:paraId="264B3229" w14:textId="6BCA4B40" w:rsidR="00782333" w:rsidRPr="00291F36" w:rsidRDefault="00782333" w:rsidP="001F4D05">
            <w:pPr>
              <w:rPr>
                <w:sz w:val="20"/>
                <w:szCs w:val="20"/>
              </w:rPr>
            </w:pPr>
          </w:p>
        </w:tc>
      </w:tr>
    </w:tbl>
    <w:p w14:paraId="25027FA4" w14:textId="7F50655A" w:rsidR="00782333" w:rsidRPr="00782333" w:rsidRDefault="00782333" w:rsidP="00782333">
      <w:pPr>
        <w:spacing w:after="0"/>
        <w:jc w:val="both"/>
        <w:rPr>
          <w:rFonts w:ascii="Arial" w:hAnsi="Arial" w:cs="Arial"/>
          <w:sz w:val="20"/>
          <w:szCs w:val="20"/>
          <w:lang w:val="en-US"/>
        </w:rPr>
      </w:pPr>
    </w:p>
    <w:p w14:paraId="6BE78387" w14:textId="3E660E81" w:rsidR="00782333" w:rsidRPr="00782333" w:rsidRDefault="00782333" w:rsidP="00782333">
      <w:pPr>
        <w:pStyle w:val="ListParagraph"/>
        <w:numPr>
          <w:ilvl w:val="0"/>
          <w:numId w:val="2"/>
        </w:numPr>
        <w:spacing w:after="0"/>
        <w:ind w:left="-142" w:firstLine="283"/>
        <w:jc w:val="both"/>
        <w:rPr>
          <w:rFonts w:ascii="Century Gothic" w:hAnsi="Century Gothic" w:cs="Arial"/>
          <w:sz w:val="20"/>
          <w:szCs w:val="20"/>
          <w:lang w:val="en-US"/>
        </w:rPr>
      </w:pPr>
      <w:r w:rsidRPr="00782333">
        <w:rPr>
          <w:rFonts w:ascii="Century Gothic" w:hAnsi="Century Gothic" w:cs="Arial"/>
          <w:sz w:val="20"/>
          <w:szCs w:val="20"/>
          <w:lang w:val="en-US"/>
        </w:rPr>
        <w:t xml:space="preserve">The Republic of Uzbekistan has applied for financing from the Islamic Development Bank toward the cost of the Reconstruction of 4R40 Dashtabad – Zaamin – Bakhmal – </w:t>
      </w:r>
      <w:r w:rsidR="00291F36" w:rsidRPr="00291F36">
        <w:rPr>
          <w:rFonts w:ascii="Century Gothic" w:hAnsi="Century Gothic" w:cs="Arial"/>
          <w:sz w:val="20"/>
          <w:szCs w:val="20"/>
          <w:lang w:val="en-US"/>
        </w:rPr>
        <w:t xml:space="preserve">Gallyaaral </w:t>
      </w:r>
      <w:r w:rsidRPr="00782333">
        <w:rPr>
          <w:rFonts w:ascii="Century Gothic" w:hAnsi="Century Gothic" w:cs="Arial"/>
          <w:sz w:val="20"/>
          <w:szCs w:val="20"/>
          <w:lang w:val="en-US"/>
        </w:rPr>
        <w:t xml:space="preserve">Road Project (24-182 km), and intends to apply part of the proceeds for consultant services. </w:t>
      </w:r>
    </w:p>
    <w:p w14:paraId="2BADC0CA" w14:textId="77777777" w:rsidR="00782333" w:rsidRPr="00782333" w:rsidRDefault="00782333" w:rsidP="00782333">
      <w:pPr>
        <w:spacing w:after="0" w:line="240" w:lineRule="auto"/>
        <w:ind w:left="-142" w:firstLine="283"/>
        <w:jc w:val="both"/>
        <w:rPr>
          <w:rFonts w:ascii="Century Gothic" w:hAnsi="Century Gothic" w:cs="Arial"/>
          <w:sz w:val="20"/>
          <w:szCs w:val="20"/>
          <w:lang w:val="en-US"/>
        </w:rPr>
      </w:pPr>
    </w:p>
    <w:p w14:paraId="43C9CAD7" w14:textId="1818F316" w:rsidR="00782333" w:rsidRPr="00782333" w:rsidRDefault="00291F36" w:rsidP="00782333">
      <w:pPr>
        <w:pStyle w:val="ListParagraph"/>
        <w:numPr>
          <w:ilvl w:val="0"/>
          <w:numId w:val="2"/>
        </w:numPr>
        <w:spacing w:after="0" w:line="240" w:lineRule="auto"/>
        <w:ind w:left="-142" w:firstLine="283"/>
        <w:jc w:val="both"/>
        <w:rPr>
          <w:rFonts w:ascii="Century Gothic" w:hAnsi="Century Gothic" w:cs="Arial"/>
          <w:sz w:val="20"/>
          <w:szCs w:val="20"/>
          <w:lang w:val="en-US"/>
        </w:rPr>
      </w:pPr>
      <w:r w:rsidRPr="00291F36">
        <w:rPr>
          <w:rFonts w:ascii="Century Gothic" w:hAnsi="Century Gothic" w:cs="Arial"/>
          <w:sz w:val="20"/>
          <w:szCs w:val="20"/>
          <w:lang w:val="en-US"/>
        </w:rPr>
        <w:t>The services include Construction Supervision for the above-mentioned Project, which will be implemented through four (4) Lots of civil works, with an estimated construction duration of thirty-six (36) months followed by a twenty-four (24) month Defects Liability Period (DLP)</w:t>
      </w:r>
      <w:r w:rsidR="00782333" w:rsidRPr="00782333">
        <w:rPr>
          <w:rFonts w:ascii="Century Gothic" w:hAnsi="Century Gothic" w:cs="Arial"/>
          <w:sz w:val="20"/>
          <w:szCs w:val="20"/>
          <w:lang w:val="en-US"/>
        </w:rPr>
        <w:t>.</w:t>
      </w:r>
    </w:p>
    <w:p w14:paraId="2F77828F" w14:textId="77777777" w:rsidR="00782333" w:rsidRPr="00291F36" w:rsidRDefault="00782333" w:rsidP="00782333">
      <w:pPr>
        <w:spacing w:after="0" w:line="240" w:lineRule="auto"/>
        <w:ind w:left="-142" w:firstLine="283"/>
        <w:jc w:val="both"/>
        <w:rPr>
          <w:rFonts w:ascii="Century Gothic" w:hAnsi="Century Gothic" w:cs="Arial"/>
          <w:sz w:val="20"/>
          <w:szCs w:val="20"/>
          <w:lang w:val="en-US"/>
        </w:rPr>
      </w:pPr>
    </w:p>
    <w:p w14:paraId="16D8635F" w14:textId="036D18C4" w:rsidR="00782333" w:rsidRPr="00782333" w:rsidRDefault="00CB27DF" w:rsidP="00782333">
      <w:pPr>
        <w:pStyle w:val="ListParagraph"/>
        <w:numPr>
          <w:ilvl w:val="0"/>
          <w:numId w:val="2"/>
        </w:numPr>
        <w:spacing w:after="0" w:line="240" w:lineRule="auto"/>
        <w:ind w:left="-142" w:firstLine="283"/>
        <w:jc w:val="both"/>
        <w:rPr>
          <w:rFonts w:ascii="Century Gothic" w:hAnsi="Century Gothic" w:cs="Arial"/>
          <w:sz w:val="20"/>
          <w:szCs w:val="20"/>
          <w:lang w:val="en-US"/>
        </w:rPr>
      </w:pPr>
      <w:r w:rsidRPr="00CB27DF">
        <w:rPr>
          <w:rFonts w:ascii="Century Gothic" w:hAnsi="Century Gothic" w:cs="Arial"/>
          <w:sz w:val="20"/>
          <w:szCs w:val="20"/>
          <w:lang w:val="en-US"/>
        </w:rPr>
        <w:t>The Consultant is expected to be on board two (2) months prior to contractors’ mobilization. The total involvement of the Consultant is estimated to be sixty-two (62) months, comprising thirty-six (36) months of construction supervision and contract administration, twenty-four (24) months for the Defects Liability Period (DLP), and two (2) months prior to contractors’ mobilization. The Consultant shall determine and propose the required personnel inputs for the DLP period</w:t>
      </w:r>
      <w:r w:rsidR="00782333" w:rsidRPr="00782333">
        <w:rPr>
          <w:rFonts w:ascii="Century Gothic" w:hAnsi="Century Gothic" w:cs="Arial"/>
          <w:sz w:val="20"/>
          <w:szCs w:val="20"/>
          <w:lang w:val="en-US"/>
        </w:rPr>
        <w:t>.</w:t>
      </w:r>
    </w:p>
    <w:p w14:paraId="0668E891" w14:textId="77777777" w:rsidR="00782333" w:rsidRPr="00782333" w:rsidRDefault="00782333" w:rsidP="00782333">
      <w:pPr>
        <w:spacing w:after="0" w:line="240" w:lineRule="auto"/>
        <w:ind w:left="-142" w:firstLine="283"/>
        <w:jc w:val="both"/>
        <w:rPr>
          <w:rFonts w:ascii="Century Gothic" w:hAnsi="Century Gothic" w:cs="Arial"/>
          <w:sz w:val="20"/>
          <w:szCs w:val="20"/>
          <w:lang w:val="en-US"/>
        </w:rPr>
      </w:pPr>
    </w:p>
    <w:p w14:paraId="01AEA6DF" w14:textId="334DCA16" w:rsidR="00782333" w:rsidRPr="00782333" w:rsidRDefault="000E32F2" w:rsidP="00782333">
      <w:pPr>
        <w:pStyle w:val="ListParagraph"/>
        <w:numPr>
          <w:ilvl w:val="0"/>
          <w:numId w:val="2"/>
        </w:numPr>
        <w:spacing w:after="0" w:line="240" w:lineRule="auto"/>
        <w:ind w:left="-142" w:firstLine="283"/>
        <w:jc w:val="both"/>
        <w:rPr>
          <w:rFonts w:ascii="Century Gothic" w:hAnsi="Century Gothic" w:cs="Arial"/>
          <w:sz w:val="20"/>
          <w:szCs w:val="20"/>
          <w:lang w:val="en-US"/>
        </w:rPr>
      </w:pPr>
      <w:r w:rsidRPr="000E32F2">
        <w:rPr>
          <w:rFonts w:ascii="Century Gothic" w:hAnsi="Century Gothic" w:cs="Arial"/>
          <w:sz w:val="20"/>
          <w:szCs w:val="20"/>
          <w:lang w:val="en-US"/>
        </w:rPr>
        <w:t>The consulting services will involve, but not be limited to assistance in preparation of Bidding Documents for Construction and support during the evaluation process, supervision and certification of all works under the Works Contract(s), administration of the Works Contract(s), road safety audit, assistance and training in benefit monitoring and evaluation of the project, assistance in strengthening the Employer’s capacity for implementation of safeguards and Environmental, Social, Health and Safety (ESHS) measures in accordance with IsDB requirements, relevant national legislation and approved project instruments, transfer of knowledge for road maintenance, and application and development of toll roads. The expected start date of the assignment is indicatively planned for the second half of 2026, subject to completion of the selection process and contract effectiveness</w:t>
      </w:r>
      <w:r w:rsidR="00291F36" w:rsidRPr="00291F36">
        <w:rPr>
          <w:rFonts w:ascii="Century Gothic" w:hAnsi="Century Gothic" w:cs="Arial"/>
          <w:sz w:val="20"/>
          <w:szCs w:val="20"/>
          <w:lang w:val="en-US"/>
        </w:rPr>
        <w:t>.</w:t>
      </w:r>
    </w:p>
    <w:p w14:paraId="24446239" w14:textId="77777777" w:rsidR="00782333" w:rsidRPr="00782333" w:rsidRDefault="00782333" w:rsidP="00782333">
      <w:pPr>
        <w:spacing w:after="0" w:line="240" w:lineRule="auto"/>
        <w:ind w:left="-142" w:firstLine="283"/>
        <w:jc w:val="both"/>
        <w:rPr>
          <w:rFonts w:ascii="Century Gothic" w:hAnsi="Century Gothic" w:cs="Arial"/>
          <w:sz w:val="20"/>
          <w:szCs w:val="20"/>
          <w:lang w:val="en-US"/>
        </w:rPr>
      </w:pPr>
    </w:p>
    <w:p w14:paraId="6E78FACD" w14:textId="77777777" w:rsidR="00782333" w:rsidRPr="00782333" w:rsidRDefault="00782333" w:rsidP="00782333">
      <w:pPr>
        <w:pStyle w:val="ListParagraph"/>
        <w:numPr>
          <w:ilvl w:val="0"/>
          <w:numId w:val="2"/>
        </w:numPr>
        <w:spacing w:after="0" w:line="240" w:lineRule="auto"/>
        <w:ind w:left="-142" w:firstLine="283"/>
        <w:jc w:val="both"/>
        <w:rPr>
          <w:rFonts w:ascii="Century Gothic" w:hAnsi="Century Gothic" w:cs="Arial"/>
          <w:sz w:val="20"/>
          <w:szCs w:val="20"/>
          <w:lang w:val="en-US"/>
        </w:rPr>
      </w:pPr>
      <w:r w:rsidRPr="00782333">
        <w:rPr>
          <w:rFonts w:ascii="Century Gothic" w:hAnsi="Century Gothic" w:cs="Arial"/>
          <w:sz w:val="20"/>
          <w:szCs w:val="20"/>
          <w:lang w:val="en-US"/>
        </w:rPr>
        <w:t>The detailed Terms of Reference (TORs) for the assignment are attached to this request for expressions of interest.</w:t>
      </w:r>
    </w:p>
    <w:p w14:paraId="323A7000" w14:textId="77777777" w:rsidR="00782333" w:rsidRPr="00782333" w:rsidRDefault="00782333" w:rsidP="00782333">
      <w:pPr>
        <w:spacing w:after="0" w:line="240" w:lineRule="auto"/>
        <w:ind w:left="-142" w:firstLine="283"/>
        <w:jc w:val="both"/>
        <w:rPr>
          <w:rFonts w:ascii="Century Gothic" w:hAnsi="Century Gothic" w:cs="Arial"/>
          <w:sz w:val="20"/>
          <w:szCs w:val="20"/>
          <w:lang w:val="en-US"/>
        </w:rPr>
      </w:pPr>
    </w:p>
    <w:p w14:paraId="06E78EA3" w14:textId="55C2471B" w:rsidR="00782333" w:rsidRDefault="00782333" w:rsidP="00782333">
      <w:pPr>
        <w:pStyle w:val="ListParagraph"/>
        <w:numPr>
          <w:ilvl w:val="0"/>
          <w:numId w:val="2"/>
        </w:numPr>
        <w:spacing w:after="0" w:line="240" w:lineRule="auto"/>
        <w:ind w:left="-142" w:firstLine="283"/>
        <w:jc w:val="both"/>
        <w:rPr>
          <w:rFonts w:ascii="Century Gothic" w:hAnsi="Century Gothic" w:cs="Arial"/>
          <w:sz w:val="20"/>
          <w:szCs w:val="20"/>
          <w:lang w:val="en-US"/>
        </w:rPr>
      </w:pPr>
      <w:r w:rsidRPr="00782333">
        <w:rPr>
          <w:rFonts w:ascii="Century Gothic" w:hAnsi="Century Gothic" w:cs="Arial"/>
          <w:sz w:val="20"/>
          <w:szCs w:val="20"/>
          <w:lang w:val="en-US"/>
        </w:rPr>
        <w:t>The “Avtoyulinvest” Agency under the Road Committee of the Republic of Uzbekistan as implementing agency now invites eligible consulting firms (“Consultants”) to indicate their interest in providing the services. Interested Consultants must provide specific information which demonstrates that they are fully qualified to perform the services (brochures, description of similar assignments, experience in similar conditions, availability of appropriate skills among staff, etc.).</w:t>
      </w:r>
    </w:p>
    <w:p w14:paraId="32801C58" w14:textId="77777777" w:rsidR="008F479F" w:rsidRPr="008F479F" w:rsidRDefault="008F479F" w:rsidP="008F479F">
      <w:pPr>
        <w:pStyle w:val="ListParagraph"/>
        <w:rPr>
          <w:rFonts w:ascii="Century Gothic" w:hAnsi="Century Gothic" w:cs="Arial"/>
          <w:sz w:val="20"/>
          <w:szCs w:val="20"/>
          <w:lang w:val="en-US"/>
        </w:rPr>
      </w:pPr>
    </w:p>
    <w:p w14:paraId="01C11350" w14:textId="4C8222D8" w:rsidR="00291F36" w:rsidRPr="00291F36" w:rsidRDefault="00CB27DF" w:rsidP="00CB27DF">
      <w:pPr>
        <w:pStyle w:val="ListParagraph"/>
        <w:numPr>
          <w:ilvl w:val="0"/>
          <w:numId w:val="2"/>
        </w:numPr>
        <w:spacing w:after="0" w:line="240" w:lineRule="auto"/>
        <w:ind w:left="-142" w:firstLine="283"/>
        <w:rPr>
          <w:rFonts w:ascii="Century Gothic" w:hAnsi="Century Gothic" w:cs="Arial"/>
          <w:sz w:val="20"/>
          <w:szCs w:val="20"/>
          <w:lang w:val="en-US"/>
        </w:rPr>
      </w:pPr>
      <w:r w:rsidRPr="00CB27DF">
        <w:rPr>
          <w:rFonts w:ascii="Century Gothic" w:hAnsi="Century Gothic" w:cs="Arial"/>
          <w:sz w:val="20"/>
          <w:szCs w:val="20"/>
          <w:lang w:val="en-US"/>
        </w:rPr>
        <w:t>The Project is financed by the Islamic Development Bank (IsDB) and will be implemented through four (4) Lots of civil works.</w:t>
      </w:r>
      <w:r w:rsidR="00D539A1">
        <w:rPr>
          <w:rFonts w:ascii="Century Gothic" w:hAnsi="Century Gothic" w:cs="Arial"/>
          <w:sz w:val="20"/>
          <w:szCs w:val="20"/>
          <w:lang w:val="en-US"/>
        </w:rPr>
        <w:br/>
      </w:r>
      <w:r w:rsidR="00D539A1" w:rsidRPr="00D539A1">
        <w:rPr>
          <w:rFonts w:ascii="Century Gothic" w:hAnsi="Century Gothic" w:cs="Arial"/>
          <w:sz w:val="20"/>
          <w:szCs w:val="20"/>
          <w:lang w:val="en-US"/>
        </w:rPr>
        <w:t xml:space="preserve">             The Consultant shall perform the functions of the Engineer in accordance with the FIDIC Conditions of Contract (Red Book 2017). The Consultant will assist in the preparation of tender documentation and support the procurement process, manage and administer the </w:t>
      </w:r>
      <w:r w:rsidRPr="00CB27DF">
        <w:rPr>
          <w:rFonts w:ascii="Century Gothic" w:hAnsi="Century Gothic" w:cs="Arial"/>
          <w:sz w:val="20"/>
          <w:szCs w:val="20"/>
          <w:lang w:val="en-US"/>
        </w:rPr>
        <w:t>Works Contract(s)</w:t>
      </w:r>
      <w:r w:rsidR="00D539A1" w:rsidRPr="00D539A1">
        <w:rPr>
          <w:rFonts w:ascii="Century Gothic" w:hAnsi="Century Gothic" w:cs="Arial"/>
          <w:sz w:val="20"/>
          <w:szCs w:val="20"/>
          <w:lang w:val="en-US"/>
        </w:rPr>
        <w:t>, and provide full construction supervision services. The Consultant will review and approve working drawings (IFC), supervise quality and quantity of works, certify interim and final payments, and ensure that construction activities comply with the technical specifications and contractual requirements.</w:t>
      </w:r>
      <w:r w:rsidR="00D539A1">
        <w:rPr>
          <w:rFonts w:ascii="Century Gothic" w:hAnsi="Century Gothic" w:cs="Arial"/>
          <w:sz w:val="20"/>
          <w:szCs w:val="20"/>
          <w:lang w:val="en-US"/>
        </w:rPr>
        <w:br/>
      </w:r>
      <w:r w:rsidR="00D539A1" w:rsidRPr="00D539A1">
        <w:rPr>
          <w:rFonts w:ascii="Century Gothic" w:hAnsi="Century Gothic" w:cs="Arial"/>
          <w:sz w:val="20"/>
          <w:szCs w:val="20"/>
          <w:lang w:val="en-US"/>
        </w:rPr>
        <w:t xml:space="preserve">            The Consultant will also </w:t>
      </w:r>
      <w:r w:rsidR="00291F36" w:rsidRPr="00291F36">
        <w:rPr>
          <w:rFonts w:ascii="Century Gothic" w:hAnsi="Century Gothic" w:cs="Arial"/>
          <w:sz w:val="20"/>
          <w:szCs w:val="20"/>
          <w:lang w:val="en-US"/>
        </w:rPr>
        <w:t xml:space="preserve">monitor and ensure compliance with environmental and social </w:t>
      </w:r>
      <w:r w:rsidR="00291F36" w:rsidRPr="00291F36">
        <w:rPr>
          <w:rFonts w:ascii="Century Gothic" w:hAnsi="Century Gothic" w:cs="Arial"/>
          <w:sz w:val="20"/>
          <w:szCs w:val="20"/>
          <w:lang w:val="en-US"/>
        </w:rPr>
        <w:lastRenderedPageBreak/>
        <w:t>safeguard requirements in accordance with approved project instruments and IsDB requirements</w:t>
      </w:r>
      <w:r w:rsidR="00D539A1" w:rsidRPr="00D539A1">
        <w:rPr>
          <w:rFonts w:ascii="Century Gothic" w:hAnsi="Century Gothic" w:cs="Arial"/>
          <w:sz w:val="20"/>
          <w:szCs w:val="20"/>
          <w:lang w:val="en-US"/>
        </w:rPr>
        <w:t>, including ESMP, LARP, BDMP and other applicable plans. Responsibilities will include conducting Road Safety Audits, monitoring occupational health and safety, reviewing and determining contractors’ claims, and providing continuous reporting to the Employer and IsDB. In addition, the Consultant will monitor and evaluate the socio-economic benefits of the Project and provide training and capacity building for the Employer’s staff.</w:t>
      </w:r>
      <w:r w:rsidR="00D539A1">
        <w:rPr>
          <w:rFonts w:ascii="Century Gothic" w:hAnsi="Century Gothic" w:cs="Arial"/>
          <w:sz w:val="20"/>
          <w:szCs w:val="20"/>
          <w:lang w:val="en-US"/>
        </w:rPr>
        <w:br/>
      </w:r>
      <w:r w:rsidR="00D539A1" w:rsidRPr="00D539A1">
        <w:rPr>
          <w:rFonts w:ascii="Century Gothic" w:hAnsi="Century Gothic" w:cs="Arial"/>
          <w:sz w:val="20"/>
          <w:szCs w:val="20"/>
          <w:lang w:val="en-US"/>
        </w:rPr>
        <w:t xml:space="preserve">           The expected outcome is the successful implementation of construction works in accordance with contractual provisions, budget, and quality standards; full compliance with IsDB environmental, social, and gender requirements; minimization of climate impacts and reduction of greenhouse gas emissions; improvement of road safety; strengthening of the Employer’s institutional capacity; and submission of all required reports, including the final project completion report</w:t>
      </w:r>
      <w:r w:rsidR="00291F36">
        <w:rPr>
          <w:rFonts w:ascii="Century Gothic" w:hAnsi="Century Gothic" w:cs="Arial"/>
          <w:sz w:val="20"/>
          <w:szCs w:val="20"/>
          <w:lang w:val="en-US"/>
        </w:rPr>
        <w:t>.</w:t>
      </w:r>
      <w:r w:rsidR="00291F36" w:rsidRPr="00291F36">
        <w:rPr>
          <w:lang w:val="en-US"/>
        </w:rPr>
        <w:t xml:space="preserve"> </w:t>
      </w:r>
    </w:p>
    <w:p w14:paraId="5C9A3D4B" w14:textId="77777777" w:rsidR="00291F36" w:rsidRPr="00291F36" w:rsidRDefault="00291F36" w:rsidP="00291F36">
      <w:pPr>
        <w:spacing w:after="0" w:line="240" w:lineRule="auto"/>
        <w:ind w:left="-142"/>
        <w:jc w:val="both"/>
        <w:rPr>
          <w:rFonts w:ascii="Century Gothic" w:hAnsi="Century Gothic" w:cs="Arial"/>
          <w:sz w:val="20"/>
          <w:szCs w:val="20"/>
          <w:lang w:val="en-US"/>
        </w:rPr>
      </w:pPr>
    </w:p>
    <w:p w14:paraId="21B73972" w14:textId="77777777" w:rsidR="00291F36" w:rsidRPr="00291F36" w:rsidRDefault="00291F36" w:rsidP="00291F36">
      <w:pPr>
        <w:spacing w:after="0" w:line="240" w:lineRule="auto"/>
        <w:jc w:val="both"/>
        <w:rPr>
          <w:rFonts w:ascii="Century Gothic" w:hAnsi="Century Gothic" w:cs="Arial"/>
          <w:b/>
          <w:bCs/>
          <w:i/>
          <w:iCs/>
          <w:sz w:val="20"/>
          <w:szCs w:val="20"/>
          <w:lang w:val="en-US"/>
        </w:rPr>
      </w:pPr>
      <w:r w:rsidRPr="00291F36">
        <w:rPr>
          <w:rFonts w:ascii="Century Gothic" w:hAnsi="Century Gothic" w:cs="Arial"/>
          <w:b/>
          <w:bCs/>
          <w:i/>
          <w:iCs/>
          <w:sz w:val="20"/>
          <w:szCs w:val="20"/>
          <w:lang w:val="en-US"/>
        </w:rPr>
        <w:t>Abbreviations:</w:t>
      </w:r>
    </w:p>
    <w:p w14:paraId="0D2389BB" w14:textId="77777777" w:rsidR="00291F36" w:rsidRPr="00291F36" w:rsidRDefault="00291F36" w:rsidP="00291F36">
      <w:pPr>
        <w:spacing w:after="0" w:line="240" w:lineRule="auto"/>
        <w:jc w:val="both"/>
        <w:rPr>
          <w:rFonts w:ascii="Century Gothic" w:hAnsi="Century Gothic" w:cs="Arial"/>
          <w:i/>
          <w:iCs/>
          <w:sz w:val="20"/>
          <w:szCs w:val="20"/>
          <w:lang w:val="en-US"/>
        </w:rPr>
      </w:pPr>
      <w:r w:rsidRPr="00291F36">
        <w:rPr>
          <w:rFonts w:ascii="Century Gothic" w:hAnsi="Century Gothic" w:cs="Arial"/>
          <w:i/>
          <w:iCs/>
          <w:sz w:val="20"/>
          <w:szCs w:val="20"/>
          <w:lang w:val="en-US"/>
        </w:rPr>
        <w:t>ESMP – Environmental and Social Management Plan;</w:t>
      </w:r>
    </w:p>
    <w:p w14:paraId="27679111" w14:textId="77777777" w:rsidR="00291F36" w:rsidRPr="00291F36" w:rsidRDefault="00291F36" w:rsidP="00291F36">
      <w:pPr>
        <w:spacing w:after="0" w:line="240" w:lineRule="auto"/>
        <w:jc w:val="both"/>
        <w:rPr>
          <w:rFonts w:ascii="Century Gothic" w:hAnsi="Century Gothic" w:cs="Arial"/>
          <w:i/>
          <w:iCs/>
          <w:sz w:val="20"/>
          <w:szCs w:val="20"/>
          <w:lang w:val="en-US"/>
        </w:rPr>
      </w:pPr>
      <w:r w:rsidRPr="00291F36">
        <w:rPr>
          <w:rFonts w:ascii="Century Gothic" w:hAnsi="Century Gothic" w:cs="Arial"/>
          <w:i/>
          <w:iCs/>
          <w:sz w:val="20"/>
          <w:szCs w:val="20"/>
          <w:lang w:val="en-US"/>
        </w:rPr>
        <w:t>LARP – Land Acquisition and Resettlement Plan;</w:t>
      </w:r>
    </w:p>
    <w:p w14:paraId="4B35139D" w14:textId="77777777" w:rsidR="00291F36" w:rsidRPr="00291F36" w:rsidRDefault="00291F36" w:rsidP="00291F36">
      <w:pPr>
        <w:spacing w:after="0" w:line="240" w:lineRule="auto"/>
        <w:jc w:val="both"/>
        <w:rPr>
          <w:rFonts w:ascii="Century Gothic" w:hAnsi="Century Gothic" w:cs="Arial"/>
          <w:i/>
          <w:iCs/>
          <w:sz w:val="20"/>
          <w:szCs w:val="20"/>
          <w:lang w:val="en-US"/>
        </w:rPr>
      </w:pPr>
      <w:r w:rsidRPr="00291F36">
        <w:rPr>
          <w:rFonts w:ascii="Century Gothic" w:hAnsi="Century Gothic" w:cs="Arial"/>
          <w:i/>
          <w:iCs/>
          <w:sz w:val="20"/>
          <w:szCs w:val="20"/>
          <w:lang w:val="en-US"/>
        </w:rPr>
        <w:t>BDMP – Biodiversity Risk Management Plan;</w:t>
      </w:r>
    </w:p>
    <w:p w14:paraId="265999FF" w14:textId="4E3E5117" w:rsidR="00291F36" w:rsidRPr="00291F36" w:rsidRDefault="00291F36" w:rsidP="00291F36">
      <w:pPr>
        <w:spacing w:after="0" w:line="240" w:lineRule="auto"/>
        <w:jc w:val="both"/>
        <w:rPr>
          <w:rFonts w:ascii="Century Gothic" w:hAnsi="Century Gothic" w:cs="Arial"/>
          <w:i/>
          <w:iCs/>
          <w:sz w:val="20"/>
          <w:szCs w:val="20"/>
          <w:lang w:val="en-US"/>
        </w:rPr>
      </w:pPr>
      <w:r w:rsidRPr="00291F36">
        <w:rPr>
          <w:rFonts w:ascii="Century Gothic" w:hAnsi="Century Gothic" w:cs="Arial"/>
          <w:i/>
          <w:iCs/>
          <w:sz w:val="20"/>
          <w:szCs w:val="20"/>
          <w:lang w:val="en-US"/>
        </w:rPr>
        <w:t>DLP – Defects Liability Period.</w:t>
      </w:r>
    </w:p>
    <w:p w14:paraId="7C57C67F" w14:textId="77777777" w:rsidR="00782333" w:rsidRPr="00782333" w:rsidRDefault="00782333" w:rsidP="00782333">
      <w:pPr>
        <w:spacing w:after="0" w:line="240" w:lineRule="auto"/>
        <w:ind w:left="-142" w:firstLine="283"/>
        <w:jc w:val="both"/>
        <w:rPr>
          <w:rFonts w:ascii="Century Gothic" w:hAnsi="Century Gothic" w:cs="Arial"/>
          <w:sz w:val="20"/>
          <w:szCs w:val="20"/>
          <w:lang w:val="en-US"/>
        </w:rPr>
      </w:pPr>
    </w:p>
    <w:p w14:paraId="4E66FAAF" w14:textId="3FB5D93F" w:rsidR="00782333" w:rsidRDefault="00782333" w:rsidP="00782333">
      <w:pPr>
        <w:pStyle w:val="ListParagraph"/>
        <w:numPr>
          <w:ilvl w:val="0"/>
          <w:numId w:val="2"/>
        </w:numPr>
        <w:spacing w:after="0" w:line="240" w:lineRule="auto"/>
        <w:ind w:left="-142" w:firstLine="283"/>
        <w:jc w:val="both"/>
        <w:rPr>
          <w:rFonts w:ascii="Century Gothic" w:hAnsi="Century Gothic" w:cs="Arial"/>
          <w:sz w:val="20"/>
          <w:szCs w:val="20"/>
          <w:lang w:val="en-US"/>
        </w:rPr>
      </w:pPr>
      <w:r w:rsidRPr="00782333">
        <w:rPr>
          <w:rFonts w:ascii="Century Gothic" w:hAnsi="Century Gothic" w:cs="Arial"/>
          <w:sz w:val="20"/>
          <w:szCs w:val="20"/>
          <w:lang w:val="en-US"/>
        </w:rPr>
        <w:t>The shortlisting criteria are:</w:t>
      </w:r>
    </w:p>
    <w:p w14:paraId="3E5C2D10" w14:textId="764A42D1" w:rsidR="00CB27DF" w:rsidRDefault="00CB27DF" w:rsidP="00CB27DF">
      <w:pPr>
        <w:pStyle w:val="ListParagraph"/>
        <w:spacing w:after="0" w:line="240" w:lineRule="auto"/>
        <w:ind w:left="141"/>
        <w:jc w:val="both"/>
        <w:rPr>
          <w:rFonts w:ascii="Century Gothic" w:hAnsi="Century Gothic" w:cs="Arial"/>
          <w:sz w:val="20"/>
          <w:szCs w:val="20"/>
          <w:lang w:val="en-US"/>
        </w:rPr>
      </w:pPr>
      <w:r w:rsidRPr="00CB27DF">
        <w:rPr>
          <w:rFonts w:ascii="Century Gothic" w:hAnsi="Century Gothic" w:cs="Arial"/>
          <w:sz w:val="20"/>
          <w:szCs w:val="20"/>
          <w:lang w:val="en-US"/>
        </w:rPr>
        <w:t>Experience demonstrated under one project may be counted toward multiple criteria where relevant. The criteria are not cumulative and are intended to assess overall suitability and relevance of experience.</w:t>
      </w:r>
    </w:p>
    <w:p w14:paraId="19F24AA2" w14:textId="6886B625" w:rsidR="00CB27DF" w:rsidRPr="00782333" w:rsidRDefault="00CB27DF" w:rsidP="00CB27DF">
      <w:pPr>
        <w:pStyle w:val="ListParagraph"/>
        <w:spacing w:after="0" w:line="240" w:lineRule="auto"/>
        <w:ind w:left="141"/>
        <w:jc w:val="both"/>
        <w:rPr>
          <w:rFonts w:ascii="Century Gothic" w:hAnsi="Century Gothic" w:cs="Arial"/>
          <w:sz w:val="20"/>
          <w:szCs w:val="20"/>
          <w:lang w:val="en-US"/>
        </w:rPr>
      </w:pPr>
      <w:r w:rsidRPr="00CB27DF">
        <w:rPr>
          <w:rFonts w:ascii="Century Gothic" w:hAnsi="Century Gothic" w:cs="Arial"/>
          <w:sz w:val="20"/>
          <w:szCs w:val="20"/>
          <w:lang w:val="en-US"/>
        </w:rPr>
        <w:t>For the purpose of these criteria, framework contracts or multi-year assignments may be counted as one (1) reference, unless separate completion certificates are provided for distinct contracts/segments.</w:t>
      </w:r>
    </w:p>
    <w:p w14:paraId="5FABF1DA" w14:textId="1552A024" w:rsidR="00782333" w:rsidRDefault="00782333" w:rsidP="00782333">
      <w:pPr>
        <w:spacing w:after="0" w:line="240" w:lineRule="auto"/>
        <w:ind w:left="-142"/>
        <w:jc w:val="both"/>
        <w:rPr>
          <w:rFonts w:ascii="Century Gothic" w:hAnsi="Century Gothic" w:cs="Arial"/>
          <w:sz w:val="20"/>
          <w:szCs w:val="20"/>
          <w:lang w:val="en-US"/>
        </w:rPr>
      </w:pPr>
    </w:p>
    <w:tbl>
      <w:tblPr>
        <w:tblStyle w:val="TableGridLight"/>
        <w:tblW w:w="9356" w:type="dxa"/>
        <w:tblInd w:w="-147" w:type="dxa"/>
        <w:tblLook w:val="04A0" w:firstRow="1" w:lastRow="0" w:firstColumn="1" w:lastColumn="0" w:noHBand="0" w:noVBand="1"/>
      </w:tblPr>
      <w:tblGrid>
        <w:gridCol w:w="2336"/>
        <w:gridCol w:w="2626"/>
        <w:gridCol w:w="2336"/>
        <w:gridCol w:w="2058"/>
      </w:tblGrid>
      <w:tr w:rsidR="008047D1" w:rsidRPr="008047D1" w14:paraId="3C4101BC" w14:textId="77777777" w:rsidTr="00291F36">
        <w:tc>
          <w:tcPr>
            <w:tcW w:w="2336" w:type="dxa"/>
          </w:tcPr>
          <w:p w14:paraId="6B6DD3BF" w14:textId="44016F50" w:rsidR="008047D1" w:rsidRPr="008047D1" w:rsidRDefault="008047D1" w:rsidP="008047D1">
            <w:pPr>
              <w:jc w:val="center"/>
              <w:rPr>
                <w:rFonts w:ascii="Century Gothic" w:hAnsi="Century Gothic" w:cs="Arial"/>
                <w:sz w:val="16"/>
                <w:szCs w:val="16"/>
                <w:lang w:val="en-US"/>
              </w:rPr>
            </w:pPr>
            <w:r>
              <w:rPr>
                <w:rFonts w:ascii="Century Gothic" w:hAnsi="Century Gothic" w:cs="Arial"/>
                <w:sz w:val="16"/>
                <w:szCs w:val="16"/>
                <w:lang w:val="en-US"/>
              </w:rPr>
              <w:t>Block</w:t>
            </w:r>
          </w:p>
        </w:tc>
        <w:tc>
          <w:tcPr>
            <w:tcW w:w="2626" w:type="dxa"/>
          </w:tcPr>
          <w:p w14:paraId="6F614A1C" w14:textId="59E562E4" w:rsidR="008047D1" w:rsidRPr="008047D1" w:rsidRDefault="008047D1" w:rsidP="008047D1">
            <w:pPr>
              <w:jc w:val="center"/>
              <w:rPr>
                <w:rFonts w:ascii="Century Gothic" w:hAnsi="Century Gothic" w:cs="Arial"/>
                <w:sz w:val="16"/>
                <w:szCs w:val="16"/>
                <w:lang w:val="en-US"/>
              </w:rPr>
            </w:pPr>
            <w:r w:rsidRPr="008047D1">
              <w:rPr>
                <w:rFonts w:ascii="Century Gothic" w:hAnsi="Century Gothic" w:cs="Arial"/>
                <w:sz w:val="16"/>
                <w:szCs w:val="16"/>
                <w:lang w:val="en-US"/>
              </w:rPr>
              <w:t>Criterion / Level</w:t>
            </w:r>
          </w:p>
        </w:tc>
        <w:tc>
          <w:tcPr>
            <w:tcW w:w="2336" w:type="dxa"/>
          </w:tcPr>
          <w:p w14:paraId="0264FA9A" w14:textId="4A5A525D" w:rsidR="008047D1" w:rsidRPr="008047D1" w:rsidRDefault="008047D1" w:rsidP="008047D1">
            <w:pPr>
              <w:jc w:val="center"/>
              <w:rPr>
                <w:rFonts w:ascii="Century Gothic" w:hAnsi="Century Gothic" w:cs="Arial"/>
                <w:sz w:val="16"/>
                <w:szCs w:val="16"/>
                <w:lang w:val="en-US"/>
              </w:rPr>
            </w:pPr>
            <w:r w:rsidRPr="008047D1">
              <w:rPr>
                <w:rFonts w:ascii="Century Gothic" w:hAnsi="Century Gothic" w:cs="Arial"/>
                <w:sz w:val="16"/>
                <w:szCs w:val="16"/>
                <w:lang w:val="en-US"/>
              </w:rPr>
              <w:t>Definition / Threshold</w:t>
            </w:r>
          </w:p>
        </w:tc>
        <w:tc>
          <w:tcPr>
            <w:tcW w:w="2058" w:type="dxa"/>
          </w:tcPr>
          <w:p w14:paraId="76EEA51B" w14:textId="51E0CAB3" w:rsidR="008047D1" w:rsidRPr="008047D1" w:rsidRDefault="008047D1" w:rsidP="008047D1">
            <w:pPr>
              <w:jc w:val="center"/>
              <w:rPr>
                <w:rFonts w:ascii="Century Gothic" w:hAnsi="Century Gothic" w:cs="Arial"/>
                <w:sz w:val="16"/>
                <w:szCs w:val="16"/>
                <w:lang w:val="en-US"/>
              </w:rPr>
            </w:pPr>
            <w:r w:rsidRPr="008047D1">
              <w:rPr>
                <w:rFonts w:ascii="Century Gothic" w:hAnsi="Century Gothic" w:cs="Arial"/>
                <w:sz w:val="16"/>
                <w:szCs w:val="16"/>
                <w:lang w:val="en-US"/>
              </w:rPr>
              <w:t>Evidence to Verify</w:t>
            </w:r>
          </w:p>
        </w:tc>
      </w:tr>
      <w:tr w:rsidR="008047D1" w:rsidRPr="00F55FB1" w14:paraId="318F9952" w14:textId="77777777" w:rsidTr="00291F36">
        <w:tc>
          <w:tcPr>
            <w:tcW w:w="2336" w:type="dxa"/>
          </w:tcPr>
          <w:p w14:paraId="4AA42277" w14:textId="04788D82" w:rsidR="008047D1" w:rsidRPr="008047D1" w:rsidRDefault="008047D1" w:rsidP="00782333">
            <w:pPr>
              <w:jc w:val="both"/>
              <w:rPr>
                <w:rFonts w:ascii="Century Gothic" w:hAnsi="Century Gothic" w:cs="Arial"/>
                <w:sz w:val="16"/>
                <w:szCs w:val="16"/>
                <w:lang w:val="en-US"/>
              </w:rPr>
            </w:pPr>
            <w:r w:rsidRPr="008047D1">
              <w:rPr>
                <w:rFonts w:ascii="Century Gothic" w:hAnsi="Century Gothic" w:cs="Arial"/>
                <w:sz w:val="16"/>
                <w:szCs w:val="16"/>
                <w:lang w:val="en-US"/>
              </w:rPr>
              <w:t>Technical Experience</w:t>
            </w:r>
          </w:p>
        </w:tc>
        <w:tc>
          <w:tcPr>
            <w:tcW w:w="2626" w:type="dxa"/>
          </w:tcPr>
          <w:p w14:paraId="15CAFD62" w14:textId="5C4418C8" w:rsidR="008047D1" w:rsidRPr="00135173" w:rsidRDefault="008047D1" w:rsidP="00782333">
            <w:pPr>
              <w:jc w:val="both"/>
              <w:rPr>
                <w:rFonts w:ascii="Century Gothic" w:hAnsi="Century Gothic" w:cs="Arial"/>
                <w:sz w:val="16"/>
                <w:szCs w:val="16"/>
                <w:vertAlign w:val="superscript"/>
                <w:lang w:val="en-US"/>
              </w:rPr>
            </w:pPr>
            <w:r w:rsidRPr="008047D1">
              <w:rPr>
                <w:rFonts w:ascii="Century Gothic" w:hAnsi="Century Gothic" w:cs="Arial"/>
                <w:sz w:val="16"/>
                <w:szCs w:val="16"/>
                <w:lang w:val="en-US"/>
              </w:rPr>
              <w:t>Supervision of road construction projects</w:t>
            </w:r>
            <w:r w:rsidR="00135173" w:rsidRPr="00135173">
              <w:rPr>
                <w:rFonts w:ascii="Century Gothic" w:hAnsi="Century Gothic" w:cs="Arial"/>
                <w:sz w:val="16"/>
                <w:szCs w:val="16"/>
                <w:vertAlign w:val="superscript"/>
                <w:lang w:val="en-US"/>
              </w:rPr>
              <w:t>1</w:t>
            </w:r>
          </w:p>
        </w:tc>
        <w:tc>
          <w:tcPr>
            <w:tcW w:w="2336" w:type="dxa"/>
          </w:tcPr>
          <w:p w14:paraId="27675D63" w14:textId="388AE99A" w:rsidR="008047D1" w:rsidRPr="008047D1" w:rsidRDefault="008047D1" w:rsidP="00782333">
            <w:pPr>
              <w:jc w:val="both"/>
              <w:rPr>
                <w:rFonts w:ascii="Century Gothic" w:hAnsi="Century Gothic" w:cs="Arial"/>
                <w:sz w:val="16"/>
                <w:szCs w:val="16"/>
                <w:lang w:val="en-US"/>
              </w:rPr>
            </w:pPr>
            <w:r w:rsidRPr="008047D1">
              <w:rPr>
                <w:rFonts w:ascii="Century Gothic" w:hAnsi="Century Gothic" w:cs="Arial"/>
                <w:sz w:val="16"/>
                <w:szCs w:val="16"/>
                <w:lang w:val="en-US"/>
              </w:rPr>
              <w:t xml:space="preserve">At least </w:t>
            </w:r>
            <w:r w:rsidR="008F479F" w:rsidRPr="008F479F">
              <w:rPr>
                <w:rFonts w:ascii="Century Gothic" w:hAnsi="Century Gothic" w:cs="Arial"/>
                <w:sz w:val="16"/>
                <w:szCs w:val="16"/>
                <w:lang w:val="en-US"/>
              </w:rPr>
              <w:t>3</w:t>
            </w:r>
            <w:r w:rsidRPr="008047D1">
              <w:rPr>
                <w:rFonts w:ascii="Century Gothic" w:hAnsi="Century Gothic" w:cs="Arial"/>
                <w:sz w:val="16"/>
                <w:szCs w:val="16"/>
                <w:lang w:val="en-US"/>
              </w:rPr>
              <w:t xml:space="preserve"> completed supervision contracts of road projects in the last 10 years</w:t>
            </w:r>
          </w:p>
        </w:tc>
        <w:tc>
          <w:tcPr>
            <w:tcW w:w="2058" w:type="dxa"/>
          </w:tcPr>
          <w:p w14:paraId="43766F10" w14:textId="46B1D026" w:rsidR="008047D1" w:rsidRPr="008047D1" w:rsidRDefault="008047D1" w:rsidP="00782333">
            <w:pPr>
              <w:jc w:val="both"/>
              <w:rPr>
                <w:rFonts w:ascii="Century Gothic" w:hAnsi="Century Gothic" w:cs="Arial"/>
                <w:sz w:val="16"/>
                <w:szCs w:val="16"/>
                <w:lang w:val="en-US"/>
              </w:rPr>
            </w:pPr>
            <w:r w:rsidRPr="008047D1">
              <w:rPr>
                <w:rFonts w:ascii="Century Gothic" w:hAnsi="Century Gothic" w:cs="Arial"/>
                <w:sz w:val="16"/>
                <w:szCs w:val="16"/>
                <w:lang w:val="en-US"/>
              </w:rPr>
              <w:t>Contract references or completion certificates</w:t>
            </w:r>
            <w:r w:rsidR="00135173">
              <w:rPr>
                <w:rStyle w:val="FootnoteReference"/>
                <w:rFonts w:ascii="Century Gothic" w:hAnsi="Century Gothic" w:cs="Arial"/>
                <w:sz w:val="16"/>
                <w:szCs w:val="16"/>
                <w:lang w:val="en-US"/>
              </w:rPr>
              <w:footnoteReference w:id="1"/>
            </w:r>
          </w:p>
        </w:tc>
      </w:tr>
      <w:tr w:rsidR="008047D1" w:rsidRPr="00F55FB1" w14:paraId="784E3334" w14:textId="77777777" w:rsidTr="00291F36">
        <w:tc>
          <w:tcPr>
            <w:tcW w:w="2336" w:type="dxa"/>
          </w:tcPr>
          <w:p w14:paraId="0B0AA865" w14:textId="77777777" w:rsidR="008047D1" w:rsidRPr="008047D1" w:rsidRDefault="008047D1" w:rsidP="00782333">
            <w:pPr>
              <w:jc w:val="both"/>
              <w:rPr>
                <w:rFonts w:ascii="Century Gothic" w:hAnsi="Century Gothic" w:cs="Arial"/>
                <w:sz w:val="16"/>
                <w:szCs w:val="16"/>
                <w:lang w:val="en-US"/>
              </w:rPr>
            </w:pPr>
          </w:p>
        </w:tc>
        <w:tc>
          <w:tcPr>
            <w:tcW w:w="2626" w:type="dxa"/>
          </w:tcPr>
          <w:p w14:paraId="32EAD75A" w14:textId="3B779C1B" w:rsidR="008047D1" w:rsidRPr="00135173" w:rsidRDefault="008047D1" w:rsidP="00782333">
            <w:pPr>
              <w:jc w:val="both"/>
              <w:rPr>
                <w:rFonts w:ascii="Century Gothic" w:hAnsi="Century Gothic" w:cs="Arial"/>
                <w:sz w:val="16"/>
                <w:szCs w:val="16"/>
                <w:vertAlign w:val="superscript"/>
                <w:lang w:val="en-US"/>
              </w:rPr>
            </w:pPr>
            <w:r w:rsidRPr="008047D1">
              <w:rPr>
                <w:rFonts w:ascii="Century Gothic" w:hAnsi="Century Gothic" w:cs="Arial"/>
                <w:sz w:val="16"/>
                <w:szCs w:val="16"/>
                <w:lang w:val="en-US"/>
              </w:rPr>
              <w:t xml:space="preserve">Experience with cement concrete pavement </w:t>
            </w:r>
            <w:r>
              <w:rPr>
                <w:rFonts w:ascii="Century Gothic" w:hAnsi="Century Gothic" w:cs="Arial"/>
                <w:sz w:val="16"/>
                <w:szCs w:val="16"/>
                <w:lang w:val="en-US"/>
              </w:rPr>
              <w:t>or asphalt concrete pavement</w:t>
            </w:r>
            <w:r w:rsidR="00135173" w:rsidRPr="00135173">
              <w:rPr>
                <w:rFonts w:ascii="Century Gothic" w:hAnsi="Century Gothic" w:cs="Arial"/>
                <w:sz w:val="16"/>
                <w:szCs w:val="16"/>
                <w:vertAlign w:val="superscript"/>
                <w:lang w:val="en-US"/>
              </w:rPr>
              <w:t>1</w:t>
            </w:r>
          </w:p>
        </w:tc>
        <w:tc>
          <w:tcPr>
            <w:tcW w:w="2336" w:type="dxa"/>
          </w:tcPr>
          <w:p w14:paraId="76546C0D" w14:textId="56A0A0EA" w:rsidR="008047D1" w:rsidRPr="008047D1" w:rsidRDefault="008047D1" w:rsidP="00782333">
            <w:pPr>
              <w:jc w:val="both"/>
              <w:rPr>
                <w:rFonts w:ascii="Century Gothic" w:hAnsi="Century Gothic" w:cs="Arial"/>
                <w:sz w:val="16"/>
                <w:szCs w:val="16"/>
                <w:lang w:val="en-US"/>
              </w:rPr>
            </w:pPr>
            <w:r w:rsidRPr="008047D1">
              <w:rPr>
                <w:rFonts w:ascii="Century Gothic" w:hAnsi="Century Gothic" w:cs="Arial"/>
                <w:sz w:val="16"/>
                <w:szCs w:val="16"/>
                <w:lang w:val="en-US"/>
              </w:rPr>
              <w:t>At least 1 project involving supervision of cement-concrete road works</w:t>
            </w:r>
            <w:r>
              <w:rPr>
                <w:rFonts w:ascii="Century Gothic" w:hAnsi="Century Gothic" w:cs="Arial"/>
                <w:sz w:val="16"/>
                <w:szCs w:val="16"/>
                <w:lang w:val="en-US"/>
              </w:rPr>
              <w:t xml:space="preserve"> or </w:t>
            </w:r>
            <w:r w:rsidR="008F479F" w:rsidRPr="008F479F">
              <w:rPr>
                <w:rFonts w:ascii="Century Gothic" w:hAnsi="Century Gothic" w:cs="Arial"/>
                <w:sz w:val="16"/>
                <w:szCs w:val="16"/>
                <w:lang w:val="en-US"/>
              </w:rPr>
              <w:t>3</w:t>
            </w:r>
            <w:r>
              <w:rPr>
                <w:rFonts w:ascii="Century Gothic" w:hAnsi="Century Gothic" w:cs="Arial"/>
                <w:sz w:val="16"/>
                <w:szCs w:val="16"/>
                <w:lang w:val="en-US"/>
              </w:rPr>
              <w:t xml:space="preserve"> project </w:t>
            </w:r>
            <w:r w:rsidRPr="008047D1">
              <w:rPr>
                <w:rFonts w:ascii="Century Gothic" w:hAnsi="Century Gothic" w:cs="Arial"/>
                <w:sz w:val="16"/>
                <w:szCs w:val="16"/>
                <w:lang w:val="en-US"/>
              </w:rPr>
              <w:t>involving supervision of</w:t>
            </w:r>
            <w:r>
              <w:rPr>
                <w:rFonts w:ascii="Century Gothic" w:hAnsi="Century Gothic" w:cs="Arial"/>
                <w:sz w:val="16"/>
                <w:szCs w:val="16"/>
                <w:lang w:val="en-US"/>
              </w:rPr>
              <w:t xml:space="preserve"> asphalt concrete road</w:t>
            </w:r>
          </w:p>
        </w:tc>
        <w:tc>
          <w:tcPr>
            <w:tcW w:w="2058" w:type="dxa"/>
          </w:tcPr>
          <w:p w14:paraId="1FC233E9" w14:textId="2D3560FC" w:rsidR="008047D1" w:rsidRPr="008047D1" w:rsidRDefault="008047D1" w:rsidP="00782333">
            <w:pPr>
              <w:jc w:val="both"/>
              <w:rPr>
                <w:rFonts w:ascii="Century Gothic" w:hAnsi="Century Gothic" w:cs="Arial"/>
                <w:sz w:val="16"/>
                <w:szCs w:val="16"/>
                <w:lang w:val="en-US"/>
              </w:rPr>
            </w:pPr>
            <w:r w:rsidRPr="008047D1">
              <w:rPr>
                <w:rFonts w:ascii="Century Gothic" w:hAnsi="Century Gothic" w:cs="Arial"/>
                <w:sz w:val="16"/>
                <w:szCs w:val="16"/>
                <w:lang w:val="en-US"/>
              </w:rPr>
              <w:t>Project summary or client confirmation</w:t>
            </w:r>
          </w:p>
        </w:tc>
      </w:tr>
      <w:tr w:rsidR="008047D1" w:rsidRPr="00F55FB1" w14:paraId="14B18577" w14:textId="77777777" w:rsidTr="00291F36">
        <w:tc>
          <w:tcPr>
            <w:tcW w:w="2336" w:type="dxa"/>
          </w:tcPr>
          <w:p w14:paraId="528DC87E" w14:textId="77777777" w:rsidR="008047D1" w:rsidRPr="008047D1" w:rsidRDefault="008047D1" w:rsidP="00782333">
            <w:pPr>
              <w:jc w:val="both"/>
              <w:rPr>
                <w:rFonts w:ascii="Century Gothic" w:hAnsi="Century Gothic" w:cs="Arial"/>
                <w:sz w:val="16"/>
                <w:szCs w:val="16"/>
                <w:lang w:val="en-US"/>
              </w:rPr>
            </w:pPr>
          </w:p>
        </w:tc>
        <w:tc>
          <w:tcPr>
            <w:tcW w:w="2626" w:type="dxa"/>
          </w:tcPr>
          <w:p w14:paraId="2451638A" w14:textId="76AC7D6A" w:rsidR="008047D1" w:rsidRPr="00135173" w:rsidRDefault="008047D1" w:rsidP="00782333">
            <w:pPr>
              <w:jc w:val="both"/>
              <w:rPr>
                <w:rFonts w:ascii="Century Gothic" w:hAnsi="Century Gothic" w:cs="Arial"/>
                <w:sz w:val="16"/>
                <w:szCs w:val="16"/>
                <w:vertAlign w:val="superscript"/>
              </w:rPr>
            </w:pPr>
            <w:r w:rsidRPr="008047D1">
              <w:rPr>
                <w:rFonts w:ascii="Century Gothic" w:hAnsi="Century Gothic" w:cs="Arial"/>
                <w:sz w:val="16"/>
                <w:szCs w:val="16"/>
                <w:lang w:val="en-US"/>
              </w:rPr>
              <w:t>Experience with FIDIC contracts</w:t>
            </w:r>
            <w:r w:rsidR="00135173">
              <w:rPr>
                <w:rFonts w:ascii="Century Gothic" w:hAnsi="Century Gothic" w:cs="Arial"/>
                <w:sz w:val="16"/>
                <w:szCs w:val="16"/>
                <w:vertAlign w:val="superscript"/>
              </w:rPr>
              <w:t>1</w:t>
            </w:r>
          </w:p>
        </w:tc>
        <w:tc>
          <w:tcPr>
            <w:tcW w:w="2336" w:type="dxa"/>
          </w:tcPr>
          <w:p w14:paraId="61646FD6" w14:textId="1DEB683E" w:rsidR="008047D1" w:rsidRPr="008047D1" w:rsidRDefault="008047D1" w:rsidP="00782333">
            <w:pPr>
              <w:jc w:val="both"/>
              <w:rPr>
                <w:rFonts w:ascii="Century Gothic" w:hAnsi="Century Gothic" w:cs="Arial"/>
                <w:sz w:val="16"/>
                <w:szCs w:val="16"/>
                <w:lang w:val="en-US"/>
              </w:rPr>
            </w:pPr>
            <w:r w:rsidRPr="008047D1">
              <w:rPr>
                <w:rFonts w:ascii="Century Gothic" w:hAnsi="Century Gothic" w:cs="Arial"/>
                <w:sz w:val="16"/>
                <w:szCs w:val="16"/>
                <w:lang w:val="en-US"/>
              </w:rPr>
              <w:t xml:space="preserve">At least </w:t>
            </w:r>
            <w:r w:rsidR="008F479F" w:rsidRPr="008F479F">
              <w:rPr>
                <w:rFonts w:ascii="Century Gothic" w:hAnsi="Century Gothic" w:cs="Arial"/>
                <w:sz w:val="16"/>
                <w:szCs w:val="16"/>
                <w:lang w:val="en-US"/>
              </w:rPr>
              <w:t>3</w:t>
            </w:r>
            <w:r w:rsidRPr="008047D1">
              <w:rPr>
                <w:rFonts w:ascii="Century Gothic" w:hAnsi="Century Gothic" w:cs="Arial"/>
                <w:sz w:val="16"/>
                <w:szCs w:val="16"/>
                <w:lang w:val="en-US"/>
              </w:rPr>
              <w:t xml:space="preserve"> </w:t>
            </w:r>
            <w:r w:rsidR="00135173" w:rsidRPr="008047D1">
              <w:rPr>
                <w:rFonts w:ascii="Century Gothic" w:hAnsi="Century Gothic" w:cs="Arial"/>
                <w:sz w:val="16"/>
                <w:szCs w:val="16"/>
                <w:lang w:val="en-US"/>
              </w:rPr>
              <w:t>projects</w:t>
            </w:r>
            <w:r w:rsidRPr="008047D1">
              <w:rPr>
                <w:rFonts w:ascii="Century Gothic" w:hAnsi="Century Gothic" w:cs="Arial"/>
                <w:sz w:val="16"/>
                <w:szCs w:val="16"/>
                <w:lang w:val="en-US"/>
              </w:rPr>
              <w:t xml:space="preserve"> under FIDIC Conditions of Contract</w:t>
            </w:r>
          </w:p>
        </w:tc>
        <w:tc>
          <w:tcPr>
            <w:tcW w:w="2058" w:type="dxa"/>
          </w:tcPr>
          <w:p w14:paraId="65234240" w14:textId="5C868F34" w:rsidR="008047D1" w:rsidRPr="008047D1" w:rsidRDefault="008047D1" w:rsidP="00782333">
            <w:pPr>
              <w:jc w:val="both"/>
              <w:rPr>
                <w:rFonts w:ascii="Century Gothic" w:hAnsi="Century Gothic" w:cs="Arial"/>
                <w:sz w:val="16"/>
                <w:szCs w:val="16"/>
                <w:lang w:val="en-US"/>
              </w:rPr>
            </w:pPr>
            <w:r w:rsidRPr="008047D1">
              <w:rPr>
                <w:rFonts w:ascii="Century Gothic" w:hAnsi="Century Gothic" w:cs="Arial"/>
                <w:sz w:val="16"/>
                <w:szCs w:val="16"/>
                <w:lang w:val="en-US"/>
              </w:rPr>
              <w:t>Contract copy or client confirmation</w:t>
            </w:r>
          </w:p>
        </w:tc>
      </w:tr>
      <w:tr w:rsidR="008047D1" w:rsidRPr="008047D1" w14:paraId="476B024A" w14:textId="77777777" w:rsidTr="00291F36">
        <w:tc>
          <w:tcPr>
            <w:tcW w:w="2336" w:type="dxa"/>
          </w:tcPr>
          <w:p w14:paraId="508558A7" w14:textId="386D233D" w:rsidR="008047D1" w:rsidRPr="008047D1" w:rsidRDefault="008047D1" w:rsidP="00782333">
            <w:pPr>
              <w:jc w:val="both"/>
              <w:rPr>
                <w:rFonts w:ascii="Century Gothic" w:hAnsi="Century Gothic" w:cs="Arial"/>
                <w:sz w:val="16"/>
                <w:szCs w:val="16"/>
                <w:lang w:val="en-US"/>
              </w:rPr>
            </w:pPr>
            <w:r w:rsidRPr="008047D1">
              <w:rPr>
                <w:rFonts w:ascii="Century Gothic" w:hAnsi="Century Gothic" w:cs="Arial"/>
                <w:sz w:val="16"/>
                <w:szCs w:val="16"/>
                <w:lang w:val="en-US"/>
              </w:rPr>
              <w:t>IFI Experience</w:t>
            </w:r>
          </w:p>
        </w:tc>
        <w:tc>
          <w:tcPr>
            <w:tcW w:w="2626" w:type="dxa"/>
          </w:tcPr>
          <w:p w14:paraId="26A6E8C5" w14:textId="525441E5" w:rsidR="008047D1" w:rsidRPr="00135173" w:rsidRDefault="008047D1" w:rsidP="00782333">
            <w:pPr>
              <w:jc w:val="both"/>
              <w:rPr>
                <w:rFonts w:ascii="Century Gothic" w:hAnsi="Century Gothic" w:cs="Arial"/>
                <w:sz w:val="16"/>
                <w:szCs w:val="16"/>
                <w:vertAlign w:val="superscript"/>
                <w:lang w:val="en-US"/>
              </w:rPr>
            </w:pPr>
            <w:r w:rsidRPr="008047D1">
              <w:rPr>
                <w:rFonts w:ascii="Century Gothic" w:hAnsi="Century Gothic" w:cs="Arial"/>
                <w:sz w:val="16"/>
                <w:szCs w:val="16"/>
                <w:lang w:val="en-US"/>
              </w:rPr>
              <w:t>Projects financed by IsDB / ADB / WB / AIIB / EBRD</w:t>
            </w:r>
            <w:r w:rsidR="00135173" w:rsidRPr="00135173">
              <w:rPr>
                <w:rFonts w:ascii="Century Gothic" w:hAnsi="Century Gothic" w:cs="Arial"/>
                <w:sz w:val="16"/>
                <w:szCs w:val="16"/>
                <w:vertAlign w:val="superscript"/>
                <w:lang w:val="en-US"/>
              </w:rPr>
              <w:t>1</w:t>
            </w:r>
          </w:p>
        </w:tc>
        <w:tc>
          <w:tcPr>
            <w:tcW w:w="2336" w:type="dxa"/>
          </w:tcPr>
          <w:p w14:paraId="6C3C88D5" w14:textId="77379E43" w:rsidR="008047D1" w:rsidRPr="008047D1" w:rsidRDefault="00291F36" w:rsidP="00782333">
            <w:pPr>
              <w:jc w:val="both"/>
              <w:rPr>
                <w:rFonts w:ascii="Century Gothic" w:hAnsi="Century Gothic" w:cs="Arial"/>
                <w:sz w:val="16"/>
                <w:szCs w:val="16"/>
                <w:lang w:val="en-US"/>
              </w:rPr>
            </w:pPr>
            <w:r w:rsidRPr="00291F36">
              <w:rPr>
                <w:rFonts w:ascii="Century Gothic" w:hAnsi="Century Gothic" w:cs="Arial"/>
                <w:sz w:val="16"/>
                <w:szCs w:val="16"/>
                <w:lang w:val="en-US"/>
              </w:rPr>
              <w:t>Experience in projects financed by International Financial Institutions (IsDB, ADB, WB, AIIB, EBRD or similar) will be considered an advantage.</w:t>
            </w:r>
          </w:p>
        </w:tc>
        <w:tc>
          <w:tcPr>
            <w:tcW w:w="2058" w:type="dxa"/>
          </w:tcPr>
          <w:p w14:paraId="695A4737" w14:textId="7C935923" w:rsidR="008047D1" w:rsidRPr="008047D1" w:rsidRDefault="008047D1" w:rsidP="00782333">
            <w:pPr>
              <w:jc w:val="both"/>
              <w:rPr>
                <w:rFonts w:ascii="Century Gothic" w:hAnsi="Century Gothic" w:cs="Arial"/>
                <w:sz w:val="16"/>
                <w:szCs w:val="16"/>
                <w:lang w:val="en-US"/>
              </w:rPr>
            </w:pPr>
            <w:r w:rsidRPr="008047D1">
              <w:rPr>
                <w:rFonts w:ascii="Century Gothic" w:hAnsi="Century Gothic" w:cs="Arial"/>
                <w:sz w:val="16"/>
                <w:szCs w:val="16"/>
                <w:lang w:val="en-US"/>
              </w:rPr>
              <w:t>Contract or donor reference</w:t>
            </w:r>
          </w:p>
        </w:tc>
      </w:tr>
      <w:tr w:rsidR="008047D1" w:rsidRPr="00F55FB1" w14:paraId="44B0D762" w14:textId="77777777" w:rsidTr="00291F36">
        <w:tc>
          <w:tcPr>
            <w:tcW w:w="2336" w:type="dxa"/>
          </w:tcPr>
          <w:p w14:paraId="0A26FFEB" w14:textId="4F1CB066" w:rsidR="008047D1" w:rsidRPr="008047D1" w:rsidRDefault="00135173" w:rsidP="00782333">
            <w:pPr>
              <w:jc w:val="both"/>
              <w:rPr>
                <w:rFonts w:ascii="Century Gothic" w:hAnsi="Century Gothic" w:cs="Arial"/>
                <w:sz w:val="16"/>
                <w:szCs w:val="16"/>
                <w:lang w:val="en-US"/>
              </w:rPr>
            </w:pPr>
            <w:r w:rsidRPr="00135173">
              <w:rPr>
                <w:rFonts w:ascii="Century Gothic" w:hAnsi="Century Gothic" w:cs="Arial"/>
                <w:sz w:val="16"/>
                <w:szCs w:val="16"/>
                <w:lang w:val="en-US"/>
              </w:rPr>
              <w:t>Regional Experience</w:t>
            </w:r>
          </w:p>
        </w:tc>
        <w:tc>
          <w:tcPr>
            <w:tcW w:w="2626" w:type="dxa"/>
          </w:tcPr>
          <w:p w14:paraId="1534817D" w14:textId="6477B49D" w:rsidR="008047D1" w:rsidRPr="008047D1" w:rsidRDefault="00291F36" w:rsidP="00291F36">
            <w:pPr>
              <w:jc w:val="both"/>
              <w:rPr>
                <w:rFonts w:ascii="Century Gothic" w:hAnsi="Century Gothic" w:cs="Arial"/>
                <w:sz w:val="16"/>
                <w:szCs w:val="16"/>
                <w:lang w:val="en-US"/>
              </w:rPr>
            </w:pPr>
            <w:r w:rsidRPr="00291F36">
              <w:rPr>
                <w:rFonts w:ascii="Century Gothic" w:hAnsi="Century Gothic" w:cs="Arial"/>
                <w:sz w:val="16"/>
                <w:szCs w:val="16"/>
                <w:lang w:val="en-US"/>
              </w:rPr>
              <w:t>Experience in supervision of road construction projects implemented</w:t>
            </w:r>
            <w:r>
              <w:rPr>
                <w:rFonts w:ascii="Century Gothic" w:hAnsi="Century Gothic" w:cs="Arial"/>
                <w:sz w:val="16"/>
                <w:szCs w:val="16"/>
                <w:lang w:val="en-US"/>
              </w:rPr>
              <w:t xml:space="preserve"> </w:t>
            </w:r>
            <w:r w:rsidRPr="00291F36">
              <w:rPr>
                <w:rFonts w:ascii="Century Gothic" w:hAnsi="Century Gothic" w:cs="Arial"/>
                <w:sz w:val="16"/>
                <w:szCs w:val="16"/>
                <w:lang w:val="en-US"/>
              </w:rPr>
              <w:t>in environments with continental climate conditions, significant seasonal temperature variation, and comparable geotechnical characteristics (regional experience may be considered an advantage but is not mandatory).</w:t>
            </w:r>
          </w:p>
        </w:tc>
        <w:tc>
          <w:tcPr>
            <w:tcW w:w="2336" w:type="dxa"/>
          </w:tcPr>
          <w:p w14:paraId="1A5844D8" w14:textId="56690D40" w:rsidR="008047D1" w:rsidRPr="008047D1" w:rsidRDefault="00135173" w:rsidP="00782333">
            <w:pPr>
              <w:jc w:val="both"/>
              <w:rPr>
                <w:rFonts w:ascii="Century Gothic" w:hAnsi="Century Gothic" w:cs="Arial"/>
                <w:sz w:val="16"/>
                <w:szCs w:val="16"/>
                <w:lang w:val="en-US"/>
              </w:rPr>
            </w:pPr>
            <w:r w:rsidRPr="00135173">
              <w:rPr>
                <w:rFonts w:ascii="Century Gothic" w:hAnsi="Century Gothic" w:cs="Arial"/>
                <w:sz w:val="16"/>
                <w:szCs w:val="16"/>
                <w:lang w:val="en-US"/>
              </w:rPr>
              <w:t xml:space="preserve">At least </w:t>
            </w:r>
            <w:r w:rsidR="008F479F" w:rsidRPr="008F479F">
              <w:rPr>
                <w:rFonts w:ascii="Century Gothic" w:hAnsi="Century Gothic" w:cs="Arial"/>
                <w:sz w:val="16"/>
                <w:szCs w:val="16"/>
                <w:lang w:val="en-US"/>
              </w:rPr>
              <w:t>3</w:t>
            </w:r>
            <w:r w:rsidRPr="00135173">
              <w:rPr>
                <w:rFonts w:ascii="Century Gothic" w:hAnsi="Century Gothic" w:cs="Arial"/>
                <w:sz w:val="16"/>
                <w:szCs w:val="16"/>
                <w:lang w:val="en-US"/>
              </w:rPr>
              <w:t xml:space="preserve"> projects in comparable environment</w:t>
            </w:r>
          </w:p>
        </w:tc>
        <w:tc>
          <w:tcPr>
            <w:tcW w:w="2058" w:type="dxa"/>
          </w:tcPr>
          <w:p w14:paraId="4755E14B" w14:textId="3BFB86BA" w:rsidR="008047D1" w:rsidRPr="00CB27DF" w:rsidRDefault="00CB27DF" w:rsidP="00782333">
            <w:pPr>
              <w:jc w:val="both"/>
              <w:rPr>
                <w:rFonts w:ascii="Century Gothic" w:hAnsi="Century Gothic" w:cs="Arial"/>
                <w:sz w:val="16"/>
                <w:szCs w:val="16"/>
                <w:lang w:val="en-US"/>
              </w:rPr>
            </w:pPr>
            <w:r w:rsidRPr="00CB27DF">
              <w:rPr>
                <w:rFonts w:ascii="Century Gothic" w:hAnsi="Century Gothic" w:cs="Arial"/>
                <w:sz w:val="16"/>
                <w:szCs w:val="16"/>
                <w:lang w:val="en-US"/>
              </w:rPr>
              <w:t>Project list with brief description of climatic and geotechnical conditions and client references (if available)</w:t>
            </w:r>
          </w:p>
        </w:tc>
      </w:tr>
    </w:tbl>
    <w:p w14:paraId="378BF0C9" w14:textId="77777777" w:rsidR="009F10AC" w:rsidRPr="00782333" w:rsidRDefault="009F10AC" w:rsidP="00782333">
      <w:pPr>
        <w:spacing w:after="0" w:line="240" w:lineRule="auto"/>
        <w:ind w:left="-142"/>
        <w:jc w:val="both"/>
        <w:rPr>
          <w:rFonts w:ascii="Century Gothic" w:hAnsi="Century Gothic" w:cs="Arial"/>
          <w:sz w:val="20"/>
          <w:szCs w:val="20"/>
          <w:lang w:val="en-US"/>
        </w:rPr>
      </w:pPr>
    </w:p>
    <w:p w14:paraId="291F4A3F" w14:textId="77777777" w:rsidR="00782333" w:rsidRPr="00782333" w:rsidRDefault="00782333" w:rsidP="00782333">
      <w:pPr>
        <w:pStyle w:val="ListParagraph"/>
        <w:numPr>
          <w:ilvl w:val="0"/>
          <w:numId w:val="2"/>
        </w:numPr>
        <w:spacing w:after="0" w:line="240" w:lineRule="auto"/>
        <w:ind w:left="-142" w:firstLine="283"/>
        <w:jc w:val="both"/>
        <w:rPr>
          <w:rFonts w:ascii="Century Gothic" w:hAnsi="Century Gothic" w:cs="Arial"/>
          <w:spacing w:val="-2"/>
          <w:sz w:val="20"/>
          <w:szCs w:val="20"/>
          <w:lang w:val="en-US"/>
        </w:rPr>
      </w:pPr>
      <w:r w:rsidRPr="00782333">
        <w:rPr>
          <w:rFonts w:ascii="Century Gothic" w:hAnsi="Century Gothic" w:cs="Arial"/>
          <w:spacing w:val="-2"/>
          <w:sz w:val="20"/>
          <w:szCs w:val="20"/>
          <w:lang w:val="en-US"/>
        </w:rPr>
        <w:t>Key Experts will not be evaluated at the shortlisting stage.</w:t>
      </w:r>
    </w:p>
    <w:p w14:paraId="30700889" w14:textId="77777777" w:rsidR="00782333" w:rsidRPr="00782333" w:rsidRDefault="00782333" w:rsidP="00782333">
      <w:pPr>
        <w:spacing w:after="0" w:line="240" w:lineRule="auto"/>
        <w:ind w:left="-142"/>
        <w:jc w:val="both"/>
        <w:rPr>
          <w:rFonts w:ascii="Century Gothic" w:hAnsi="Century Gothic" w:cs="Arial"/>
          <w:sz w:val="20"/>
          <w:szCs w:val="20"/>
          <w:lang w:val="en-US"/>
        </w:rPr>
      </w:pPr>
    </w:p>
    <w:p w14:paraId="55044BB5" w14:textId="3A618F60" w:rsidR="00782333" w:rsidRDefault="00782333" w:rsidP="00782333">
      <w:pPr>
        <w:pStyle w:val="ListParagraph"/>
        <w:numPr>
          <w:ilvl w:val="0"/>
          <w:numId w:val="2"/>
        </w:numPr>
        <w:spacing w:after="0" w:line="240" w:lineRule="auto"/>
        <w:ind w:left="-142" w:firstLine="283"/>
        <w:jc w:val="both"/>
        <w:rPr>
          <w:rFonts w:ascii="Century Gothic" w:hAnsi="Century Gothic" w:cs="Arial"/>
          <w:sz w:val="20"/>
          <w:szCs w:val="20"/>
          <w:lang w:val="en-US"/>
        </w:rPr>
      </w:pPr>
      <w:r w:rsidRPr="00782333">
        <w:rPr>
          <w:rFonts w:ascii="Century Gothic" w:hAnsi="Century Gothic" w:cs="Arial"/>
          <w:sz w:val="20"/>
          <w:szCs w:val="20"/>
          <w:lang w:val="en-US"/>
        </w:rPr>
        <w:t xml:space="preserve">The attention of interested Consultants is drawn to </w:t>
      </w:r>
      <w:r w:rsidR="008F479F">
        <w:rPr>
          <w:rFonts w:ascii="Century Gothic" w:hAnsi="Century Gothic" w:cs="Arial"/>
          <w:sz w:val="20"/>
          <w:szCs w:val="20"/>
          <w:lang w:val="en-US"/>
        </w:rPr>
        <w:t xml:space="preserve">Part </w:t>
      </w:r>
      <w:r w:rsidR="00291F36" w:rsidRPr="00291F36">
        <w:rPr>
          <w:rFonts w:ascii="Century Gothic" w:hAnsi="Century Gothic" w:cs="Arial"/>
          <w:sz w:val="20"/>
          <w:szCs w:val="20"/>
          <w:lang w:val="en-US"/>
        </w:rPr>
        <w:t>0</w:t>
      </w:r>
      <w:r w:rsidR="008F479F">
        <w:rPr>
          <w:rFonts w:ascii="Century Gothic" w:hAnsi="Century Gothic" w:cs="Arial"/>
          <w:sz w:val="20"/>
          <w:szCs w:val="20"/>
          <w:lang w:val="en-US"/>
        </w:rPr>
        <w:t xml:space="preserve">1, Chapter 1, </w:t>
      </w:r>
      <w:r w:rsidRPr="00782333">
        <w:rPr>
          <w:rFonts w:ascii="Century Gothic" w:hAnsi="Century Gothic" w:cs="Arial"/>
          <w:sz w:val="20"/>
          <w:szCs w:val="20"/>
          <w:lang w:val="en-US"/>
        </w:rPr>
        <w:t xml:space="preserve">Paragraphs 1.12.1 and 1.12.2 of the Guidelines for Procurement of Consultancy Services under Islamic Development Bank Project Financing, April 2019, revised in February 2023 (the “Procurement Guidelines”), setting forth IsDB’s policy on conflict of interest which is available on the Bank’s website at </w:t>
      </w:r>
      <w:hyperlink r:id="rId9" w:history="1">
        <w:r w:rsidRPr="00782333">
          <w:rPr>
            <w:rStyle w:val="Hyperlink"/>
            <w:rFonts w:ascii="Century Gothic" w:hAnsi="Century Gothic" w:cs="Arial"/>
            <w:sz w:val="20"/>
            <w:szCs w:val="20"/>
            <w:lang w:val="en-US"/>
          </w:rPr>
          <w:t>https://www.isdb.org/project-procurement/documents</w:t>
        </w:r>
      </w:hyperlink>
      <w:r w:rsidRPr="00782333">
        <w:rPr>
          <w:rFonts w:ascii="Century Gothic" w:hAnsi="Century Gothic" w:cs="Arial"/>
          <w:sz w:val="20"/>
          <w:szCs w:val="20"/>
          <w:lang w:val="en-US"/>
        </w:rPr>
        <w:t xml:space="preserve"> </w:t>
      </w:r>
    </w:p>
    <w:p w14:paraId="2F1E793D" w14:textId="77777777" w:rsidR="008F479F" w:rsidRPr="008F479F" w:rsidRDefault="008F479F" w:rsidP="008F479F">
      <w:pPr>
        <w:pStyle w:val="ListParagraph"/>
        <w:rPr>
          <w:rFonts w:ascii="Century Gothic" w:hAnsi="Century Gothic" w:cs="Arial"/>
          <w:sz w:val="20"/>
          <w:szCs w:val="20"/>
          <w:lang w:val="en-US"/>
        </w:rPr>
      </w:pPr>
    </w:p>
    <w:p w14:paraId="5E7AFBE5" w14:textId="489CF86C" w:rsidR="008F479F" w:rsidRPr="00782333" w:rsidRDefault="008F479F" w:rsidP="00782333">
      <w:pPr>
        <w:pStyle w:val="ListParagraph"/>
        <w:numPr>
          <w:ilvl w:val="0"/>
          <w:numId w:val="2"/>
        </w:numPr>
        <w:spacing w:after="0" w:line="240" w:lineRule="auto"/>
        <w:ind w:left="-142" w:firstLine="283"/>
        <w:jc w:val="both"/>
        <w:rPr>
          <w:rFonts w:ascii="Century Gothic" w:hAnsi="Century Gothic" w:cs="Arial"/>
          <w:sz w:val="20"/>
          <w:szCs w:val="20"/>
          <w:lang w:val="en-US"/>
        </w:rPr>
      </w:pPr>
      <w:r w:rsidRPr="008F479F">
        <w:rPr>
          <w:rFonts w:ascii="Century Gothic" w:hAnsi="Century Gothic" w:cs="Arial"/>
          <w:sz w:val="20"/>
          <w:szCs w:val="20"/>
          <w:lang w:val="en-US"/>
        </w:rPr>
        <w:t>Submission language: English</w:t>
      </w:r>
    </w:p>
    <w:p w14:paraId="20D933BA" w14:textId="77777777" w:rsidR="00782333" w:rsidRPr="00782333" w:rsidRDefault="00782333" w:rsidP="00782333">
      <w:pPr>
        <w:spacing w:after="0" w:line="240" w:lineRule="auto"/>
        <w:ind w:left="-142"/>
        <w:jc w:val="both"/>
        <w:rPr>
          <w:rFonts w:ascii="Century Gothic" w:hAnsi="Century Gothic" w:cs="Arial"/>
          <w:sz w:val="20"/>
          <w:szCs w:val="20"/>
          <w:lang w:val="en-US"/>
        </w:rPr>
      </w:pPr>
    </w:p>
    <w:p w14:paraId="47A2194C" w14:textId="77777777" w:rsidR="00782333" w:rsidRPr="00782333" w:rsidRDefault="00782333" w:rsidP="00782333">
      <w:pPr>
        <w:pStyle w:val="ListParagraph"/>
        <w:numPr>
          <w:ilvl w:val="0"/>
          <w:numId w:val="2"/>
        </w:numPr>
        <w:spacing w:after="0" w:line="240" w:lineRule="auto"/>
        <w:ind w:left="-142" w:firstLine="283"/>
        <w:jc w:val="both"/>
        <w:rPr>
          <w:rFonts w:ascii="Century Gothic" w:hAnsi="Century Gothic" w:cs="Arial"/>
          <w:sz w:val="20"/>
          <w:szCs w:val="20"/>
          <w:lang w:val="en-US"/>
        </w:rPr>
      </w:pPr>
      <w:r w:rsidRPr="00782333">
        <w:rPr>
          <w:rFonts w:ascii="Century Gothic" w:hAnsi="Century Gothic" w:cs="Arial"/>
          <w:sz w:val="20"/>
          <w:szCs w:val="20"/>
          <w:lang w:val="en-US"/>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30B15153" w14:textId="77777777" w:rsidR="00782333" w:rsidRPr="00782333" w:rsidRDefault="00782333" w:rsidP="00782333">
      <w:pPr>
        <w:spacing w:after="0" w:line="240" w:lineRule="auto"/>
        <w:ind w:left="-142" w:firstLine="283"/>
        <w:jc w:val="both"/>
        <w:rPr>
          <w:rFonts w:ascii="Century Gothic" w:hAnsi="Century Gothic" w:cs="Arial"/>
          <w:sz w:val="20"/>
          <w:szCs w:val="20"/>
          <w:lang w:val="en-US"/>
        </w:rPr>
      </w:pPr>
    </w:p>
    <w:p w14:paraId="1D89B964" w14:textId="77777777" w:rsidR="00782333" w:rsidRPr="00782333" w:rsidRDefault="00782333" w:rsidP="00782333">
      <w:pPr>
        <w:pStyle w:val="ListParagraph"/>
        <w:numPr>
          <w:ilvl w:val="0"/>
          <w:numId w:val="2"/>
        </w:numPr>
        <w:spacing w:after="0" w:line="240" w:lineRule="auto"/>
        <w:ind w:left="-142" w:firstLine="283"/>
        <w:jc w:val="both"/>
        <w:rPr>
          <w:rFonts w:ascii="Century Gothic" w:hAnsi="Century Gothic" w:cs="Arial"/>
          <w:sz w:val="20"/>
          <w:szCs w:val="20"/>
          <w:lang w:val="en-US"/>
        </w:rPr>
      </w:pPr>
      <w:r w:rsidRPr="00782333">
        <w:rPr>
          <w:rFonts w:ascii="Century Gothic" w:hAnsi="Century Gothic" w:cs="Arial"/>
          <w:sz w:val="20"/>
          <w:szCs w:val="20"/>
          <w:lang w:val="en-US"/>
        </w:rPr>
        <w:t>A consultant will be selected in accordance with the Quality and Cost-based Selection (QCBS) method through shortlist firms from IsDB Member Countries set out in the Procurement Guidelines.</w:t>
      </w:r>
    </w:p>
    <w:p w14:paraId="4799FBCF" w14:textId="77777777" w:rsidR="00782333" w:rsidRPr="00782333" w:rsidRDefault="00782333" w:rsidP="00782333">
      <w:pPr>
        <w:spacing w:after="0" w:line="240" w:lineRule="auto"/>
        <w:ind w:left="-142" w:firstLine="283"/>
        <w:jc w:val="both"/>
        <w:rPr>
          <w:rFonts w:ascii="Century Gothic" w:hAnsi="Century Gothic" w:cs="Arial"/>
          <w:sz w:val="20"/>
          <w:szCs w:val="20"/>
          <w:lang w:val="en-US"/>
        </w:rPr>
      </w:pPr>
    </w:p>
    <w:p w14:paraId="795DFCCD" w14:textId="77777777" w:rsidR="00782333" w:rsidRPr="00782333" w:rsidRDefault="00782333" w:rsidP="00782333">
      <w:pPr>
        <w:pStyle w:val="ListParagraph"/>
        <w:numPr>
          <w:ilvl w:val="0"/>
          <w:numId w:val="2"/>
        </w:numPr>
        <w:spacing w:after="0" w:line="240" w:lineRule="auto"/>
        <w:ind w:left="-142" w:firstLine="283"/>
        <w:jc w:val="both"/>
        <w:rPr>
          <w:rFonts w:ascii="Century Gothic" w:hAnsi="Century Gothic" w:cs="Arial"/>
          <w:sz w:val="20"/>
          <w:szCs w:val="20"/>
          <w:lang w:val="en-US"/>
        </w:rPr>
      </w:pPr>
      <w:r w:rsidRPr="00782333">
        <w:rPr>
          <w:rFonts w:ascii="Century Gothic" w:hAnsi="Century Gothic" w:cs="Arial"/>
          <w:sz w:val="20"/>
          <w:szCs w:val="20"/>
          <w:lang w:val="en-US"/>
        </w:rPr>
        <w:t>Interested consultants may obtain further information at the address below during office hours 09:00 to 18:00 hours (Tashkent time).</w:t>
      </w:r>
    </w:p>
    <w:p w14:paraId="25B8450D" w14:textId="77777777" w:rsidR="00782333" w:rsidRPr="00782333" w:rsidRDefault="00782333" w:rsidP="00782333">
      <w:pPr>
        <w:spacing w:after="0" w:line="240" w:lineRule="auto"/>
        <w:ind w:left="-142" w:firstLine="283"/>
        <w:jc w:val="both"/>
        <w:rPr>
          <w:rFonts w:ascii="Century Gothic" w:hAnsi="Century Gothic" w:cs="Arial"/>
          <w:sz w:val="20"/>
          <w:szCs w:val="20"/>
          <w:lang w:val="en-US"/>
        </w:rPr>
      </w:pPr>
    </w:p>
    <w:p w14:paraId="293DD1E0" w14:textId="78D5DE4D" w:rsidR="00782333" w:rsidRPr="00782333" w:rsidRDefault="00782333" w:rsidP="00782333">
      <w:pPr>
        <w:pStyle w:val="ListParagraph"/>
        <w:numPr>
          <w:ilvl w:val="0"/>
          <w:numId w:val="2"/>
        </w:numPr>
        <w:spacing w:after="0" w:line="240" w:lineRule="auto"/>
        <w:ind w:left="-142" w:firstLine="283"/>
        <w:jc w:val="both"/>
        <w:rPr>
          <w:rFonts w:ascii="Century Gothic" w:hAnsi="Century Gothic" w:cs="Arial"/>
          <w:sz w:val="20"/>
          <w:szCs w:val="20"/>
          <w:lang w:val="en-US"/>
        </w:rPr>
      </w:pPr>
      <w:r w:rsidRPr="00782333">
        <w:rPr>
          <w:rFonts w:ascii="Century Gothic" w:hAnsi="Century Gothic" w:cs="Arial"/>
          <w:sz w:val="20"/>
          <w:szCs w:val="20"/>
          <w:lang w:val="en-US"/>
        </w:rPr>
        <w:t xml:space="preserve">Expressions of interest must be delivered in a written form to the address below (in person, or by mail (example DHL), or by e-mail) by </w:t>
      </w:r>
      <w:r w:rsidR="00F55FB1">
        <w:rPr>
          <w:rFonts w:ascii="Century Gothic" w:hAnsi="Century Gothic" w:cs="Arial"/>
          <w:sz w:val="20"/>
          <w:szCs w:val="20"/>
          <w:lang w:val="en-US"/>
        </w:rPr>
        <w:t>1</w:t>
      </w:r>
      <w:r w:rsidR="00812298">
        <w:rPr>
          <w:rFonts w:ascii="Century Gothic" w:hAnsi="Century Gothic" w:cs="Arial"/>
          <w:sz w:val="20"/>
          <w:szCs w:val="20"/>
          <w:lang w:val="en-US"/>
        </w:rPr>
        <w:t>.0</w:t>
      </w:r>
      <w:r w:rsidR="00F55FB1" w:rsidRPr="00F55FB1">
        <w:rPr>
          <w:rFonts w:ascii="Century Gothic" w:hAnsi="Century Gothic" w:cs="Arial"/>
          <w:sz w:val="20"/>
          <w:szCs w:val="20"/>
          <w:lang w:val="en-US"/>
        </w:rPr>
        <w:t>4</w:t>
      </w:r>
      <w:r w:rsidR="00812298">
        <w:rPr>
          <w:rFonts w:ascii="Century Gothic" w:hAnsi="Century Gothic" w:cs="Arial"/>
          <w:sz w:val="20"/>
          <w:szCs w:val="20"/>
          <w:lang w:val="en-US"/>
        </w:rPr>
        <w:t>.2026</w:t>
      </w:r>
      <w:r w:rsidRPr="00782333">
        <w:rPr>
          <w:rFonts w:ascii="Century Gothic" w:hAnsi="Century Gothic" w:cs="Arial"/>
          <w:sz w:val="20"/>
          <w:szCs w:val="20"/>
          <w:lang w:val="en-US"/>
        </w:rPr>
        <w:t>.</w:t>
      </w:r>
    </w:p>
    <w:p w14:paraId="43A94329" w14:textId="77777777" w:rsidR="00782333" w:rsidRPr="00782333" w:rsidRDefault="00782333" w:rsidP="00782333">
      <w:pPr>
        <w:spacing w:after="0" w:line="240" w:lineRule="auto"/>
        <w:ind w:left="-142"/>
        <w:jc w:val="both"/>
        <w:rPr>
          <w:rFonts w:ascii="Century Gothic" w:hAnsi="Century Gothic" w:cs="Arial"/>
          <w:sz w:val="20"/>
          <w:szCs w:val="20"/>
          <w:lang w:val="en-US"/>
        </w:rPr>
      </w:pPr>
    </w:p>
    <w:p w14:paraId="4F824BFE" w14:textId="77777777" w:rsidR="00782333" w:rsidRPr="00782333" w:rsidRDefault="00782333" w:rsidP="00782333">
      <w:pPr>
        <w:spacing w:after="0" w:line="240" w:lineRule="auto"/>
        <w:ind w:left="-142"/>
        <w:jc w:val="both"/>
        <w:rPr>
          <w:rFonts w:ascii="Century Gothic" w:hAnsi="Century Gothic" w:cs="Arial"/>
          <w:b/>
          <w:sz w:val="20"/>
          <w:szCs w:val="20"/>
          <w:lang w:val="en-US"/>
        </w:rPr>
      </w:pPr>
    </w:p>
    <w:p w14:paraId="54AA2FC8" w14:textId="77777777" w:rsidR="00782333" w:rsidRPr="00782333" w:rsidRDefault="00782333" w:rsidP="00782333">
      <w:pPr>
        <w:spacing w:after="0" w:line="240" w:lineRule="auto"/>
        <w:ind w:left="-142"/>
        <w:jc w:val="both"/>
        <w:rPr>
          <w:rFonts w:ascii="Century Gothic" w:hAnsi="Century Gothic" w:cs="Arial"/>
          <w:b/>
          <w:sz w:val="20"/>
          <w:szCs w:val="20"/>
          <w:lang w:val="en-US"/>
        </w:rPr>
      </w:pPr>
      <w:r w:rsidRPr="00782333">
        <w:rPr>
          <w:rFonts w:ascii="Century Gothic" w:hAnsi="Century Gothic" w:cs="Arial"/>
          <w:b/>
          <w:sz w:val="20"/>
          <w:szCs w:val="20"/>
          <w:lang w:val="en-US"/>
        </w:rPr>
        <w:t>Avtoyulinvest Agency</w:t>
      </w:r>
    </w:p>
    <w:p w14:paraId="1FF7E3B3" w14:textId="77777777" w:rsidR="00782333" w:rsidRPr="00782333" w:rsidRDefault="00782333" w:rsidP="00782333">
      <w:pPr>
        <w:spacing w:after="0" w:line="240" w:lineRule="auto"/>
        <w:ind w:left="-142"/>
        <w:jc w:val="both"/>
        <w:rPr>
          <w:rFonts w:ascii="Century Gothic" w:hAnsi="Century Gothic" w:cs="Arial"/>
          <w:sz w:val="20"/>
          <w:szCs w:val="20"/>
          <w:lang w:val="en-US"/>
        </w:rPr>
      </w:pPr>
      <w:r w:rsidRPr="00782333">
        <w:rPr>
          <w:rFonts w:ascii="Century Gothic" w:hAnsi="Century Gothic" w:cs="Arial"/>
          <w:sz w:val="20"/>
          <w:szCs w:val="20"/>
          <w:lang w:val="en-US"/>
        </w:rPr>
        <w:t>Attention: Asliddin Isayev, Director of Avtoyulinvest Agency</w:t>
      </w:r>
    </w:p>
    <w:p w14:paraId="03E70DEB" w14:textId="77777777" w:rsidR="00782333" w:rsidRPr="00782333" w:rsidRDefault="00782333" w:rsidP="00782333">
      <w:pPr>
        <w:spacing w:after="0" w:line="240" w:lineRule="auto"/>
        <w:ind w:left="-142"/>
        <w:jc w:val="both"/>
        <w:rPr>
          <w:rFonts w:ascii="Century Gothic" w:hAnsi="Century Gothic" w:cs="Arial"/>
          <w:sz w:val="20"/>
          <w:szCs w:val="20"/>
          <w:lang w:val="en-US"/>
        </w:rPr>
      </w:pPr>
      <w:r w:rsidRPr="00782333">
        <w:rPr>
          <w:rFonts w:ascii="Century Gothic" w:hAnsi="Century Gothic" w:cs="Arial"/>
          <w:sz w:val="20"/>
          <w:szCs w:val="20"/>
          <w:lang w:val="en-US"/>
        </w:rPr>
        <w:t>609-room, 6 floor, 68 Mustakillik Ave., 100000, Tashkent, Uzbekistan</w:t>
      </w:r>
    </w:p>
    <w:p w14:paraId="520D9336" w14:textId="39123A4A" w:rsidR="00782333" w:rsidRPr="00A455BD" w:rsidRDefault="00782333" w:rsidP="00782333">
      <w:pPr>
        <w:spacing w:after="0" w:line="240" w:lineRule="auto"/>
        <w:ind w:left="-142"/>
        <w:jc w:val="both"/>
        <w:rPr>
          <w:rFonts w:ascii="Century Gothic" w:hAnsi="Century Gothic" w:cs="Arial"/>
          <w:sz w:val="20"/>
          <w:szCs w:val="20"/>
          <w:lang w:val="en-US"/>
        </w:rPr>
      </w:pPr>
      <w:r w:rsidRPr="00782333">
        <w:rPr>
          <w:rFonts w:ascii="Century Gothic" w:hAnsi="Century Gothic" w:cs="Arial"/>
          <w:sz w:val="20"/>
          <w:szCs w:val="20"/>
          <w:lang w:val="en-US"/>
        </w:rPr>
        <w:t xml:space="preserve">Tel: </w:t>
      </w:r>
      <w:r w:rsidR="007B2CAC">
        <w:rPr>
          <w:rFonts w:ascii="Century Gothic" w:hAnsi="Century Gothic" w:cs="Arial"/>
          <w:sz w:val="20"/>
          <w:szCs w:val="20"/>
          <w:lang w:val="en-US"/>
        </w:rPr>
        <w:t>99893 359 09 18</w:t>
      </w:r>
    </w:p>
    <w:p w14:paraId="6DD56A36" w14:textId="77777777" w:rsidR="00782333" w:rsidRPr="00782333" w:rsidRDefault="00782333" w:rsidP="00782333">
      <w:pPr>
        <w:spacing w:after="0" w:line="240" w:lineRule="auto"/>
        <w:ind w:left="-142"/>
        <w:jc w:val="both"/>
        <w:rPr>
          <w:rFonts w:ascii="Century Gothic" w:hAnsi="Century Gothic" w:cs="Arial"/>
          <w:sz w:val="20"/>
          <w:szCs w:val="20"/>
          <w:lang w:val="en-US"/>
        </w:rPr>
      </w:pPr>
      <w:r w:rsidRPr="00782333">
        <w:rPr>
          <w:rFonts w:ascii="Century Gothic" w:hAnsi="Century Gothic" w:cs="Arial"/>
          <w:sz w:val="20"/>
          <w:szCs w:val="20"/>
          <w:lang w:val="en-US"/>
        </w:rPr>
        <w:t>E-mail: piuisdb4</w:t>
      </w:r>
      <w:r>
        <w:rPr>
          <w:rFonts w:ascii="Century Gothic" w:hAnsi="Century Gothic" w:cs="Arial"/>
          <w:sz w:val="20"/>
          <w:szCs w:val="20"/>
          <w:lang w:val="en-US"/>
        </w:rPr>
        <w:t>r40</w:t>
      </w:r>
      <w:r w:rsidRPr="00782333">
        <w:rPr>
          <w:rFonts w:ascii="Century Gothic" w:hAnsi="Century Gothic" w:cs="Arial"/>
          <w:sz w:val="20"/>
          <w:szCs w:val="20"/>
          <w:lang w:val="en-US"/>
        </w:rPr>
        <w:t>@gmail.com</w:t>
      </w:r>
    </w:p>
    <w:p w14:paraId="742069E5" w14:textId="7AE96E18" w:rsidR="00782333" w:rsidRPr="00782333" w:rsidRDefault="00782333" w:rsidP="00D539A1">
      <w:pPr>
        <w:spacing w:after="0" w:line="240" w:lineRule="auto"/>
        <w:ind w:left="-142"/>
        <w:jc w:val="both"/>
        <w:rPr>
          <w:sz w:val="20"/>
          <w:szCs w:val="20"/>
          <w:lang w:val="en-US"/>
        </w:rPr>
      </w:pPr>
      <w:r w:rsidRPr="00782333">
        <w:rPr>
          <w:rFonts w:ascii="Century Gothic" w:hAnsi="Century Gothic" w:cs="Arial"/>
          <w:sz w:val="20"/>
          <w:szCs w:val="20"/>
          <w:lang w:val="en-US"/>
        </w:rPr>
        <w:t xml:space="preserve">Web site: </w:t>
      </w:r>
      <w:r w:rsidRPr="00572B99">
        <w:rPr>
          <w:sz w:val="20"/>
          <w:szCs w:val="20"/>
          <w:lang w:val="en-US"/>
        </w:rPr>
        <w:t>https://gov.uz/uzavtoyul/</w:t>
      </w:r>
    </w:p>
    <w:sectPr w:rsidR="00782333" w:rsidRPr="00782333" w:rsidSect="00D539A1">
      <w:headerReference w:type="even" r:id="rId10"/>
      <w:headerReference w:type="default" r:id="rId11"/>
      <w:headerReference w:type="first" r:id="rId12"/>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763FA" w14:textId="77777777" w:rsidR="00E23F3C" w:rsidRDefault="00E23F3C" w:rsidP="00782333">
      <w:pPr>
        <w:spacing w:after="0" w:line="240" w:lineRule="auto"/>
      </w:pPr>
      <w:r>
        <w:separator/>
      </w:r>
    </w:p>
  </w:endnote>
  <w:endnote w:type="continuationSeparator" w:id="0">
    <w:p w14:paraId="5FC6AB8E" w14:textId="77777777" w:rsidR="00E23F3C" w:rsidRDefault="00E23F3C" w:rsidP="00782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BBFD3" w14:textId="77777777" w:rsidR="00E23F3C" w:rsidRDefault="00E23F3C" w:rsidP="00782333">
      <w:pPr>
        <w:spacing w:after="0" w:line="240" w:lineRule="auto"/>
      </w:pPr>
      <w:r>
        <w:separator/>
      </w:r>
    </w:p>
  </w:footnote>
  <w:footnote w:type="continuationSeparator" w:id="0">
    <w:p w14:paraId="65B88BF5" w14:textId="77777777" w:rsidR="00E23F3C" w:rsidRDefault="00E23F3C" w:rsidP="00782333">
      <w:pPr>
        <w:spacing w:after="0" w:line="240" w:lineRule="auto"/>
      </w:pPr>
      <w:r>
        <w:continuationSeparator/>
      </w:r>
    </w:p>
  </w:footnote>
  <w:footnote w:id="1">
    <w:p w14:paraId="2E8B10DB" w14:textId="77A268C8" w:rsidR="00135173" w:rsidRPr="00135173" w:rsidRDefault="00135173" w:rsidP="00135173">
      <w:pPr>
        <w:pStyle w:val="FootnoteText"/>
        <w:jc w:val="both"/>
        <w:rPr>
          <w:lang w:val="en-US"/>
        </w:rPr>
      </w:pPr>
      <w:r>
        <w:rPr>
          <w:rStyle w:val="FootnoteReference"/>
        </w:rPr>
        <w:footnoteRef/>
      </w:r>
      <w:r w:rsidRPr="00135173">
        <w:rPr>
          <w:lang w:val="en-US"/>
        </w:rPr>
        <w:t xml:space="preserve"> </w:t>
      </w:r>
      <w:r w:rsidRPr="00135173">
        <w:rPr>
          <w:sz w:val="16"/>
          <w:szCs w:val="16"/>
          <w:lang w:val="en-US"/>
        </w:rPr>
        <w:t>The experience of the Applicant shall be considered only for those contracts where the Applicant acted either as a sole consultant, the lead partner in a joint venture, or had a participation share of not less than eighty percent (80%) of the total contract value.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A49B" w14:textId="41420907" w:rsidR="00EE509E" w:rsidRDefault="00EE509E">
    <w:pPr>
      <w:pStyle w:val="Header"/>
    </w:pPr>
    <w:r>
      <w:rPr>
        <w:noProof/>
      </w:rPr>
      <mc:AlternateContent>
        <mc:Choice Requires="wps">
          <w:drawing>
            <wp:anchor distT="0" distB="0" distL="0" distR="0" simplePos="0" relativeHeight="251659264" behindDoc="0" locked="0" layoutInCell="1" allowOverlap="1" wp14:anchorId="1D6125C1" wp14:editId="777830C4">
              <wp:simplePos x="635" y="635"/>
              <wp:positionH relativeFrom="page">
                <wp:align>left</wp:align>
              </wp:positionH>
              <wp:positionV relativeFrom="page">
                <wp:align>top</wp:align>
              </wp:positionV>
              <wp:extent cx="793750" cy="357505"/>
              <wp:effectExtent l="0" t="0" r="6350" b="4445"/>
              <wp:wrapNone/>
              <wp:docPr id="192769386"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57505"/>
                      </a:xfrm>
                      <a:prstGeom prst="rect">
                        <a:avLst/>
                      </a:prstGeom>
                      <a:noFill/>
                      <a:ln>
                        <a:noFill/>
                      </a:ln>
                    </wps:spPr>
                    <wps:txbx>
                      <w:txbxContent>
                        <w:p w14:paraId="3B9E3393" w14:textId="3F2D5609" w:rsidR="00EE509E" w:rsidRPr="00EE509E" w:rsidRDefault="00EE509E" w:rsidP="00EE509E">
                          <w:pPr>
                            <w:spacing w:after="0"/>
                            <w:rPr>
                              <w:rFonts w:ascii="Aptos" w:eastAsia="Aptos" w:hAnsi="Aptos" w:cs="Aptos"/>
                              <w:noProof/>
                              <w:color w:val="000000"/>
                              <w:sz w:val="20"/>
                              <w:szCs w:val="20"/>
                            </w:rPr>
                          </w:pPr>
                          <w:r w:rsidRPr="00EE509E">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D6125C1" id="_x0000_t202" coordsize="21600,21600" o:spt="202" path="m,l,21600r21600,l21600,xe">
              <v:stroke joinstyle="miter"/>
              <v:path gradientshapeok="t" o:connecttype="rect"/>
            </v:shapetype>
            <v:shape id="Text Box 2" o:spid="_x0000_s1026" type="#_x0000_t202" alt="Protected" style="position:absolute;margin-left:0;margin-top:0;width:62.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" filled="f" stroked="f">
              <v:fill o:detectmouseclick="t"/>
              <v:textbox style="mso-fit-shape-to-text:t" inset="20pt,15pt,0,0">
                <w:txbxContent>
                  <w:p w14:paraId="3B9E3393" w14:textId="3F2D5609" w:rsidR="00EE509E" w:rsidRPr="00EE509E" w:rsidRDefault="00EE509E" w:rsidP="00EE509E">
                    <w:pPr>
                      <w:spacing w:after="0"/>
                      <w:rPr>
                        <w:rFonts w:ascii="Aptos" w:eastAsia="Aptos" w:hAnsi="Aptos" w:cs="Aptos"/>
                        <w:noProof/>
                        <w:color w:val="000000"/>
                        <w:sz w:val="20"/>
                        <w:szCs w:val="20"/>
                      </w:rPr>
                    </w:pPr>
                    <w:r w:rsidRPr="00EE509E">
                      <w:rPr>
                        <w:rFonts w:ascii="Aptos" w:eastAsia="Aptos" w:hAnsi="Aptos" w:cs="Aptos"/>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E28E" w14:textId="18ED829F" w:rsidR="00EE509E" w:rsidRDefault="00EE509E">
    <w:pPr>
      <w:pStyle w:val="Header"/>
    </w:pPr>
    <w:r>
      <w:rPr>
        <w:noProof/>
      </w:rPr>
      <mc:AlternateContent>
        <mc:Choice Requires="wps">
          <w:drawing>
            <wp:anchor distT="0" distB="0" distL="0" distR="0" simplePos="0" relativeHeight="251660288" behindDoc="0" locked="0" layoutInCell="1" allowOverlap="1" wp14:anchorId="6AB8D34B" wp14:editId="40663E69">
              <wp:simplePos x="1078302" y="448574"/>
              <wp:positionH relativeFrom="page">
                <wp:align>left</wp:align>
              </wp:positionH>
              <wp:positionV relativeFrom="page">
                <wp:align>top</wp:align>
              </wp:positionV>
              <wp:extent cx="793750" cy="357505"/>
              <wp:effectExtent l="0" t="0" r="6350" b="4445"/>
              <wp:wrapNone/>
              <wp:docPr id="33409542"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57505"/>
                      </a:xfrm>
                      <a:prstGeom prst="rect">
                        <a:avLst/>
                      </a:prstGeom>
                      <a:noFill/>
                      <a:ln>
                        <a:noFill/>
                      </a:ln>
                    </wps:spPr>
                    <wps:txbx>
                      <w:txbxContent>
                        <w:p w14:paraId="7EDF2AA8" w14:textId="52745C6D" w:rsidR="00EE509E" w:rsidRPr="00EE509E" w:rsidRDefault="00EE509E" w:rsidP="00EE509E">
                          <w:pPr>
                            <w:spacing w:after="0"/>
                            <w:rPr>
                              <w:rFonts w:ascii="Aptos" w:eastAsia="Aptos" w:hAnsi="Aptos" w:cs="Aptos"/>
                              <w:noProof/>
                              <w:color w:val="000000"/>
                              <w:sz w:val="20"/>
                              <w:szCs w:val="20"/>
                            </w:rPr>
                          </w:pPr>
                          <w:r w:rsidRPr="00EE509E">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B8D34B" id="_x0000_t202" coordsize="21600,21600" o:spt="202" path="m,l,21600r21600,l21600,xe">
              <v:stroke joinstyle="miter"/>
              <v:path gradientshapeok="t" o:connecttype="rect"/>
            </v:shapetype>
            <v:shape id="Text Box 3" o:spid="_x0000_s1027" type="#_x0000_t202" alt="Protected" style="position:absolute;margin-left:0;margin-top:0;width:62.5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" filled="f" stroked="f">
              <v:fill o:detectmouseclick="t"/>
              <v:textbox style="mso-fit-shape-to-text:t" inset="20pt,15pt,0,0">
                <w:txbxContent>
                  <w:p w14:paraId="7EDF2AA8" w14:textId="52745C6D" w:rsidR="00EE509E" w:rsidRPr="00EE509E" w:rsidRDefault="00EE509E" w:rsidP="00EE509E">
                    <w:pPr>
                      <w:spacing w:after="0"/>
                      <w:rPr>
                        <w:rFonts w:ascii="Aptos" w:eastAsia="Aptos" w:hAnsi="Aptos" w:cs="Aptos"/>
                        <w:noProof/>
                        <w:color w:val="000000"/>
                        <w:sz w:val="20"/>
                        <w:szCs w:val="20"/>
                      </w:rPr>
                    </w:pPr>
                    <w:r w:rsidRPr="00EE509E">
                      <w:rPr>
                        <w:rFonts w:ascii="Aptos" w:eastAsia="Aptos" w:hAnsi="Aptos" w:cs="Aptos"/>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62D8" w14:textId="07BDEC30" w:rsidR="00EE509E" w:rsidRDefault="00EE509E">
    <w:pPr>
      <w:pStyle w:val="Header"/>
    </w:pPr>
    <w:r>
      <w:rPr>
        <w:noProof/>
      </w:rPr>
      <mc:AlternateContent>
        <mc:Choice Requires="wps">
          <w:drawing>
            <wp:anchor distT="0" distB="0" distL="0" distR="0" simplePos="0" relativeHeight="251658240" behindDoc="0" locked="0" layoutInCell="1" allowOverlap="1" wp14:anchorId="1C1AA7BC" wp14:editId="01E33298">
              <wp:simplePos x="635" y="635"/>
              <wp:positionH relativeFrom="page">
                <wp:align>left</wp:align>
              </wp:positionH>
              <wp:positionV relativeFrom="page">
                <wp:align>top</wp:align>
              </wp:positionV>
              <wp:extent cx="793750" cy="357505"/>
              <wp:effectExtent l="0" t="0" r="6350" b="4445"/>
              <wp:wrapNone/>
              <wp:docPr id="232283193"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3750" cy="357505"/>
                      </a:xfrm>
                      <a:prstGeom prst="rect">
                        <a:avLst/>
                      </a:prstGeom>
                      <a:noFill/>
                      <a:ln>
                        <a:noFill/>
                      </a:ln>
                    </wps:spPr>
                    <wps:txbx>
                      <w:txbxContent>
                        <w:p w14:paraId="7567B29F" w14:textId="263C6251" w:rsidR="00EE509E" w:rsidRPr="00EE509E" w:rsidRDefault="00EE509E" w:rsidP="00EE509E">
                          <w:pPr>
                            <w:spacing w:after="0"/>
                            <w:rPr>
                              <w:rFonts w:ascii="Aptos" w:eastAsia="Aptos" w:hAnsi="Aptos" w:cs="Aptos"/>
                              <w:noProof/>
                              <w:color w:val="000000"/>
                              <w:sz w:val="20"/>
                              <w:szCs w:val="20"/>
                            </w:rPr>
                          </w:pPr>
                          <w:r w:rsidRPr="00EE509E">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C1AA7BC" id="_x0000_t202" coordsize="21600,21600" o:spt="202" path="m,l,21600r21600,l21600,xe">
              <v:stroke joinstyle="miter"/>
              <v:path gradientshapeok="t" o:connecttype="rect"/>
            </v:shapetype>
            <v:shape id="Text Box 1" o:spid="_x0000_s1028" type="#_x0000_t202" alt="Protected" style="position:absolute;margin-left:0;margin-top:0;width:62.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" filled="f" stroked="f">
              <v:fill o:detectmouseclick="t"/>
              <v:textbox style="mso-fit-shape-to-text:t" inset="20pt,15pt,0,0">
                <w:txbxContent>
                  <w:p w14:paraId="7567B29F" w14:textId="263C6251" w:rsidR="00EE509E" w:rsidRPr="00EE509E" w:rsidRDefault="00EE509E" w:rsidP="00EE509E">
                    <w:pPr>
                      <w:spacing w:after="0"/>
                      <w:rPr>
                        <w:rFonts w:ascii="Aptos" w:eastAsia="Aptos" w:hAnsi="Aptos" w:cs="Aptos"/>
                        <w:noProof/>
                        <w:color w:val="000000"/>
                        <w:sz w:val="20"/>
                        <w:szCs w:val="20"/>
                      </w:rPr>
                    </w:pPr>
                    <w:r w:rsidRPr="00EE509E">
                      <w:rPr>
                        <w:rFonts w:ascii="Aptos" w:eastAsia="Aptos" w:hAnsi="Aptos" w:cs="Aptos"/>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E13CD"/>
    <w:multiLevelType w:val="hybridMultilevel"/>
    <w:tmpl w:val="9E50EB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115D73"/>
    <w:multiLevelType w:val="hybridMultilevel"/>
    <w:tmpl w:val="8DD803CE"/>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3C8F01D7"/>
    <w:multiLevelType w:val="hybridMultilevel"/>
    <w:tmpl w:val="7A9C27C2"/>
    <w:lvl w:ilvl="0" w:tplc="69B264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24279029">
    <w:abstractNumId w:val="2"/>
  </w:num>
  <w:num w:numId="2" w16cid:durableId="689111632">
    <w:abstractNumId w:val="0"/>
  </w:num>
  <w:num w:numId="3" w16cid:durableId="1968703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333"/>
    <w:rsid w:val="000E32F2"/>
    <w:rsid w:val="00135173"/>
    <w:rsid w:val="00281E8C"/>
    <w:rsid w:val="00291F36"/>
    <w:rsid w:val="00366F18"/>
    <w:rsid w:val="003B0AB5"/>
    <w:rsid w:val="004471EB"/>
    <w:rsid w:val="005B389B"/>
    <w:rsid w:val="005B61B2"/>
    <w:rsid w:val="006B0CEA"/>
    <w:rsid w:val="006E5747"/>
    <w:rsid w:val="00782333"/>
    <w:rsid w:val="007B2CAC"/>
    <w:rsid w:val="008047D1"/>
    <w:rsid w:val="00812298"/>
    <w:rsid w:val="008F479F"/>
    <w:rsid w:val="008F5866"/>
    <w:rsid w:val="009D45A8"/>
    <w:rsid w:val="009F10AC"/>
    <w:rsid w:val="00A455BD"/>
    <w:rsid w:val="00B853B9"/>
    <w:rsid w:val="00BF47BF"/>
    <w:rsid w:val="00CB27DF"/>
    <w:rsid w:val="00D539A1"/>
    <w:rsid w:val="00E10AAB"/>
    <w:rsid w:val="00E23F3C"/>
    <w:rsid w:val="00EB79ED"/>
    <w:rsid w:val="00EE509E"/>
    <w:rsid w:val="00F55FB1"/>
    <w:rsid w:val="00F670FA"/>
    <w:rsid w:val="00FD652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4CDBF"/>
  <w15:chartTrackingRefBased/>
  <w15:docId w15:val="{248EFFE5-654E-4948-AE0F-6BA153B8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333"/>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333"/>
    <w:rPr>
      <w:rFonts w:asciiTheme="majorHAnsi" w:eastAsiaTheme="majorEastAsia" w:hAnsiTheme="majorHAnsi" w:cstheme="majorBidi"/>
      <w:color w:val="276E8B" w:themeColor="accent1" w:themeShade="BF"/>
      <w:sz w:val="32"/>
      <w:szCs w:val="32"/>
    </w:rPr>
  </w:style>
  <w:style w:type="table" w:styleId="TableGrid">
    <w:name w:val="Table Grid"/>
    <w:basedOn w:val="TableNormal"/>
    <w:uiPriority w:val="39"/>
    <w:rsid w:val="00782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2333"/>
    <w:pPr>
      <w:ind w:left="720"/>
      <w:contextualSpacing/>
    </w:pPr>
  </w:style>
  <w:style w:type="character" w:styleId="Hyperlink">
    <w:name w:val="Hyperlink"/>
    <w:basedOn w:val="DefaultParagraphFont"/>
    <w:uiPriority w:val="99"/>
    <w:unhideWhenUsed/>
    <w:rsid w:val="00782333"/>
    <w:rPr>
      <w:color w:val="6B9F25" w:themeColor="hyperlink"/>
      <w:u w:val="single"/>
    </w:rPr>
  </w:style>
  <w:style w:type="paragraph" w:styleId="FootnoteText">
    <w:name w:val="footnote text"/>
    <w:basedOn w:val="Normal"/>
    <w:link w:val="FootnoteTextChar"/>
    <w:uiPriority w:val="99"/>
    <w:semiHidden/>
    <w:unhideWhenUsed/>
    <w:rsid w:val="007823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2333"/>
    <w:rPr>
      <w:sz w:val="20"/>
      <w:szCs w:val="20"/>
    </w:rPr>
  </w:style>
  <w:style w:type="character" w:styleId="FootnoteReference">
    <w:name w:val="footnote reference"/>
    <w:basedOn w:val="DefaultParagraphFont"/>
    <w:uiPriority w:val="99"/>
    <w:semiHidden/>
    <w:unhideWhenUsed/>
    <w:rsid w:val="00782333"/>
    <w:rPr>
      <w:vertAlign w:val="superscript"/>
    </w:rPr>
  </w:style>
  <w:style w:type="table" w:styleId="TableGridLight">
    <w:name w:val="Grid Table Light"/>
    <w:basedOn w:val="TableNormal"/>
    <w:uiPriority w:val="40"/>
    <w:rsid w:val="008047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E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5224">
      <w:bodyDiv w:val="1"/>
      <w:marLeft w:val="0"/>
      <w:marRight w:val="0"/>
      <w:marTop w:val="0"/>
      <w:marBottom w:val="0"/>
      <w:divBdr>
        <w:top w:val="none" w:sz="0" w:space="0" w:color="auto"/>
        <w:left w:val="none" w:sz="0" w:space="0" w:color="auto"/>
        <w:bottom w:val="none" w:sz="0" w:space="0" w:color="auto"/>
        <w:right w:val="none" w:sz="0" w:space="0" w:color="auto"/>
      </w:divBdr>
    </w:div>
    <w:div w:id="108933323">
      <w:bodyDiv w:val="1"/>
      <w:marLeft w:val="0"/>
      <w:marRight w:val="0"/>
      <w:marTop w:val="0"/>
      <w:marBottom w:val="0"/>
      <w:divBdr>
        <w:top w:val="none" w:sz="0" w:space="0" w:color="auto"/>
        <w:left w:val="none" w:sz="0" w:space="0" w:color="auto"/>
        <w:bottom w:val="none" w:sz="0" w:space="0" w:color="auto"/>
        <w:right w:val="none" w:sz="0" w:space="0" w:color="auto"/>
      </w:divBdr>
    </w:div>
    <w:div w:id="1094058106">
      <w:bodyDiv w:val="1"/>
      <w:marLeft w:val="0"/>
      <w:marRight w:val="0"/>
      <w:marTop w:val="0"/>
      <w:marBottom w:val="0"/>
      <w:divBdr>
        <w:top w:val="none" w:sz="0" w:space="0" w:color="auto"/>
        <w:left w:val="none" w:sz="0" w:space="0" w:color="auto"/>
        <w:bottom w:val="none" w:sz="0" w:space="0" w:color="auto"/>
        <w:right w:val="none" w:sz="0" w:space="0" w:color="auto"/>
      </w:divBdr>
    </w:div>
    <w:div w:id="115803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image" Target="media/image1.jpeg"/><Relationship Id="rId9" Type="http://schemas.openxmlformats.org/officeDocument/2006/relationships/hyperlink" Target="https://www.isdb.org/project-procurement/documents" TargetMode="External"/><Relationship Id="rId14" Type="http://schemas.openxmlformats.org/officeDocument/2006/relationships/theme" Target="theme/theme1.xml"/></Relationships>
</file>

<file path=word/theme/theme1.xml><?xml version="1.0" encoding="utf-8"?>
<a:theme xmlns:a="http://schemas.openxmlformats.org/drawingml/2006/main" name="Легкий дым">
  <a:themeElements>
    <a:clrScheme name="Синий и зеленый">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Легкий дым">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Легкий дым">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12580-FE7D-40AB-BC1E-D385DBFF0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7122</Characters>
  <Application>Microsoft Office Word</Application>
  <DocSecurity>4</DocSecurity>
  <Lines>187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Erali Saribaev</dc:creator>
  <cp:keywords/>
  <dc:description/>
  <cp:lastModifiedBy>Daniyar Akbassov</cp:lastModifiedBy>
  <cp:revision>2</cp:revision>
  <dcterms:created xsi:type="dcterms:W3CDTF">2026-03-11T10:52:00Z</dcterms:created>
  <dcterms:modified xsi:type="dcterms:W3CDTF">2026-03-11T10:52:00Z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dd85c39,b7d6d6a,1fdca06</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2026-03-11T10:52:53Z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a6f85ae3-ab43-4051-9029-6a4549ff6bb4</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