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8C59" w14:textId="599671C4" w:rsidR="00C35447" w:rsidRPr="006766D8" w:rsidRDefault="00C35447" w:rsidP="00C35447">
      <w:pPr>
        <w:pStyle w:val="Title"/>
      </w:pPr>
      <w:bookmarkStart w:id="0" w:name="_Hlk220828493"/>
      <w:r w:rsidRPr="006766D8">
        <w:t xml:space="preserve">Request for </w:t>
      </w:r>
      <w:r>
        <w:t>E</w:t>
      </w:r>
      <w:r w:rsidRPr="006766D8">
        <w:t xml:space="preserve">xpression of </w:t>
      </w:r>
      <w:r>
        <w:t>I</w:t>
      </w:r>
      <w:r w:rsidRPr="006766D8">
        <w:t>nterest</w:t>
      </w:r>
    </w:p>
    <w:p w14:paraId="41C9F00A" w14:textId="2D32E74F" w:rsidR="0015563E" w:rsidRPr="006766D8" w:rsidRDefault="00C35447" w:rsidP="00C35447">
      <w:pPr>
        <w:pStyle w:val="Title"/>
      </w:pPr>
      <w:r w:rsidRPr="006766D8">
        <w:t>Selection of Individual Consultant</w:t>
      </w:r>
      <w:r>
        <w:t xml:space="preserve"> – </w:t>
      </w:r>
      <w:r w:rsidRPr="006766D8">
        <w:t>AAOIFI Regulatory Research and Development Centre (RRDC)</w:t>
      </w:r>
    </w:p>
    <w:p w14:paraId="7B0A8C9E" w14:textId="77777777" w:rsidR="0015563E" w:rsidRPr="00CA7FAD" w:rsidRDefault="0015563E" w:rsidP="0015563E">
      <w:pPr>
        <w:pStyle w:val="NormalWeb"/>
        <w:shd w:val="clear" w:color="auto" w:fill="FFFFFF"/>
        <w:spacing w:before="0" w:beforeAutospacing="0" w:after="0" w:afterAutospacing="0"/>
        <w:rPr>
          <w:rFonts w:asciiTheme="minorHAnsi" w:hAnsiTheme="minorHAnsi" w:cstheme="minorHAnsi"/>
          <w:color w:val="212529"/>
        </w:rPr>
      </w:pPr>
      <w:bookmarkStart w:id="1" w:name="_Hlk220828257"/>
      <w:bookmarkStart w:id="2" w:name="_Hlk220828441"/>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5EC17332" w14:textId="77777777" w:rsidR="0015563E" w:rsidRPr="00CA7FAD" w:rsidRDefault="0015563E" w:rsidP="0015563E">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3E6D3149" w14:textId="77777777" w:rsidR="0015563E" w:rsidRPr="00CA7FAD" w:rsidRDefault="0015563E" w:rsidP="0015563E">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7E089B7A" w14:textId="77777777" w:rsidR="0015563E" w:rsidRPr="00CA7FAD" w:rsidRDefault="0015563E" w:rsidP="0015563E">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2B418EFB" w14:textId="77777777" w:rsidR="0015563E" w:rsidRPr="00CA7FAD" w:rsidRDefault="0015563E" w:rsidP="0015563E">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1"/>
    <w:p w14:paraId="0D17102C" w14:textId="77777777" w:rsidR="0015563E" w:rsidRDefault="0015563E" w:rsidP="0015563E">
      <w:pPr>
        <w:pStyle w:val="Subtitle"/>
      </w:pPr>
    </w:p>
    <w:bookmarkEnd w:id="0"/>
    <w:bookmarkEnd w:id="2"/>
    <w:p w14:paraId="65890D82" w14:textId="3377A35B" w:rsidR="00C04A82" w:rsidRPr="006766D8" w:rsidRDefault="00837A14" w:rsidP="0032297C">
      <w:pPr>
        <w:pStyle w:val="Heading1"/>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0F70D33E"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997F6E" w:rsidRPr="006766D8">
        <w:t>”</w:t>
      </w:r>
      <w:r w:rsidR="00C3757A">
        <w:t xml:space="preserve"> revised February 2023</w:t>
      </w:r>
    </w:p>
    <w:p w14:paraId="509F3237" w14:textId="37042248" w:rsidR="009050A5" w:rsidRPr="006766D8" w:rsidRDefault="00C04A82" w:rsidP="009050A5">
      <w:pPr>
        <w:pStyle w:val="Heading1"/>
      </w:pPr>
      <w:r w:rsidRPr="006766D8">
        <w:t xml:space="preserve">Minimum </w:t>
      </w:r>
      <w:r w:rsidR="00997F6E" w:rsidRPr="006766D8">
        <w:t>q</w:t>
      </w:r>
      <w:r w:rsidRPr="006766D8">
        <w:t>ualificatio</w:t>
      </w:r>
      <w:r w:rsidR="00997F6E" w:rsidRPr="006766D8">
        <w:t>n re</w:t>
      </w:r>
      <w:r w:rsidRPr="006766D8">
        <w:t>quirements</w:t>
      </w:r>
      <w:r w:rsidR="009050A5" w:rsidRPr="006766D8">
        <w:t xml:space="preserve"> – senior consultant-researcher</w:t>
      </w:r>
    </w:p>
    <w:p w14:paraId="065652E8"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38B7497A" w14:textId="77777777" w:rsidR="009050A5" w:rsidRPr="006766D8" w:rsidRDefault="009050A5" w:rsidP="00CD5CE4">
      <w:pPr>
        <w:pStyle w:val="ListParagraph"/>
        <w:numPr>
          <w:ilvl w:val="1"/>
          <w:numId w:val="29"/>
        </w:numPr>
      </w:pPr>
      <w:r w:rsidRPr="006766D8">
        <w:t xml:space="preserve">a graduate degree (18 years of education) in Islamic finance, commerce, finance, economics, public policy / administration, business administration or any related field and / or equivalent Islamic scholarly qualification and / or equivalent professional qualification(s) such as CIPA, CSAA, </w:t>
      </w:r>
      <w:proofErr w:type="gramStart"/>
      <w:r w:rsidRPr="006766D8">
        <w:t>etc.;</w:t>
      </w:r>
      <w:proofErr w:type="gramEnd"/>
    </w:p>
    <w:p w14:paraId="6A8A93D3" w14:textId="77777777" w:rsidR="009050A5" w:rsidRPr="006766D8" w:rsidRDefault="009050A5" w:rsidP="00CD5CE4">
      <w:pPr>
        <w:pStyle w:val="ListParagraph"/>
        <w:numPr>
          <w:ilvl w:val="1"/>
          <w:numId w:val="29"/>
        </w:numPr>
      </w:pPr>
      <w:r w:rsidRPr="006766D8">
        <w:t xml:space="preserve">experience of at least ten (10) years conducting consultancy services, in particular, experience of conducting research and collection of primary data, preferably in a regulatory or research </w:t>
      </w:r>
      <w:proofErr w:type="gramStart"/>
      <w:r w:rsidRPr="006766D8">
        <w:t>institution;</w:t>
      </w:r>
      <w:proofErr w:type="gramEnd"/>
      <w:r w:rsidRPr="006766D8">
        <w:t xml:space="preserve"> </w:t>
      </w:r>
    </w:p>
    <w:p w14:paraId="615602EE" w14:textId="77777777" w:rsidR="009050A5" w:rsidRPr="006766D8" w:rsidRDefault="009050A5" w:rsidP="00CD5CE4">
      <w:pPr>
        <w:pStyle w:val="ListParagraph"/>
        <w:numPr>
          <w:ilvl w:val="1"/>
          <w:numId w:val="29"/>
        </w:numPr>
      </w:pPr>
      <w:r w:rsidRPr="006766D8">
        <w:lastRenderedPageBreak/>
        <w:t xml:space="preserve">experience in writing research reports such as country reports, technical reports </w:t>
      </w:r>
      <w:proofErr w:type="gramStart"/>
      <w:r w:rsidRPr="006766D8">
        <w:t>etc.;</w:t>
      </w:r>
      <w:proofErr w:type="gramEnd"/>
    </w:p>
    <w:p w14:paraId="3BBB5946" w14:textId="77777777" w:rsidR="009050A5" w:rsidRPr="006766D8" w:rsidRDefault="009050A5" w:rsidP="00CD5CE4">
      <w:pPr>
        <w:pStyle w:val="ListParagraph"/>
        <w:numPr>
          <w:ilvl w:val="1"/>
          <w:numId w:val="29"/>
        </w:numPr>
      </w:pPr>
      <w:r w:rsidRPr="006766D8">
        <w:t xml:space="preserve">knowledge and understanding of Islamic finance principles and practical applications / </w:t>
      </w:r>
      <w:proofErr w:type="gramStart"/>
      <w:r w:rsidRPr="006766D8">
        <w:t>operations;</w:t>
      </w:r>
      <w:proofErr w:type="gramEnd"/>
    </w:p>
    <w:p w14:paraId="1D5CB317" w14:textId="77777777" w:rsidR="009050A5" w:rsidRPr="006766D8" w:rsidRDefault="009050A5" w:rsidP="00CD5CE4">
      <w:pPr>
        <w:pStyle w:val="ListParagraph"/>
        <w:numPr>
          <w:ilvl w:val="1"/>
          <w:numId w:val="29"/>
        </w:numPr>
      </w:pPr>
      <w:r w:rsidRPr="006766D8">
        <w:t xml:space="preserve">knowledge and experience of coordinating with regulatory and supervisory institutions and completed projects for </w:t>
      </w:r>
      <w:proofErr w:type="gramStart"/>
      <w:r w:rsidRPr="006766D8">
        <w:t>them;</w:t>
      </w:r>
      <w:proofErr w:type="gramEnd"/>
    </w:p>
    <w:p w14:paraId="084F38F9" w14:textId="26E369E7" w:rsidR="009050A5" w:rsidRPr="006766D8" w:rsidRDefault="009050A5" w:rsidP="00CD5CE4">
      <w:pPr>
        <w:pStyle w:val="ListParagraph"/>
        <w:numPr>
          <w:ilvl w:val="1"/>
          <w:numId w:val="29"/>
        </w:numPr>
      </w:pPr>
      <w:r w:rsidRPr="006766D8">
        <w:t xml:space="preserve">possess high level of English language proficiency; Arabic language proficiency will be an added advantage, while knowledge of any of the local languages including, Bahasa Indonesia / </w:t>
      </w:r>
      <w:r w:rsidR="00121329" w:rsidRPr="006766D8">
        <w:t>Malay</w:t>
      </w:r>
      <w:r w:rsidRPr="006766D8">
        <w:t>, Bengali, French, Mandarin, Russian, Turkish, Urdu language proficiency will be preferred; and</w:t>
      </w:r>
    </w:p>
    <w:p w14:paraId="62496419" w14:textId="77777777" w:rsidR="009050A5" w:rsidRPr="006766D8" w:rsidRDefault="009050A5" w:rsidP="00CD5CE4">
      <w:pPr>
        <w:pStyle w:val="ListParagraph"/>
        <w:numPr>
          <w:ilvl w:val="1"/>
          <w:numId w:val="29"/>
        </w:numPr>
      </w:pPr>
      <w:r w:rsidRPr="006766D8">
        <w:t>familiarity with central banks’ regulations, AAOIFI and other Islamic infrastructure organisations’ guidelines, standards, technical pronouncements etc.</w:t>
      </w:r>
    </w:p>
    <w:p w14:paraId="6B1E3A83" w14:textId="20571553"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w:t>
      </w:r>
      <w:proofErr w:type="gramStart"/>
      <w:r w:rsidRPr="006766D8">
        <w:t>are</w:t>
      </w:r>
      <w:proofErr w:type="gramEnd"/>
      <w:r w:rsidRPr="006766D8">
        <w:t xml:space="preserve"> invited to read clauses 1.12.1 and 1.12.2 of the </w:t>
      </w:r>
      <w:r w:rsidR="004F21FE" w:rsidRPr="006766D8">
        <w:t>“</w:t>
      </w:r>
      <w:r w:rsidRPr="006766D8">
        <w:t>Procurement Policy of the IsDB Guidelines for the Procurement of Consultant Services under IsDB Project Financing, April 2019 edition</w:t>
      </w:r>
      <w:r w:rsidR="004F21FE" w:rsidRPr="006766D8">
        <w:t>”</w:t>
      </w:r>
      <w:r w:rsidRPr="006766D8">
        <w:t xml:space="preserve"> (the "Procurement Guidelines") setting forth the IsDB's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5C1B9D15"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hyperlink r:id="rId8" w:history="1">
        <w:r w:rsidR="00FF752C" w:rsidRPr="00490E80">
          <w:rPr>
            <w:rStyle w:val="Hyperlink"/>
          </w:rPr>
          <w:t>RRDC@aaoifi.com</w:t>
        </w:r>
      </w:hyperlink>
      <w:r w:rsidR="00FF752C">
        <w:t xml:space="preserve"> </w:t>
      </w:r>
      <w:r w:rsidR="00C04A82" w:rsidRPr="006766D8">
        <w:t xml:space="preserve">no later than </w:t>
      </w:r>
      <w:r w:rsidR="00FF752C">
        <w:t>1 April 2026</w:t>
      </w:r>
      <w:r w:rsidR="00C04A8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15563E" w:rsidRDefault="00503616" w:rsidP="0015563E">
      <w:pPr>
        <w:spacing w:before="120" w:after="120"/>
        <w:rPr>
          <w:b/>
          <w:bCs/>
          <w:spacing w:val="-2"/>
        </w:rPr>
      </w:pPr>
      <w:r w:rsidRPr="0015563E">
        <w:rPr>
          <w:b/>
          <w:bCs/>
          <w:spacing w:val="-2"/>
        </w:rPr>
        <w:t>Mr. Farhan Noor</w:t>
      </w:r>
    </w:p>
    <w:p w14:paraId="725EFE0C" w14:textId="3378B2F4" w:rsidR="006D4EAB" w:rsidRPr="0015563E" w:rsidRDefault="006D4EAB" w:rsidP="0015563E">
      <w:pPr>
        <w:spacing w:before="120" w:after="120"/>
        <w:rPr>
          <w:b/>
          <w:bCs/>
          <w:spacing w:val="-2"/>
        </w:rPr>
      </w:pPr>
      <w:r w:rsidRPr="0015563E">
        <w:rPr>
          <w:b/>
          <w:bCs/>
          <w:spacing w:val="-2"/>
        </w:rPr>
        <w:t>Executive Director – Strategic Developments</w:t>
      </w:r>
    </w:p>
    <w:p w14:paraId="60A7E15A" w14:textId="77777777" w:rsidR="00F82D9F" w:rsidRPr="0015563E" w:rsidRDefault="00F82D9F" w:rsidP="0015563E">
      <w:pPr>
        <w:spacing w:before="120" w:after="120"/>
        <w:rPr>
          <w:b/>
          <w:bCs/>
          <w:spacing w:val="-2"/>
        </w:rPr>
      </w:pPr>
      <w:r w:rsidRPr="0015563E">
        <w:rPr>
          <w:b/>
          <w:bCs/>
          <w:spacing w:val="-2"/>
        </w:rPr>
        <w:t>PO Box 1176, Manama, Kingdom of Bahrain</w:t>
      </w:r>
    </w:p>
    <w:p w14:paraId="5EB06DF4" w14:textId="38789DEE" w:rsidR="002E7CF2" w:rsidRPr="0015563E" w:rsidRDefault="00C04A82" w:rsidP="0015563E">
      <w:pPr>
        <w:spacing w:before="120" w:after="120"/>
        <w:rPr>
          <w:b/>
          <w:bCs/>
          <w:spacing w:val="-2"/>
        </w:rPr>
      </w:pPr>
      <w:r w:rsidRPr="0015563E">
        <w:rPr>
          <w:b/>
          <w:bCs/>
          <w:spacing w:val="-2"/>
        </w:rPr>
        <w:t xml:space="preserve">Tel: </w:t>
      </w:r>
      <w:r w:rsidR="002E7CF2" w:rsidRPr="0015563E">
        <w:rPr>
          <w:b/>
          <w:bCs/>
          <w:spacing w:val="-2"/>
        </w:rPr>
        <w:t>+973 1737</w:t>
      </w:r>
      <w:r w:rsidR="00804356" w:rsidRPr="0015563E">
        <w:rPr>
          <w:b/>
          <w:bCs/>
          <w:spacing w:val="-2"/>
        </w:rPr>
        <w:t xml:space="preserve"> </w:t>
      </w:r>
      <w:r w:rsidR="002E7CF2" w:rsidRPr="0015563E">
        <w:rPr>
          <w:b/>
          <w:bCs/>
          <w:spacing w:val="-2"/>
        </w:rPr>
        <w:t>5412</w:t>
      </w:r>
    </w:p>
    <w:p w14:paraId="70BA0667" w14:textId="0D74B58D" w:rsidR="00C04A82" w:rsidRPr="0015563E" w:rsidRDefault="00C04A82" w:rsidP="0015563E">
      <w:pPr>
        <w:spacing w:before="120" w:after="120"/>
        <w:rPr>
          <w:b/>
          <w:bCs/>
          <w:spacing w:val="-2"/>
        </w:rPr>
      </w:pPr>
      <w:r w:rsidRPr="0015563E">
        <w:rPr>
          <w:b/>
          <w:bCs/>
          <w:spacing w:val="-2"/>
        </w:rPr>
        <w:t xml:space="preserve">Fax: </w:t>
      </w:r>
      <w:r w:rsidR="00A45CE6" w:rsidRPr="0015563E">
        <w:rPr>
          <w:b/>
          <w:bCs/>
          <w:spacing w:val="-2"/>
        </w:rPr>
        <w:t>+973 1725 0194</w:t>
      </w:r>
    </w:p>
    <w:p w14:paraId="2B94863F" w14:textId="25B8D23F" w:rsidR="00C04A82" w:rsidRPr="0015563E" w:rsidRDefault="00C04A82" w:rsidP="0015563E">
      <w:pPr>
        <w:spacing w:before="120" w:after="120"/>
        <w:rPr>
          <w:b/>
          <w:bCs/>
          <w:spacing w:val="-2"/>
        </w:rPr>
      </w:pPr>
      <w:r w:rsidRPr="0015563E">
        <w:rPr>
          <w:b/>
          <w:bCs/>
          <w:spacing w:val="-2"/>
        </w:rPr>
        <w:t xml:space="preserve">E-mail: </w:t>
      </w:r>
      <w:r w:rsidR="002E7CF2" w:rsidRPr="0015563E">
        <w:rPr>
          <w:b/>
          <w:bCs/>
          <w:spacing w:val="-2"/>
        </w:rPr>
        <w:t>RRDC@aaoifi</w:t>
      </w:r>
      <w:r w:rsidR="00A379C2" w:rsidRPr="0015563E">
        <w:rPr>
          <w:b/>
          <w:bCs/>
          <w:spacing w:val="-2"/>
        </w:rPr>
        <w:t>.com</w:t>
      </w:r>
    </w:p>
    <w:p w14:paraId="7BEED6DB" w14:textId="0C4B1B52" w:rsidR="00C04A82" w:rsidRPr="0015563E" w:rsidRDefault="00C04A82" w:rsidP="0015563E">
      <w:pPr>
        <w:spacing w:before="120" w:after="120"/>
        <w:rPr>
          <w:b/>
          <w:bCs/>
          <w:spacing w:val="-2"/>
        </w:rPr>
      </w:pPr>
      <w:r w:rsidRPr="0015563E">
        <w:rPr>
          <w:b/>
          <w:bCs/>
          <w:spacing w:val="-2"/>
        </w:rPr>
        <w:t xml:space="preserve">Website: </w:t>
      </w:r>
      <w:hyperlink r:id="rId9" w:history="1">
        <w:r w:rsidR="00307522" w:rsidRPr="0015563E">
          <w:rPr>
            <w:b/>
            <w:bCs/>
          </w:rPr>
          <w:t>www.aaoifi.com</w:t>
        </w:r>
      </w:hyperlink>
    </w:p>
    <w:p w14:paraId="6F51E122" w14:textId="77777777" w:rsidR="00307522" w:rsidRPr="006766D8" w:rsidRDefault="00307522" w:rsidP="00C04A82">
      <w:pPr>
        <w:rPr>
          <w:spacing w:val="-2"/>
        </w:rPr>
      </w:pPr>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77777777" w:rsidR="006E1AE6" w:rsidRPr="006766D8" w:rsidRDefault="006E1AE6" w:rsidP="00333BCE"/>
    <w:p w14:paraId="4635C390" w14:textId="6668A60D" w:rsidR="006E1AE6" w:rsidRPr="006766D8" w:rsidRDefault="006E1AE6" w:rsidP="00333BCE">
      <w:pPr>
        <w:sectPr w:rsidR="006E1AE6" w:rsidRPr="006766D8" w:rsidSect="00FF752C">
          <w:headerReference w:type="even" r:id="rId10"/>
          <w:headerReference w:type="default" r:id="rId11"/>
          <w:footerReference w:type="default" r:id="rId12"/>
          <w:headerReference w:type="first" r:id="rId13"/>
          <w:pgSz w:w="11906" w:h="16838" w:code="9"/>
          <w:pgMar w:top="1170" w:right="1080" w:bottom="1260" w:left="1080" w:header="706" w:footer="706" w:gutter="0"/>
          <w:pgNumType w:fmt="lowerRoman"/>
          <w:cols w:space="708"/>
          <w:docGrid w:linePitch="360"/>
        </w:sectPr>
      </w:pP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Pr="006766D8" w:rsidRDefault="00A659A7" w:rsidP="00A659A7">
      <w:pPr>
        <w:pStyle w:val="Title"/>
      </w:pPr>
      <w:r w:rsidRPr="006766D8">
        <w:t>Terms of reference (TOR) for consultancy services</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xml:space="preserve">) that will assist in </w:t>
      </w:r>
      <w:proofErr w:type="gramStart"/>
      <w:r w:rsidRPr="006766D8">
        <w:t>a number of</w:t>
      </w:r>
      <w:proofErr w:type="gramEnd"/>
      <w:r w:rsidRPr="006766D8">
        <w:t xml:space="preserve">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 xml:space="preserve">identify and understand the needs of the industry in general and those of the RSAs in specific (including special needs of certain jurisdictions), the challenges confronting them, and the opportunities on </w:t>
      </w:r>
      <w:proofErr w:type="gramStart"/>
      <w:r w:rsidRPr="006766D8">
        <w:t>offer;</w:t>
      </w:r>
      <w:proofErr w:type="gramEnd"/>
    </w:p>
    <w:p w14:paraId="51A5DF11" w14:textId="77777777" w:rsidR="00DA0ADE" w:rsidRPr="006766D8" w:rsidRDefault="00DA0ADE" w:rsidP="00371B52">
      <w:pPr>
        <w:pStyle w:val="ListParagraph"/>
        <w:numPr>
          <w:ilvl w:val="1"/>
          <w:numId w:val="3"/>
        </w:numPr>
      </w:pPr>
      <w:r w:rsidRPr="006766D8">
        <w:t xml:space="preserve">establish a dedicated communication channel with the RSAs so that exchange of information, sharing of views and experiences, discussion on technical issues, problem solving, and consensus building can be achieved in a timely and effective </w:t>
      </w:r>
      <w:proofErr w:type="gramStart"/>
      <w:r w:rsidRPr="006766D8">
        <w:t>manner;</w:t>
      </w:r>
      <w:proofErr w:type="gramEnd"/>
    </w:p>
    <w:p w14:paraId="7FAB3999" w14:textId="77777777" w:rsidR="00DA0ADE" w:rsidRPr="006766D8" w:rsidRDefault="00DA0ADE" w:rsidP="00371B52">
      <w:pPr>
        <w:pStyle w:val="ListParagraph"/>
        <w:numPr>
          <w:ilvl w:val="1"/>
          <w:numId w:val="3"/>
        </w:numPr>
      </w:pPr>
      <w:r w:rsidRPr="006766D8">
        <w:t xml:space="preserve">provide support to the RSAs in adopting AAOIFI standards and its rigorous and consistent application / implementation in respective </w:t>
      </w:r>
      <w:proofErr w:type="gramStart"/>
      <w:r w:rsidRPr="006766D8">
        <w:t>jurisdictions;</w:t>
      </w:r>
      <w:proofErr w:type="gramEnd"/>
    </w:p>
    <w:p w14:paraId="235646C5" w14:textId="77777777" w:rsidR="00E43390" w:rsidRPr="006766D8" w:rsidRDefault="00DA0ADE" w:rsidP="00371B52">
      <w:pPr>
        <w:pStyle w:val="ListParagraph"/>
        <w:numPr>
          <w:ilvl w:val="1"/>
          <w:numId w:val="3"/>
        </w:numPr>
      </w:pPr>
      <w:r w:rsidRPr="006766D8">
        <w:t xml:space="preserve">build capacity of RSAs through provisioning of fellowships and periodic conduct of workshops and other events in the areas of standard setting of </w:t>
      </w:r>
      <w:proofErr w:type="gramStart"/>
      <w:r w:rsidRPr="006766D8">
        <w:t>AAOIFI;</w:t>
      </w:r>
      <w:proofErr w:type="gramEnd"/>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Pr="006766D8"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253BDE92" w14:textId="7CC81F10" w:rsidR="00893AC0" w:rsidRPr="006766D8" w:rsidRDefault="00893AC0" w:rsidP="00371B52">
      <w:pPr>
        <w:pStyle w:val="Heading1"/>
      </w:pPr>
      <w:r w:rsidRPr="006766D8">
        <w:lastRenderedPageBreak/>
        <w:t>Term of the assignment</w:t>
      </w:r>
    </w:p>
    <w:p w14:paraId="1020838C" w14:textId="2806A6EC" w:rsidR="00893AC0" w:rsidRDefault="00F36C39" w:rsidP="00371B52">
      <w:pPr>
        <w:pStyle w:val="ListParagraph"/>
      </w:pPr>
      <w:r w:rsidRPr="006766D8">
        <w:t>The assignment is expected to be initiated and completed within two years. Thereafter, the consultancy agreement may be renewed based on the need and mutual agreement.</w:t>
      </w:r>
    </w:p>
    <w:p w14:paraId="5F393329" w14:textId="596D87C0" w:rsidR="00732034" w:rsidRPr="006766D8" w:rsidRDefault="00732034" w:rsidP="00732034">
      <w:pPr>
        <w:pStyle w:val="ListParagraph"/>
      </w:pPr>
      <w:r w:rsidRPr="00732034">
        <w:t>Payment Terms / Remuneration</w:t>
      </w:r>
      <w:r>
        <w:t>? Where is the payment milestones and the contract type</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2A057D3F"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 xml:space="preserve">consultant – 30 </w:t>
      </w:r>
      <w:proofErr w:type="gramStart"/>
      <w:r w:rsidRPr="006766D8">
        <w:t>points;</w:t>
      </w:r>
      <w:proofErr w:type="gramEnd"/>
    </w:p>
    <w:p w14:paraId="6AED2E53" w14:textId="4A6108A3" w:rsidR="002C5AB5" w:rsidRPr="006766D8" w:rsidRDefault="002C5AB5" w:rsidP="0014132B">
      <w:pPr>
        <w:pStyle w:val="ListParagraph"/>
        <w:numPr>
          <w:ilvl w:val="1"/>
          <w:numId w:val="32"/>
        </w:numPr>
      </w:pPr>
      <w:r w:rsidRPr="006766D8">
        <w:t xml:space="preserve">adequacy of consultant’s expertise and experience of the assignment – 50 </w:t>
      </w:r>
      <w:proofErr w:type="gramStart"/>
      <w:r w:rsidRPr="006766D8">
        <w:t>points;</w:t>
      </w:r>
      <w:proofErr w:type="gramEnd"/>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333BCE">
          <w:pgSz w:w="11906" w:h="16838" w:code="9"/>
          <w:pgMar w:top="1440" w:right="1080" w:bottom="1440" w:left="1080" w:header="706" w:footer="706" w:gutter="0"/>
          <w:pgNumType w:start="1"/>
          <w:cols w:space="708"/>
          <w:docGrid w:linePitch="360"/>
        </w:sectPr>
      </w:pPr>
      <w:r w:rsidRPr="006766D8">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1575E6BE" w14:textId="77777777" w:rsidR="006942F8" w:rsidRPr="006766D8" w:rsidRDefault="006942F8" w:rsidP="006942F8">
      <w:pPr>
        <w:pStyle w:val="ListParagraph"/>
        <w:numPr>
          <w:ilvl w:val="0"/>
          <w:numId w:val="46"/>
        </w:numPr>
      </w:pPr>
      <w:r w:rsidRPr="006766D8">
        <w:t xml:space="preserve">The consultant will be required to work </w:t>
      </w:r>
      <w:r>
        <w:t>on following projects:</w:t>
      </w:r>
    </w:p>
    <w:p w14:paraId="16247958" w14:textId="44B33AB2" w:rsidR="006942F8" w:rsidRPr="006766D8" w:rsidRDefault="00EB400C" w:rsidP="00EB400C">
      <w:pPr>
        <w:pStyle w:val="ListParagraph"/>
        <w:numPr>
          <w:ilvl w:val="1"/>
          <w:numId w:val="47"/>
        </w:numPr>
      </w:pPr>
      <w:r>
        <w:t>four</w:t>
      </w:r>
      <w:r w:rsidR="006942F8" w:rsidRPr="006766D8">
        <w:t xml:space="preserve"> (0</w:t>
      </w:r>
      <w:r>
        <w:t>4</w:t>
      </w:r>
      <w:r w:rsidR="006942F8" w:rsidRPr="006766D8">
        <w:t>) standards’ impact assessment reports;</w:t>
      </w:r>
      <w:r>
        <w:t xml:space="preserve"> and</w:t>
      </w:r>
    </w:p>
    <w:p w14:paraId="104FE662" w14:textId="69B555EF" w:rsidR="006942F8" w:rsidRPr="006766D8" w:rsidRDefault="00EB400C" w:rsidP="00EB400C">
      <w:pPr>
        <w:pStyle w:val="ListParagraph"/>
        <w:numPr>
          <w:ilvl w:val="1"/>
          <w:numId w:val="47"/>
        </w:numPr>
      </w:pPr>
      <w:r>
        <w:t>one</w:t>
      </w:r>
      <w:r w:rsidR="006942F8" w:rsidRPr="006766D8">
        <w:t xml:space="preserve"> (0</w:t>
      </w:r>
      <w:r w:rsidR="002A30AC">
        <w:t>1</w:t>
      </w:r>
      <w:r w:rsidR="006942F8" w:rsidRPr="006766D8">
        <w:t>) technical report</w:t>
      </w:r>
      <w:r>
        <w:t>.</w:t>
      </w:r>
    </w:p>
    <w:p w14:paraId="2C3DCB8B" w14:textId="77777777" w:rsidR="006942F8" w:rsidRPr="006766D8" w:rsidRDefault="006942F8" w:rsidP="006942F8">
      <w:pPr>
        <w:pStyle w:val="ListParagraph"/>
      </w:pPr>
      <w:r w:rsidRPr="00BD5C05">
        <w:t>A summarized concept note</w:t>
      </w:r>
      <w:r>
        <w:t xml:space="preserve"> and outline</w:t>
      </w:r>
      <w:r w:rsidRPr="00BD5C05">
        <w:t xml:space="preserve"> for each project, is provided below. AAOIFI reserves the right to amend, refine, or adjust the project scope, structure, and deliverables at any stage, as may be required.</w:t>
      </w:r>
    </w:p>
    <w:p w14:paraId="47100F22" w14:textId="77777777" w:rsidR="00E93E22" w:rsidRPr="006766D8" w:rsidRDefault="00E93E22" w:rsidP="00E93E22">
      <w:pPr>
        <w:pStyle w:val="Heading2"/>
      </w:pPr>
      <w:r w:rsidRPr="006766D8">
        <w:t xml:space="preserve">Standards’ impact assessment reports </w:t>
      </w:r>
    </w:p>
    <w:p w14:paraId="4E2171DA" w14:textId="77777777" w:rsidR="00E93E22" w:rsidRPr="006766D8" w:rsidRDefault="00E93E22" w:rsidP="00E93E22">
      <w:pPr>
        <w:pStyle w:val="ListParagraph"/>
      </w:pPr>
      <w:r w:rsidRPr="006766D8">
        <w:t>The consultant will be required to work on standards’ impact assessment report for following AAOIFI standard</w:t>
      </w:r>
      <w:r>
        <w:t>s</w:t>
      </w:r>
      <w:r w:rsidRPr="006766D8">
        <w:t>:</w:t>
      </w:r>
    </w:p>
    <w:p w14:paraId="41888823" w14:textId="7D310AB9" w:rsidR="004C1488" w:rsidRDefault="004C1488" w:rsidP="004C1488">
      <w:pPr>
        <w:pStyle w:val="ListParagraph"/>
        <w:numPr>
          <w:ilvl w:val="1"/>
          <w:numId w:val="44"/>
        </w:numPr>
      </w:pPr>
      <w:r>
        <w:t>GS 11 "Internal Shari'ah Audit</w:t>
      </w:r>
      <w:proofErr w:type="gramStart"/>
      <w:r>
        <w:t>";</w:t>
      </w:r>
      <w:proofErr w:type="gramEnd"/>
    </w:p>
    <w:p w14:paraId="36333A17" w14:textId="33E706A4" w:rsidR="004C1488" w:rsidRDefault="004C1488" w:rsidP="004C1488">
      <w:pPr>
        <w:pStyle w:val="ListParagraph"/>
        <w:numPr>
          <w:ilvl w:val="1"/>
          <w:numId w:val="44"/>
        </w:numPr>
      </w:pPr>
      <w:r>
        <w:t xml:space="preserve">SS </w:t>
      </w:r>
      <w:r w:rsidR="00821891">
        <w:t>26</w:t>
      </w:r>
      <w:r>
        <w:t xml:space="preserve"> “</w:t>
      </w:r>
      <w:r w:rsidR="00821891">
        <w:t>Islamic Insurance</w:t>
      </w:r>
      <w:proofErr w:type="gramStart"/>
      <w:r>
        <w:t>”;</w:t>
      </w:r>
      <w:proofErr w:type="gramEnd"/>
    </w:p>
    <w:p w14:paraId="2DDB7CE2" w14:textId="2D30A49C" w:rsidR="004C1488" w:rsidRDefault="004C1488" w:rsidP="004C1488">
      <w:pPr>
        <w:pStyle w:val="ListParagraph"/>
        <w:numPr>
          <w:ilvl w:val="1"/>
          <w:numId w:val="44"/>
        </w:numPr>
      </w:pPr>
      <w:r>
        <w:t>SS 30 “Monetization (</w:t>
      </w:r>
      <w:proofErr w:type="spellStart"/>
      <w:r>
        <w:t>Tawarruq</w:t>
      </w:r>
      <w:proofErr w:type="spellEnd"/>
      <w:r>
        <w:t>)”; and</w:t>
      </w:r>
    </w:p>
    <w:p w14:paraId="5852BF98" w14:textId="0E08F40F" w:rsidR="004C1488" w:rsidRDefault="004C1488" w:rsidP="004C1488">
      <w:pPr>
        <w:pStyle w:val="ListParagraph"/>
        <w:numPr>
          <w:ilvl w:val="1"/>
          <w:numId w:val="44"/>
        </w:numPr>
      </w:pPr>
      <w:r>
        <w:t>SS 59 "Sale of Debt"</w:t>
      </w:r>
    </w:p>
    <w:p w14:paraId="54A66FF9" w14:textId="6DFCAF64" w:rsidR="00E93E22" w:rsidRPr="006766D8" w:rsidRDefault="00E93E22" w:rsidP="004C1488">
      <w:pPr>
        <w:pStyle w:val="ListParagraph"/>
      </w:pPr>
      <w:r w:rsidRPr="006766D8">
        <w:t>Standards’ impact assessment reports will cover the application of select AAOIFI standards across key Islamic finance markets, including the GCC, Southeast Asia, South Asia, and Africa. After an initial identification and assessment of matters to be examined, each report will study, among other details, whether:</w:t>
      </w:r>
    </w:p>
    <w:p w14:paraId="10228FCE" w14:textId="77777777" w:rsidR="00E93E22" w:rsidRPr="006766D8" w:rsidRDefault="00E93E22" w:rsidP="00E93E22">
      <w:pPr>
        <w:pStyle w:val="ListParagraph"/>
        <w:numPr>
          <w:ilvl w:val="1"/>
          <w:numId w:val="39"/>
        </w:numPr>
      </w:pPr>
      <w:r w:rsidRPr="006766D8">
        <w:t xml:space="preserve">the standard is being implemented as </w:t>
      </w:r>
      <w:proofErr w:type="gramStart"/>
      <w:r w:rsidRPr="006766D8">
        <w:t>intended;</w:t>
      </w:r>
      <w:proofErr w:type="gramEnd"/>
    </w:p>
    <w:p w14:paraId="18F39E57" w14:textId="77777777" w:rsidR="00E93E22" w:rsidRPr="006766D8" w:rsidRDefault="00E93E22" w:rsidP="00E93E22">
      <w:pPr>
        <w:pStyle w:val="ListParagraph"/>
        <w:numPr>
          <w:ilvl w:val="1"/>
          <w:numId w:val="39"/>
        </w:numPr>
      </w:pPr>
      <w:r w:rsidRPr="006766D8">
        <w:t xml:space="preserve">the relevant objectives are being </w:t>
      </w:r>
      <w:proofErr w:type="gramStart"/>
      <w:r w:rsidRPr="006766D8">
        <w:t>achieved;</w:t>
      </w:r>
      <w:proofErr w:type="gramEnd"/>
    </w:p>
    <w:p w14:paraId="550E348A" w14:textId="77777777" w:rsidR="00E93E22" w:rsidRPr="006766D8" w:rsidRDefault="00E93E22" w:rsidP="00E93E22">
      <w:pPr>
        <w:pStyle w:val="ListParagraph"/>
        <w:numPr>
          <w:ilvl w:val="1"/>
          <w:numId w:val="39"/>
        </w:numPr>
      </w:pPr>
      <w:r w:rsidRPr="006766D8">
        <w:t xml:space="preserve">the costs (human, capital and other resources) are contained within expected </w:t>
      </w:r>
      <w:proofErr w:type="gramStart"/>
      <w:r w:rsidRPr="006766D8">
        <w:t>levels;</w:t>
      </w:r>
      <w:proofErr w:type="gramEnd"/>
      <w:r w:rsidRPr="006766D8">
        <w:t xml:space="preserve"> </w:t>
      </w:r>
    </w:p>
    <w:p w14:paraId="1D02702C" w14:textId="77777777" w:rsidR="00E93E22" w:rsidRPr="006766D8" w:rsidRDefault="00E93E22" w:rsidP="00E93E22">
      <w:pPr>
        <w:pStyle w:val="ListParagraph"/>
        <w:numPr>
          <w:ilvl w:val="1"/>
          <w:numId w:val="39"/>
        </w:numPr>
      </w:pPr>
      <w:r w:rsidRPr="006766D8">
        <w:t xml:space="preserve">there are fundamental issues or gaps in the standard’s </w:t>
      </w:r>
      <w:proofErr w:type="gramStart"/>
      <w:r w:rsidRPr="006766D8">
        <w:t>guidelines;</w:t>
      </w:r>
      <w:proofErr w:type="gramEnd"/>
    </w:p>
    <w:p w14:paraId="0195F9E4" w14:textId="77777777" w:rsidR="00E93E22" w:rsidRPr="006766D8" w:rsidRDefault="00E93E22" w:rsidP="00E93E22">
      <w:pPr>
        <w:pStyle w:val="ListParagraph"/>
        <w:numPr>
          <w:ilvl w:val="1"/>
          <w:numId w:val="39"/>
        </w:numPr>
      </w:pPr>
      <w:r w:rsidRPr="006766D8">
        <w:t>the standard is compatible with local, and international, laws and regulatory frameworks; and</w:t>
      </w:r>
    </w:p>
    <w:p w14:paraId="71A05241" w14:textId="77777777" w:rsidR="00E93E22" w:rsidRPr="006766D8" w:rsidRDefault="00E93E22" w:rsidP="00E93E22">
      <w:pPr>
        <w:pStyle w:val="ListParagraph"/>
        <w:numPr>
          <w:ilvl w:val="1"/>
          <w:numId w:val="39"/>
        </w:numPr>
      </w:pPr>
      <w:r w:rsidRPr="006766D8">
        <w:t>there are other implementation challenges</w:t>
      </w:r>
    </w:p>
    <w:p w14:paraId="2E806AD2" w14:textId="6B1699FC" w:rsidR="00E93E22" w:rsidRPr="006766D8" w:rsidRDefault="00E93E22" w:rsidP="00E93E22">
      <w:pPr>
        <w:pStyle w:val="ListParagraph"/>
      </w:pPr>
      <w:r w:rsidRPr="006766D8">
        <w:t>The report</w:t>
      </w:r>
      <w:r w:rsidR="00733D2B">
        <w:t>s</w:t>
      </w:r>
      <w:r w:rsidRPr="006766D8">
        <w:t xml:space="preserve"> shall cover the survey findings, lessons learned, best practices, and recommendations for improvement.</w:t>
      </w:r>
    </w:p>
    <w:p w14:paraId="0F8ECC30" w14:textId="24444BA4" w:rsidR="00E93E22" w:rsidRPr="006766D8" w:rsidRDefault="00E93E22" w:rsidP="00E93E22">
      <w:pPr>
        <w:pStyle w:val="ListParagraph"/>
      </w:pPr>
      <w:r w:rsidRPr="006766D8">
        <w:t xml:space="preserve">The </w:t>
      </w:r>
      <w:r>
        <w:t>report</w:t>
      </w:r>
      <w:r w:rsidR="00733D2B">
        <w:t>s’</w:t>
      </w:r>
      <w:r>
        <w:t xml:space="preserve"> outline</w:t>
      </w:r>
      <w:r w:rsidRPr="006766D8">
        <w:t xml:space="preserve"> will be as follows:</w:t>
      </w:r>
    </w:p>
    <w:tbl>
      <w:tblPr>
        <w:tblStyle w:val="AAOIFIBandedTable"/>
        <w:tblW w:w="8640" w:type="dxa"/>
        <w:tblLayout w:type="fixed"/>
        <w:tblLook w:val="04A0" w:firstRow="1" w:lastRow="0" w:firstColumn="1" w:lastColumn="0" w:noHBand="0" w:noVBand="1"/>
      </w:tblPr>
      <w:tblGrid>
        <w:gridCol w:w="864"/>
        <w:gridCol w:w="3456"/>
        <w:gridCol w:w="4320"/>
      </w:tblGrid>
      <w:tr w:rsidR="00E93E22" w:rsidRPr="006766D8" w14:paraId="39527766" w14:textId="77777777" w:rsidTr="002E64C6">
        <w:trPr>
          <w:cnfStyle w:val="100000000000" w:firstRow="1" w:lastRow="0" w:firstColumn="0" w:lastColumn="0" w:oddVBand="0" w:evenVBand="0" w:oddHBand="0" w:evenHBand="0" w:firstRowFirstColumn="0" w:firstRowLastColumn="0" w:lastRowFirstColumn="0" w:lastRowLastColumn="0"/>
          <w:trHeight w:val="20"/>
        </w:trPr>
        <w:tc>
          <w:tcPr>
            <w:tcW w:w="864" w:type="dxa"/>
          </w:tcPr>
          <w:p w14:paraId="743C155E" w14:textId="77777777" w:rsidR="00E93E22" w:rsidRPr="006766D8" w:rsidRDefault="00E93E22" w:rsidP="009544DF">
            <w:pPr>
              <w:spacing w:beforeAutospacing="0" w:afterAutospacing="0"/>
              <w:rPr>
                <w:b w:val="0"/>
                <w:bCs w:val="0"/>
              </w:rPr>
            </w:pPr>
            <w:r w:rsidRPr="006766D8">
              <w:t>S. No.</w:t>
            </w:r>
          </w:p>
        </w:tc>
        <w:tc>
          <w:tcPr>
            <w:tcW w:w="3456" w:type="dxa"/>
          </w:tcPr>
          <w:p w14:paraId="400C9F60" w14:textId="77777777" w:rsidR="00E93E22" w:rsidRPr="006766D8" w:rsidRDefault="00E93E22" w:rsidP="000F4BB4">
            <w:pPr>
              <w:spacing w:beforeAutospacing="0" w:afterAutospacing="0"/>
              <w:rPr>
                <w:b w:val="0"/>
                <w:bCs w:val="0"/>
              </w:rPr>
            </w:pPr>
            <w:r>
              <w:t>Section</w:t>
            </w:r>
          </w:p>
        </w:tc>
        <w:tc>
          <w:tcPr>
            <w:tcW w:w="4320" w:type="dxa"/>
          </w:tcPr>
          <w:p w14:paraId="3F4AF2D4" w14:textId="77777777" w:rsidR="00E93E22" w:rsidRPr="006766D8" w:rsidRDefault="00E93E22" w:rsidP="000F4BB4">
            <w:pPr>
              <w:spacing w:beforeAutospacing="0" w:afterAutospacing="0"/>
              <w:rPr>
                <w:b w:val="0"/>
                <w:bCs w:val="0"/>
              </w:rPr>
            </w:pPr>
            <w:r>
              <w:t>Subsection</w:t>
            </w:r>
            <w:r w:rsidRPr="006766D8">
              <w:t xml:space="preserve"> / </w:t>
            </w:r>
            <w:r>
              <w:t>remarks</w:t>
            </w:r>
          </w:p>
        </w:tc>
      </w:tr>
      <w:tr w:rsidR="00E93E22" w:rsidRPr="00800517" w14:paraId="2A422184"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2BBB495D" w14:textId="77777777" w:rsidR="00E93E22" w:rsidRPr="00800517" w:rsidRDefault="00E93E22" w:rsidP="009544DF">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w:t>
            </w:r>
          </w:p>
        </w:tc>
        <w:tc>
          <w:tcPr>
            <w:tcW w:w="3456" w:type="dxa"/>
            <w:hideMark/>
          </w:tcPr>
          <w:p w14:paraId="4AFA4F4C"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Messages</w:t>
            </w:r>
          </w:p>
        </w:tc>
        <w:tc>
          <w:tcPr>
            <w:tcW w:w="4320" w:type="dxa"/>
            <w:hideMark/>
          </w:tcPr>
          <w:p w14:paraId="7FC100A1"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p>
        </w:tc>
      </w:tr>
      <w:tr w:rsidR="00E93E22" w:rsidRPr="00800517" w14:paraId="119A17BF"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460C96B3" w14:textId="77777777" w:rsidR="00E93E22" w:rsidRPr="00800517" w:rsidRDefault="00E93E22" w:rsidP="009544DF">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2</w:t>
            </w:r>
          </w:p>
        </w:tc>
        <w:tc>
          <w:tcPr>
            <w:tcW w:w="3456" w:type="dxa"/>
            <w:hideMark/>
          </w:tcPr>
          <w:p w14:paraId="6BFE3162"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Executive summary</w:t>
            </w:r>
          </w:p>
        </w:tc>
        <w:tc>
          <w:tcPr>
            <w:tcW w:w="4320" w:type="dxa"/>
            <w:hideMark/>
          </w:tcPr>
          <w:p w14:paraId="11B96D12"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p>
        </w:tc>
      </w:tr>
      <w:tr w:rsidR="00E93E22" w:rsidRPr="00800517" w14:paraId="6CBE3AD5"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5F8DA372" w14:textId="77777777" w:rsidR="00E93E22" w:rsidRPr="00800517" w:rsidRDefault="00E93E22" w:rsidP="009544DF">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lastRenderedPageBreak/>
              <w:t>3</w:t>
            </w:r>
          </w:p>
        </w:tc>
        <w:tc>
          <w:tcPr>
            <w:tcW w:w="3456" w:type="dxa"/>
            <w:hideMark/>
          </w:tcPr>
          <w:p w14:paraId="57C43AEF"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Introduction to and objectives of the report</w:t>
            </w:r>
          </w:p>
        </w:tc>
        <w:tc>
          <w:tcPr>
            <w:tcW w:w="4320" w:type="dxa"/>
            <w:hideMark/>
          </w:tcPr>
          <w:p w14:paraId="1E15B998"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Scope of review</w:t>
            </w:r>
          </w:p>
          <w:p w14:paraId="427DBCBB"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Objective of review</w:t>
            </w:r>
          </w:p>
        </w:tc>
      </w:tr>
      <w:tr w:rsidR="00E93E22" w:rsidRPr="00800517" w14:paraId="7DC2C4F0"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58E3E29B" w14:textId="77777777" w:rsidR="00E93E22" w:rsidRPr="00800517" w:rsidRDefault="00E93E22" w:rsidP="009544DF">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4</w:t>
            </w:r>
          </w:p>
        </w:tc>
        <w:tc>
          <w:tcPr>
            <w:tcW w:w="3456" w:type="dxa"/>
            <w:hideMark/>
          </w:tcPr>
          <w:p w14:paraId="39793D6F"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Brief of the standard and key impact factors</w:t>
            </w:r>
          </w:p>
        </w:tc>
        <w:tc>
          <w:tcPr>
            <w:tcW w:w="4320" w:type="dxa"/>
            <w:hideMark/>
          </w:tcPr>
          <w:p w14:paraId="7B369F17" w14:textId="77777777" w:rsidR="00E93E22"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History of the standard (e.g., amendments, revisions)</w:t>
            </w:r>
          </w:p>
          <w:p w14:paraId="79823867" w14:textId="77777777" w:rsidR="00E93E22"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Rationale of the standard</w:t>
            </w:r>
          </w:p>
          <w:p w14:paraId="13BABBC9"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List and brief of the requirements of other relevant standard(s) (particularly SS but may include FAS and GS) having an impact on the requirements of the standard</w:t>
            </w:r>
          </w:p>
        </w:tc>
      </w:tr>
      <w:tr w:rsidR="00E93E22" w:rsidRPr="00800517" w14:paraId="09C784A1"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340A30DC" w14:textId="77777777" w:rsidR="00E93E22" w:rsidRPr="00800517" w:rsidRDefault="00E93E22" w:rsidP="009544DF">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5</w:t>
            </w:r>
          </w:p>
        </w:tc>
        <w:tc>
          <w:tcPr>
            <w:tcW w:w="3456" w:type="dxa"/>
            <w:hideMark/>
          </w:tcPr>
          <w:p w14:paraId="06014390"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AAOIFI footprint and adoption status of the standard</w:t>
            </w:r>
          </w:p>
        </w:tc>
        <w:tc>
          <w:tcPr>
            <w:tcW w:w="4320" w:type="dxa"/>
            <w:hideMark/>
          </w:tcPr>
          <w:p w14:paraId="7989A468"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Unofficial adoption and implementation of standard (through surveys)</w:t>
            </w:r>
          </w:p>
          <w:p w14:paraId="3075135B"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Local standards based on AAOIFI (official and unofficial)</w:t>
            </w:r>
          </w:p>
          <w:p w14:paraId="1674615A"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xml:space="preserve">Implication for multiple business lines – identify each of the business line. (For </w:t>
            </w:r>
            <w:proofErr w:type="gramStart"/>
            <w:r w:rsidRPr="00800517">
              <w:rPr>
                <w:rFonts w:ascii="Calibri" w:eastAsia="Times New Roman" w:hAnsi="Calibri" w:cs="Calibri"/>
                <w:color w:val="000000"/>
                <w:kern w:val="0"/>
                <w:lang w:eastAsia="en-GB"/>
                <w14:ligatures w14:val="none"/>
              </w:rPr>
              <w:t>example</w:t>
            </w:r>
            <w:proofErr w:type="gramEnd"/>
            <w:r w:rsidRPr="00800517">
              <w:rPr>
                <w:rFonts w:ascii="Calibri" w:eastAsia="Times New Roman" w:hAnsi="Calibri" w:cs="Calibri"/>
                <w:color w:val="000000"/>
                <w:kern w:val="0"/>
                <w:lang w:eastAsia="en-GB"/>
                <w14:ligatures w14:val="none"/>
              </w:rPr>
              <w:t xml:space="preserve"> challenges for implementation of Murabaha on microfinance will be different than the retail banks).</w:t>
            </w:r>
          </w:p>
        </w:tc>
      </w:tr>
      <w:tr w:rsidR="00E93E22" w:rsidRPr="00800517" w14:paraId="4F38761D"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4637BA2D" w14:textId="77777777" w:rsidR="00E93E22" w:rsidRPr="00800517" w:rsidRDefault="00E93E22" w:rsidP="009544DF">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6</w:t>
            </w:r>
          </w:p>
        </w:tc>
        <w:tc>
          <w:tcPr>
            <w:tcW w:w="3456" w:type="dxa"/>
            <w:hideMark/>
          </w:tcPr>
          <w:p w14:paraId="62EE3832"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Methodology (to be written as a process flow)</w:t>
            </w:r>
          </w:p>
        </w:tc>
        <w:tc>
          <w:tcPr>
            <w:tcW w:w="4320" w:type="dxa"/>
            <w:hideMark/>
          </w:tcPr>
          <w:p w14:paraId="67EECCEC"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 xml:space="preserve">Data sources (preferably people sitting on various Shari’ah Boards in more than one market), limitations, assumptions, etc. Identify key jurisdictions (6-8 main based on regions). Compile a survey. </w:t>
            </w:r>
          </w:p>
        </w:tc>
      </w:tr>
      <w:tr w:rsidR="00E93E22" w:rsidRPr="00800517" w14:paraId="4FDDFCC8"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44182474" w14:textId="77777777" w:rsidR="00E93E22" w:rsidRPr="00800517" w:rsidRDefault="00E93E22" w:rsidP="009544DF">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7</w:t>
            </w:r>
          </w:p>
        </w:tc>
        <w:tc>
          <w:tcPr>
            <w:tcW w:w="3456" w:type="dxa"/>
            <w:hideMark/>
          </w:tcPr>
          <w:p w14:paraId="6D3B61E3"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Impact assessment of the standard</w:t>
            </w:r>
          </w:p>
        </w:tc>
        <w:tc>
          <w:tcPr>
            <w:tcW w:w="4320" w:type="dxa"/>
            <w:hideMark/>
          </w:tcPr>
          <w:p w14:paraId="1A2722F3"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Status of adoption of the standard and practical uses in different markets including a brief about products and services based on the standard</w:t>
            </w:r>
          </w:p>
          <w:p w14:paraId="6A7483E4"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Effective implementation by the market players (overall analysis, significant gaps, significant challenges in implementation (general and specific to different jurisdictions))</w:t>
            </w:r>
          </w:p>
          <w:p w14:paraId="12F4A3D6"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Gaps in implementation</w:t>
            </w:r>
          </w:p>
          <w:p w14:paraId="4E3E12B2"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Impact on different stakeholders: IFI level (business policy, IT systems etc), RSA level (regulations etc).</w:t>
            </w:r>
          </w:p>
          <w:p w14:paraId="3E601B38"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operational processes</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IT systems</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risk management and governance</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lastRenderedPageBreak/>
              <w:t xml:space="preserve">   </w:t>
            </w:r>
            <w:r w:rsidRPr="00800517">
              <w:rPr>
                <w:rFonts w:ascii="Calibri" w:eastAsia="Times New Roman" w:hAnsi="Calibri" w:cs="Calibri"/>
                <w:color w:val="000000"/>
                <w:kern w:val="0"/>
                <w:lang w:eastAsia="en-GB"/>
                <w14:ligatures w14:val="none"/>
              </w:rPr>
              <w:t>- On Shari'ah compliance</w:t>
            </w:r>
            <w:r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 On financial policies and statements</w:t>
            </w:r>
          </w:p>
          <w:p w14:paraId="0801040C"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Cost-benefit analysis (within Shari’ah acceptable options)</w:t>
            </w:r>
          </w:p>
          <w:p w14:paraId="0AC735A2" w14:textId="6C6B6D3C" w:rsidR="00E8459D" w:rsidRPr="00E8459D" w:rsidRDefault="00CF2977"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For</w:t>
            </w:r>
            <w:r w:rsidR="00E8459D" w:rsidRPr="00E8459D">
              <w:rPr>
                <w:rFonts w:ascii="Calibri" w:eastAsia="Times New Roman" w:hAnsi="Calibri" w:cs="Calibri"/>
                <w:color w:val="000000"/>
                <w:kern w:val="0"/>
                <w:lang w:eastAsia="en-GB"/>
                <w14:ligatures w14:val="none"/>
              </w:rPr>
              <w:t xml:space="preserve"> SSs:</w:t>
            </w:r>
          </w:p>
          <w:p w14:paraId="098107EE" w14:textId="6095C884" w:rsidR="00E8459D" w:rsidRPr="00E8459D" w:rsidRDefault="00E8459D" w:rsidP="000F4BB4">
            <w:pPr>
              <w:spacing w:beforeAutospacing="0" w:after="0" w:afterAutospacing="0"/>
              <w:rPr>
                <w:rFonts w:ascii="Calibri" w:eastAsia="Times New Roman" w:hAnsi="Calibri" w:cs="Calibri"/>
                <w:color w:val="000000"/>
                <w:kern w:val="0"/>
                <w:lang w:eastAsia="en-GB"/>
                <w14:ligatures w14:val="none"/>
              </w:rPr>
            </w:pPr>
            <w:r w:rsidRPr="00E8459D">
              <w:rPr>
                <w:rFonts w:ascii="Calibri" w:eastAsia="Times New Roman" w:hAnsi="Calibri" w:cs="Calibri"/>
                <w:color w:val="000000"/>
                <w:kern w:val="0"/>
                <w:lang w:eastAsia="en-GB"/>
                <w14:ligatures w14:val="none"/>
              </w:rPr>
              <w:t>Differences from key Shari'ah principals and rules determined by Central Shari'ah boards and / or the respective views of predominant schools of thought</w:t>
            </w:r>
          </w:p>
          <w:p w14:paraId="702C68BA" w14:textId="77777777" w:rsidR="00E8459D" w:rsidRPr="00E8459D" w:rsidRDefault="00E8459D" w:rsidP="000F4BB4">
            <w:pPr>
              <w:spacing w:beforeAutospacing="0" w:after="0" w:afterAutospacing="0"/>
              <w:rPr>
                <w:rFonts w:ascii="Calibri" w:eastAsia="Times New Roman" w:hAnsi="Calibri" w:cs="Calibri"/>
                <w:color w:val="000000"/>
                <w:kern w:val="0"/>
                <w:lang w:eastAsia="en-GB"/>
                <w14:ligatures w14:val="none"/>
              </w:rPr>
            </w:pPr>
            <w:r w:rsidRPr="00E8459D">
              <w:rPr>
                <w:rFonts w:ascii="Calibri" w:eastAsia="Times New Roman" w:hAnsi="Calibri" w:cs="Calibri"/>
                <w:color w:val="000000"/>
                <w:kern w:val="0"/>
                <w:lang w:eastAsia="en-GB"/>
                <w14:ligatures w14:val="none"/>
              </w:rPr>
              <w:t>For GSs:</w:t>
            </w:r>
          </w:p>
          <w:p w14:paraId="18E6231E" w14:textId="72BAA5AC" w:rsidR="00E93E22" w:rsidRPr="00800517" w:rsidRDefault="00E8459D" w:rsidP="000F4BB4">
            <w:pPr>
              <w:spacing w:beforeAutospacing="0" w:after="0" w:afterAutospacing="0"/>
              <w:rPr>
                <w:rFonts w:ascii="Calibri" w:eastAsia="Times New Roman" w:hAnsi="Calibri" w:cs="Calibri"/>
                <w:color w:val="000000"/>
                <w:kern w:val="0"/>
                <w:lang w:eastAsia="en-GB"/>
                <w14:ligatures w14:val="none"/>
              </w:rPr>
            </w:pPr>
            <w:r w:rsidRPr="00E8459D">
              <w:rPr>
                <w:rFonts w:ascii="Calibri" w:eastAsia="Times New Roman" w:hAnsi="Calibri" w:cs="Calibri"/>
                <w:color w:val="000000"/>
                <w:kern w:val="0"/>
                <w:lang w:eastAsia="en-GB"/>
                <w14:ligatures w14:val="none"/>
              </w:rPr>
              <w:t>comparison with local governance regulations and their market perceptions</w:t>
            </w:r>
          </w:p>
        </w:tc>
      </w:tr>
      <w:tr w:rsidR="00E93E22" w:rsidRPr="00800517" w14:paraId="03E81399"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1237580E" w14:textId="77777777" w:rsidR="00E93E22" w:rsidRPr="00800517" w:rsidRDefault="00E93E22" w:rsidP="009544DF">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lastRenderedPageBreak/>
              <w:t>8</w:t>
            </w:r>
          </w:p>
        </w:tc>
        <w:tc>
          <w:tcPr>
            <w:tcW w:w="3456" w:type="dxa"/>
            <w:hideMark/>
          </w:tcPr>
          <w:p w14:paraId="7039CAEE"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Human capacity in the market and adequacy of capacity building efforts</w:t>
            </w:r>
          </w:p>
        </w:tc>
        <w:tc>
          <w:tcPr>
            <w:tcW w:w="4320" w:type="dxa"/>
            <w:hideMark/>
          </w:tcPr>
          <w:p w14:paraId="742AEEFD" w14:textId="77777777" w:rsidR="00E93E22"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Scholars, senior management, finance professionals, Shari’ah compliance audit professionals, lawyers / judges etc</w:t>
            </w:r>
          </w:p>
          <w:p w14:paraId="2E1F5AB8"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Training institutions and education institutions, including universities offering AAOIFI programs</w:t>
            </w:r>
          </w:p>
        </w:tc>
      </w:tr>
      <w:tr w:rsidR="00E93E22" w:rsidRPr="00800517" w14:paraId="759421D3"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79448462" w14:textId="77777777" w:rsidR="00E93E22" w:rsidRPr="00800517" w:rsidRDefault="00E93E22" w:rsidP="009544DF">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9</w:t>
            </w:r>
          </w:p>
        </w:tc>
        <w:tc>
          <w:tcPr>
            <w:tcW w:w="3456" w:type="dxa"/>
            <w:hideMark/>
          </w:tcPr>
          <w:p w14:paraId="54979F75"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Availability of market infrastructure, where applicable (IT systems, consultants etc.)</w:t>
            </w:r>
          </w:p>
        </w:tc>
        <w:tc>
          <w:tcPr>
            <w:tcW w:w="4320" w:type="dxa"/>
            <w:hideMark/>
          </w:tcPr>
          <w:p w14:paraId="57CD2F15"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p>
        </w:tc>
      </w:tr>
      <w:tr w:rsidR="00E93E22" w:rsidRPr="00800517" w14:paraId="40F34679"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4EE29CC1" w14:textId="77777777" w:rsidR="00E93E22" w:rsidRPr="00800517" w:rsidRDefault="00E93E22" w:rsidP="009544DF">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10</w:t>
            </w:r>
          </w:p>
        </w:tc>
        <w:tc>
          <w:tcPr>
            <w:tcW w:w="3456" w:type="dxa"/>
            <w:hideMark/>
          </w:tcPr>
          <w:p w14:paraId="66A470C0"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Way forward</w:t>
            </w:r>
          </w:p>
        </w:tc>
        <w:tc>
          <w:tcPr>
            <w:tcW w:w="4320" w:type="dxa"/>
            <w:hideMark/>
          </w:tcPr>
          <w:p w14:paraId="4D867162" w14:textId="77777777" w:rsidR="00E93E22"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Lessons learnt for improvements in AAOIFI standards</w:t>
            </w:r>
          </w:p>
          <w:p w14:paraId="39B88B34" w14:textId="77777777" w:rsidR="00E93E22"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Steps to be taken by AAOIFI (guidelines, new standards, capacity building, regulatory capacity building, advocacy and awareness, transition and implementation time flexibility</w:t>
            </w:r>
          </w:p>
          <w:p w14:paraId="77C1121E" w14:textId="77777777" w:rsidR="00E93E22"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the RSAs</w:t>
            </w:r>
          </w:p>
          <w:p w14:paraId="44E10CFF" w14:textId="77777777" w:rsidR="00E93E22"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the market players</w:t>
            </w:r>
          </w:p>
          <w:p w14:paraId="08BC7579" w14:textId="77777777" w:rsidR="00E93E22" w:rsidRPr="00800517" w:rsidRDefault="00E93E22" w:rsidP="000F4BB4">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other stakeholders and service providers</w:t>
            </w:r>
          </w:p>
        </w:tc>
      </w:tr>
      <w:tr w:rsidR="00E93E22" w:rsidRPr="00800517" w14:paraId="2D37C843"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4FE36D8B" w14:textId="77777777" w:rsidR="00E93E22" w:rsidRPr="00800517" w:rsidRDefault="00E93E22" w:rsidP="009544DF">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11</w:t>
            </w:r>
          </w:p>
        </w:tc>
        <w:tc>
          <w:tcPr>
            <w:tcW w:w="3456" w:type="dxa"/>
            <w:hideMark/>
          </w:tcPr>
          <w:p w14:paraId="62EE4250"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Appendices</w:t>
            </w:r>
          </w:p>
        </w:tc>
        <w:tc>
          <w:tcPr>
            <w:tcW w:w="4320" w:type="dxa"/>
            <w:hideMark/>
          </w:tcPr>
          <w:p w14:paraId="6972E894"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Table of acronyms</w:t>
            </w:r>
          </w:p>
          <w:p w14:paraId="785156B8" w14:textId="77777777" w:rsidR="00E93E22"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Glossary</w:t>
            </w:r>
          </w:p>
          <w:p w14:paraId="6378D2B1" w14:textId="77777777" w:rsidR="00E93E22" w:rsidRPr="00800517" w:rsidRDefault="00E93E22" w:rsidP="000F4BB4">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3A683D">
              <w:rPr>
                <w:rFonts w:ascii="Calibri" w:eastAsia="Times New Roman" w:hAnsi="Calibri" w:cs="Calibri"/>
                <w:color w:val="000000"/>
                <w:kern w:val="0"/>
                <w:lang w:eastAsia="en-GB"/>
                <w14:ligatures w14:val="none"/>
              </w:rPr>
              <w:t>Interview questionnaires and surveys</w:t>
            </w:r>
          </w:p>
        </w:tc>
      </w:tr>
    </w:tbl>
    <w:p w14:paraId="500A84C3" w14:textId="77777777" w:rsidR="00E93E22" w:rsidRDefault="00E93E22" w:rsidP="00E93E22">
      <w:pPr>
        <w:pStyle w:val="Heading2"/>
      </w:pPr>
    </w:p>
    <w:p w14:paraId="37C0D2A4" w14:textId="77777777" w:rsidR="00823290" w:rsidRPr="006766D8" w:rsidRDefault="00823290" w:rsidP="00823290">
      <w:pPr>
        <w:pStyle w:val="Heading2"/>
      </w:pPr>
      <w:r w:rsidRPr="006766D8">
        <w:t>Technical reports</w:t>
      </w:r>
    </w:p>
    <w:p w14:paraId="7B5DBDEF" w14:textId="77777777" w:rsidR="00823290" w:rsidRPr="006766D8" w:rsidRDefault="00823290" w:rsidP="00823290">
      <w:pPr>
        <w:pStyle w:val="ListParagraph"/>
      </w:pPr>
      <w:r w:rsidRPr="006766D8">
        <w:t xml:space="preserve">The consultant will be required to work </w:t>
      </w:r>
      <w:r>
        <w:t>on following project:</w:t>
      </w:r>
    </w:p>
    <w:p w14:paraId="564C6A4A" w14:textId="43DD449B" w:rsidR="00823290" w:rsidRPr="006766D8" w:rsidRDefault="00894C8A" w:rsidP="00823290">
      <w:pPr>
        <w:pStyle w:val="ListParagraph"/>
        <w:numPr>
          <w:ilvl w:val="1"/>
          <w:numId w:val="44"/>
        </w:numPr>
      </w:pPr>
      <w:r w:rsidRPr="00894C8A">
        <w:lastRenderedPageBreak/>
        <w:t>Technical Report: Converting Conventional Financial Institutions to IFIs</w:t>
      </w:r>
      <w:r w:rsidR="00823290">
        <w:t>.</w:t>
      </w:r>
    </w:p>
    <w:p w14:paraId="6E4084D6" w14:textId="0F69C4FE" w:rsidR="00A831A1" w:rsidRDefault="00823290" w:rsidP="00011464">
      <w:pPr>
        <w:pStyle w:val="ListParagraph"/>
      </w:pPr>
      <w:r w:rsidRPr="006766D8">
        <w:t xml:space="preserve">The </w:t>
      </w:r>
      <w:r>
        <w:t>report outline</w:t>
      </w:r>
      <w:r w:rsidRPr="006766D8">
        <w:t xml:space="preserve"> will be as follows:</w:t>
      </w:r>
    </w:p>
    <w:tbl>
      <w:tblPr>
        <w:tblStyle w:val="AAOIFIBandedTable"/>
        <w:tblW w:w="0" w:type="auto"/>
        <w:tblLayout w:type="fixed"/>
        <w:tblLook w:val="04A0" w:firstRow="1" w:lastRow="0" w:firstColumn="1" w:lastColumn="0" w:noHBand="0" w:noVBand="1"/>
      </w:tblPr>
      <w:tblGrid>
        <w:gridCol w:w="720"/>
        <w:gridCol w:w="3600"/>
        <w:gridCol w:w="4320"/>
      </w:tblGrid>
      <w:tr w:rsidR="00011464" w:rsidRPr="00011464" w14:paraId="5E302833" w14:textId="77777777" w:rsidTr="000F4BB4">
        <w:trPr>
          <w:cnfStyle w:val="100000000000" w:firstRow="1" w:lastRow="0" w:firstColumn="0" w:lastColumn="0" w:oddVBand="0" w:evenVBand="0" w:oddHBand="0" w:evenHBand="0" w:firstRowFirstColumn="0" w:firstRowLastColumn="0" w:lastRowFirstColumn="0" w:lastRowLastColumn="0"/>
          <w:trHeight w:val="20"/>
        </w:trPr>
        <w:tc>
          <w:tcPr>
            <w:tcW w:w="720" w:type="dxa"/>
            <w:hideMark/>
          </w:tcPr>
          <w:p w14:paraId="1031770A" w14:textId="2600A385" w:rsidR="00011464" w:rsidRPr="00011464" w:rsidRDefault="00011464" w:rsidP="00011464">
            <w:r w:rsidRPr="00011464">
              <w:t>S.</w:t>
            </w:r>
            <w:r w:rsidR="00143CCC">
              <w:t xml:space="preserve"> </w:t>
            </w:r>
            <w:r w:rsidRPr="00011464">
              <w:t>No</w:t>
            </w:r>
          </w:p>
        </w:tc>
        <w:tc>
          <w:tcPr>
            <w:tcW w:w="3600" w:type="dxa"/>
            <w:hideMark/>
          </w:tcPr>
          <w:p w14:paraId="54B06E8F" w14:textId="77777777" w:rsidR="00011464" w:rsidRPr="00011464" w:rsidRDefault="00011464" w:rsidP="00011464">
            <w:r w:rsidRPr="00011464">
              <w:t>Section title</w:t>
            </w:r>
          </w:p>
        </w:tc>
        <w:tc>
          <w:tcPr>
            <w:tcW w:w="4320" w:type="dxa"/>
            <w:hideMark/>
          </w:tcPr>
          <w:p w14:paraId="0F8E3912" w14:textId="77777777" w:rsidR="00011464" w:rsidRPr="00011464" w:rsidRDefault="00011464" w:rsidP="00011464">
            <w:r w:rsidRPr="00011464">
              <w:t>Subsection / remarks</w:t>
            </w:r>
          </w:p>
        </w:tc>
      </w:tr>
      <w:tr w:rsidR="00011464" w:rsidRPr="00011464" w14:paraId="318FE9C7"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7883235C" w14:textId="77777777" w:rsidR="00011464" w:rsidRPr="00011464" w:rsidRDefault="00011464" w:rsidP="00011464">
            <w:r w:rsidRPr="00011464">
              <w:t>1</w:t>
            </w:r>
          </w:p>
        </w:tc>
        <w:tc>
          <w:tcPr>
            <w:tcW w:w="3600" w:type="dxa"/>
            <w:hideMark/>
          </w:tcPr>
          <w:p w14:paraId="59F083C5" w14:textId="77777777" w:rsidR="00011464" w:rsidRPr="00011464" w:rsidRDefault="00011464" w:rsidP="00011464">
            <w:r w:rsidRPr="00011464">
              <w:t>About AAOIFI</w:t>
            </w:r>
          </w:p>
        </w:tc>
        <w:tc>
          <w:tcPr>
            <w:tcW w:w="4320" w:type="dxa"/>
            <w:hideMark/>
          </w:tcPr>
          <w:p w14:paraId="7AFC0670" w14:textId="77777777" w:rsidR="00011464" w:rsidRPr="00011464" w:rsidRDefault="00011464" w:rsidP="00011464"/>
        </w:tc>
      </w:tr>
      <w:tr w:rsidR="00011464" w:rsidRPr="00011464" w14:paraId="29C52102"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79085121" w14:textId="77777777" w:rsidR="00011464" w:rsidRPr="00011464" w:rsidRDefault="00011464" w:rsidP="00011464">
            <w:r w:rsidRPr="00011464">
              <w:t>2</w:t>
            </w:r>
          </w:p>
        </w:tc>
        <w:tc>
          <w:tcPr>
            <w:tcW w:w="3600" w:type="dxa"/>
            <w:hideMark/>
          </w:tcPr>
          <w:p w14:paraId="4F1D5706" w14:textId="77777777" w:rsidR="00011464" w:rsidRPr="00011464" w:rsidRDefault="00011464" w:rsidP="00011464">
            <w:r w:rsidRPr="00011464">
              <w:t>Preface</w:t>
            </w:r>
          </w:p>
        </w:tc>
        <w:tc>
          <w:tcPr>
            <w:tcW w:w="4320" w:type="dxa"/>
            <w:hideMark/>
          </w:tcPr>
          <w:p w14:paraId="33A05AB8" w14:textId="77777777" w:rsidR="00011464" w:rsidRPr="00011464" w:rsidRDefault="00011464" w:rsidP="00011464"/>
        </w:tc>
      </w:tr>
      <w:tr w:rsidR="00011464" w:rsidRPr="00011464" w14:paraId="6C74D901"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0A900D3E" w14:textId="77777777" w:rsidR="00011464" w:rsidRPr="00011464" w:rsidRDefault="00011464" w:rsidP="00011464">
            <w:r w:rsidRPr="00011464">
              <w:t>3</w:t>
            </w:r>
          </w:p>
        </w:tc>
        <w:tc>
          <w:tcPr>
            <w:tcW w:w="3600" w:type="dxa"/>
            <w:hideMark/>
          </w:tcPr>
          <w:p w14:paraId="5358A9E3" w14:textId="77777777" w:rsidR="00011464" w:rsidRPr="00011464" w:rsidRDefault="00011464" w:rsidP="00011464">
            <w:r w:rsidRPr="00011464">
              <w:t>Messages</w:t>
            </w:r>
          </w:p>
        </w:tc>
        <w:tc>
          <w:tcPr>
            <w:tcW w:w="4320" w:type="dxa"/>
            <w:hideMark/>
          </w:tcPr>
          <w:p w14:paraId="0B7A434F" w14:textId="77777777" w:rsidR="00011464" w:rsidRPr="00011464" w:rsidRDefault="00011464" w:rsidP="00011464">
            <w:r w:rsidRPr="00011464">
              <w:t>From Chairman &amp; SG</w:t>
            </w:r>
          </w:p>
        </w:tc>
      </w:tr>
      <w:tr w:rsidR="00011464" w:rsidRPr="00011464" w14:paraId="4243F61B"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59B5FB1D" w14:textId="77777777" w:rsidR="00011464" w:rsidRPr="00011464" w:rsidRDefault="00011464" w:rsidP="00011464">
            <w:r w:rsidRPr="00011464">
              <w:t>4</w:t>
            </w:r>
          </w:p>
        </w:tc>
        <w:tc>
          <w:tcPr>
            <w:tcW w:w="3600" w:type="dxa"/>
            <w:hideMark/>
          </w:tcPr>
          <w:p w14:paraId="356F7C33" w14:textId="77777777" w:rsidR="00011464" w:rsidRPr="00011464" w:rsidRDefault="00011464" w:rsidP="00011464">
            <w:r w:rsidRPr="00011464">
              <w:t>Acknowledgements</w:t>
            </w:r>
          </w:p>
        </w:tc>
        <w:tc>
          <w:tcPr>
            <w:tcW w:w="4320" w:type="dxa"/>
            <w:hideMark/>
          </w:tcPr>
          <w:p w14:paraId="10FC8340" w14:textId="77777777" w:rsidR="00011464" w:rsidRPr="00011464" w:rsidRDefault="00011464" w:rsidP="00011464"/>
        </w:tc>
      </w:tr>
      <w:tr w:rsidR="00011464" w:rsidRPr="00011464" w14:paraId="18B641EB"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44454B11" w14:textId="77777777" w:rsidR="00011464" w:rsidRPr="00011464" w:rsidRDefault="00011464" w:rsidP="00011464">
            <w:r w:rsidRPr="00011464">
              <w:t>5</w:t>
            </w:r>
          </w:p>
        </w:tc>
        <w:tc>
          <w:tcPr>
            <w:tcW w:w="3600" w:type="dxa"/>
            <w:hideMark/>
          </w:tcPr>
          <w:p w14:paraId="315D9C2D" w14:textId="77777777" w:rsidR="00011464" w:rsidRPr="00011464" w:rsidRDefault="00011464" w:rsidP="00011464">
            <w:r w:rsidRPr="00011464">
              <w:t>Glossary of terms</w:t>
            </w:r>
          </w:p>
        </w:tc>
        <w:tc>
          <w:tcPr>
            <w:tcW w:w="4320" w:type="dxa"/>
            <w:hideMark/>
          </w:tcPr>
          <w:p w14:paraId="6F3D2B62" w14:textId="77777777" w:rsidR="00011464" w:rsidRPr="00011464" w:rsidRDefault="00011464" w:rsidP="00011464"/>
        </w:tc>
      </w:tr>
      <w:tr w:rsidR="00011464" w:rsidRPr="00011464" w14:paraId="46DB239D"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230B9CD4" w14:textId="77777777" w:rsidR="00011464" w:rsidRPr="00011464" w:rsidRDefault="00011464" w:rsidP="00011464">
            <w:r w:rsidRPr="00011464">
              <w:t>6</w:t>
            </w:r>
          </w:p>
        </w:tc>
        <w:tc>
          <w:tcPr>
            <w:tcW w:w="3600" w:type="dxa"/>
            <w:hideMark/>
          </w:tcPr>
          <w:p w14:paraId="0F8C3D4C" w14:textId="77777777" w:rsidR="00011464" w:rsidRPr="00011464" w:rsidRDefault="00011464" w:rsidP="00011464">
            <w:r w:rsidRPr="00011464">
              <w:t>List of abbreviations and acronyms</w:t>
            </w:r>
          </w:p>
        </w:tc>
        <w:tc>
          <w:tcPr>
            <w:tcW w:w="4320" w:type="dxa"/>
            <w:hideMark/>
          </w:tcPr>
          <w:p w14:paraId="12183CA4" w14:textId="77777777" w:rsidR="00011464" w:rsidRPr="00011464" w:rsidRDefault="00011464" w:rsidP="00011464"/>
        </w:tc>
      </w:tr>
      <w:tr w:rsidR="00011464" w:rsidRPr="00011464" w14:paraId="0F736BAE"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5FF2152D" w14:textId="77777777" w:rsidR="00011464" w:rsidRPr="00011464" w:rsidRDefault="00011464" w:rsidP="00011464">
            <w:r w:rsidRPr="00011464">
              <w:t>7</w:t>
            </w:r>
          </w:p>
        </w:tc>
        <w:tc>
          <w:tcPr>
            <w:tcW w:w="3600" w:type="dxa"/>
            <w:hideMark/>
          </w:tcPr>
          <w:p w14:paraId="652342B3" w14:textId="77777777" w:rsidR="00011464" w:rsidRPr="00011464" w:rsidRDefault="00011464" w:rsidP="00011464">
            <w:r w:rsidRPr="00011464">
              <w:t>List of tables and figures</w:t>
            </w:r>
          </w:p>
        </w:tc>
        <w:tc>
          <w:tcPr>
            <w:tcW w:w="4320" w:type="dxa"/>
            <w:hideMark/>
          </w:tcPr>
          <w:p w14:paraId="14C2C7B0" w14:textId="77777777" w:rsidR="00011464" w:rsidRPr="00011464" w:rsidRDefault="00011464" w:rsidP="00011464"/>
        </w:tc>
      </w:tr>
      <w:tr w:rsidR="00011464" w:rsidRPr="00011464" w14:paraId="2FF5F18D"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59F6A34A" w14:textId="77777777" w:rsidR="00011464" w:rsidRPr="00011464" w:rsidRDefault="00011464" w:rsidP="00011464">
            <w:r w:rsidRPr="00011464">
              <w:t>8</w:t>
            </w:r>
          </w:p>
        </w:tc>
        <w:tc>
          <w:tcPr>
            <w:tcW w:w="3600" w:type="dxa"/>
            <w:hideMark/>
          </w:tcPr>
          <w:p w14:paraId="65E326BF" w14:textId="77777777" w:rsidR="00011464" w:rsidRPr="00011464" w:rsidRDefault="00011464" w:rsidP="00011464">
            <w:r w:rsidRPr="00011464">
              <w:t>Executive summary</w:t>
            </w:r>
          </w:p>
        </w:tc>
        <w:tc>
          <w:tcPr>
            <w:tcW w:w="4320" w:type="dxa"/>
            <w:hideMark/>
          </w:tcPr>
          <w:p w14:paraId="5652578F" w14:textId="77777777" w:rsidR="00011464" w:rsidRPr="00011464" w:rsidRDefault="00011464" w:rsidP="00011464">
            <w:r w:rsidRPr="00011464">
              <w:t>- Snapshots of the findings</w:t>
            </w:r>
            <w:r w:rsidRPr="00011464">
              <w:br/>
              <w:t>- Key recommendations</w:t>
            </w:r>
          </w:p>
        </w:tc>
      </w:tr>
      <w:tr w:rsidR="00011464" w:rsidRPr="00011464" w14:paraId="7E57774D"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09407795" w14:textId="77777777" w:rsidR="00011464" w:rsidRPr="00011464" w:rsidRDefault="00011464" w:rsidP="00011464">
            <w:r w:rsidRPr="00011464">
              <w:t>9</w:t>
            </w:r>
          </w:p>
        </w:tc>
        <w:tc>
          <w:tcPr>
            <w:tcW w:w="3600" w:type="dxa"/>
            <w:hideMark/>
          </w:tcPr>
          <w:p w14:paraId="09383BF1" w14:textId="77777777" w:rsidR="00011464" w:rsidRPr="00011464" w:rsidRDefault="00011464" w:rsidP="00011464">
            <w:r w:rsidRPr="00011464">
              <w:t>Introduction to and objectives of the report</w:t>
            </w:r>
          </w:p>
        </w:tc>
        <w:tc>
          <w:tcPr>
            <w:tcW w:w="4320" w:type="dxa"/>
            <w:hideMark/>
          </w:tcPr>
          <w:p w14:paraId="4D60317D" w14:textId="77777777" w:rsidR="00011464" w:rsidRPr="00011464" w:rsidRDefault="00011464" w:rsidP="00011464">
            <w:r w:rsidRPr="00011464">
              <w:t>- History</w:t>
            </w:r>
            <w:r w:rsidRPr="00011464">
              <w:br/>
              <w:t>- Purpose</w:t>
            </w:r>
            <w:r w:rsidRPr="00011464">
              <w:br/>
              <w:t>- Rationale</w:t>
            </w:r>
            <w:r w:rsidRPr="00011464">
              <w:br/>
              <w:t>- Objectives</w:t>
            </w:r>
            <w:r w:rsidRPr="00011464">
              <w:br/>
              <w:t>- Scope</w:t>
            </w:r>
            <w:r w:rsidRPr="00011464">
              <w:br/>
              <w:t>- Topics covered or left out</w:t>
            </w:r>
            <w:r w:rsidRPr="00011464">
              <w:br/>
              <w:t>- Methodology</w:t>
            </w:r>
          </w:p>
        </w:tc>
      </w:tr>
      <w:tr w:rsidR="00011464" w:rsidRPr="00011464" w14:paraId="0B08F567"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7C88BE94" w14:textId="77777777" w:rsidR="00011464" w:rsidRPr="00011464" w:rsidRDefault="00011464" w:rsidP="00011464">
            <w:r w:rsidRPr="00011464">
              <w:t>10</w:t>
            </w:r>
          </w:p>
        </w:tc>
        <w:tc>
          <w:tcPr>
            <w:tcW w:w="3600" w:type="dxa"/>
            <w:hideMark/>
          </w:tcPr>
          <w:p w14:paraId="25042C7A" w14:textId="77777777" w:rsidR="00011464" w:rsidRPr="00011464" w:rsidRDefault="00011464" w:rsidP="00011464">
            <w:r w:rsidRPr="00011464">
              <w:t>Key conversion areas / dimensions</w:t>
            </w:r>
          </w:p>
        </w:tc>
        <w:tc>
          <w:tcPr>
            <w:tcW w:w="4320" w:type="dxa"/>
            <w:hideMark/>
          </w:tcPr>
          <w:p w14:paraId="2C2B0FC6" w14:textId="77777777" w:rsidR="00011464" w:rsidRPr="00011464" w:rsidRDefault="00011464" w:rsidP="00011464"/>
        </w:tc>
      </w:tr>
      <w:tr w:rsidR="00011464" w:rsidRPr="00011464" w14:paraId="0798CEEE"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71BB150E" w14:textId="77777777" w:rsidR="00011464" w:rsidRPr="00011464" w:rsidRDefault="00011464" w:rsidP="00011464">
            <w:r w:rsidRPr="00011464">
              <w:t>11</w:t>
            </w:r>
          </w:p>
        </w:tc>
        <w:tc>
          <w:tcPr>
            <w:tcW w:w="3600" w:type="dxa"/>
            <w:hideMark/>
          </w:tcPr>
          <w:p w14:paraId="3123B379" w14:textId="77777777" w:rsidR="00011464" w:rsidRPr="00011464" w:rsidRDefault="00011464" w:rsidP="00011464">
            <w:r w:rsidRPr="00011464">
              <w:t>Key goals of the conversion process</w:t>
            </w:r>
          </w:p>
        </w:tc>
        <w:tc>
          <w:tcPr>
            <w:tcW w:w="4320" w:type="dxa"/>
            <w:hideMark/>
          </w:tcPr>
          <w:p w14:paraId="41A8E653" w14:textId="77777777" w:rsidR="00011464" w:rsidRPr="00011464" w:rsidRDefault="00011464" w:rsidP="00011464"/>
        </w:tc>
      </w:tr>
      <w:tr w:rsidR="00011464" w:rsidRPr="00011464" w14:paraId="7FBE0B6A"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0C472C99" w14:textId="77777777" w:rsidR="00011464" w:rsidRPr="00011464" w:rsidRDefault="00011464" w:rsidP="00011464">
            <w:r w:rsidRPr="00011464">
              <w:t>12</w:t>
            </w:r>
          </w:p>
        </w:tc>
        <w:tc>
          <w:tcPr>
            <w:tcW w:w="3600" w:type="dxa"/>
            <w:hideMark/>
          </w:tcPr>
          <w:p w14:paraId="21869C89" w14:textId="77777777" w:rsidR="00011464" w:rsidRPr="00011464" w:rsidRDefault="00011464" w:rsidP="00011464">
            <w:r w:rsidRPr="00011464">
              <w:t>Key issues and challenges in conversion</w:t>
            </w:r>
          </w:p>
        </w:tc>
        <w:tc>
          <w:tcPr>
            <w:tcW w:w="4320" w:type="dxa"/>
            <w:hideMark/>
          </w:tcPr>
          <w:p w14:paraId="442FFB07" w14:textId="73F493C5" w:rsidR="00011464" w:rsidRPr="00011464" w:rsidRDefault="00011464" w:rsidP="00011464">
            <w:r w:rsidRPr="00011464">
              <w:t>- Should cover multiple domains (Shari'ah-compliance, governance, accounting, auditing)</w:t>
            </w:r>
            <w:r w:rsidRPr="00011464">
              <w:br/>
              <w:t>- Should include limited</w:t>
            </w:r>
            <w:r>
              <w:t>-</w:t>
            </w:r>
            <w:r w:rsidRPr="00011464">
              <w:t>scope impact assessment of SS 6 "Conversion of a Conventional Bank to an Islamic Bank" and FAS 36 "First Time Adoption of AAOIFI Financial Accounting Standards"</w:t>
            </w:r>
          </w:p>
        </w:tc>
      </w:tr>
      <w:tr w:rsidR="00011464" w:rsidRPr="00011464" w14:paraId="6F14B784"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38C8D379" w14:textId="77777777" w:rsidR="00011464" w:rsidRPr="00011464" w:rsidRDefault="00011464" w:rsidP="00011464">
            <w:r w:rsidRPr="00011464">
              <w:t>13</w:t>
            </w:r>
          </w:p>
        </w:tc>
        <w:tc>
          <w:tcPr>
            <w:tcW w:w="3600" w:type="dxa"/>
            <w:hideMark/>
          </w:tcPr>
          <w:p w14:paraId="0B65AD70" w14:textId="77777777" w:rsidR="00011464" w:rsidRPr="00011464" w:rsidRDefault="00011464" w:rsidP="00011464">
            <w:r w:rsidRPr="00011464">
              <w:t>Conversion approaches, processes and stakeholders' roles</w:t>
            </w:r>
          </w:p>
        </w:tc>
        <w:tc>
          <w:tcPr>
            <w:tcW w:w="4320" w:type="dxa"/>
            <w:hideMark/>
          </w:tcPr>
          <w:p w14:paraId="56BB6B6A" w14:textId="77777777" w:rsidR="00011464" w:rsidRPr="00011464" w:rsidRDefault="00011464" w:rsidP="00011464">
            <w:r w:rsidRPr="00011464">
              <w:t>- Should also include temporary solutions for conversion</w:t>
            </w:r>
          </w:p>
        </w:tc>
      </w:tr>
      <w:tr w:rsidR="00011464" w:rsidRPr="00011464" w14:paraId="231117E2"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08D14662" w14:textId="77777777" w:rsidR="00011464" w:rsidRPr="00011464" w:rsidRDefault="00011464" w:rsidP="00011464">
            <w:r w:rsidRPr="00011464">
              <w:t>14</w:t>
            </w:r>
          </w:p>
        </w:tc>
        <w:tc>
          <w:tcPr>
            <w:tcW w:w="3600" w:type="dxa"/>
            <w:hideMark/>
          </w:tcPr>
          <w:p w14:paraId="5F85C1CA" w14:textId="3D26CE5D" w:rsidR="00011464" w:rsidRPr="00011464" w:rsidRDefault="00011464" w:rsidP="00011464">
            <w:r w:rsidRPr="00011464">
              <w:t xml:space="preserve">Regulatory landscape and existing regulatory guidelines - </w:t>
            </w:r>
            <w:r w:rsidR="00143CCC" w:rsidRPr="00011464">
              <w:t>brief</w:t>
            </w:r>
            <w:r w:rsidRPr="00011464">
              <w:t xml:space="preserve"> overview</w:t>
            </w:r>
          </w:p>
        </w:tc>
        <w:tc>
          <w:tcPr>
            <w:tcW w:w="4320" w:type="dxa"/>
            <w:hideMark/>
          </w:tcPr>
          <w:p w14:paraId="29685852" w14:textId="77777777" w:rsidR="00011464" w:rsidRPr="00011464" w:rsidRDefault="00011464" w:rsidP="00011464"/>
        </w:tc>
      </w:tr>
      <w:tr w:rsidR="00011464" w:rsidRPr="00011464" w14:paraId="349F93B1"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61CE07A0" w14:textId="77777777" w:rsidR="00011464" w:rsidRPr="00011464" w:rsidRDefault="00011464" w:rsidP="00011464">
            <w:r w:rsidRPr="00011464">
              <w:t>15</w:t>
            </w:r>
          </w:p>
        </w:tc>
        <w:tc>
          <w:tcPr>
            <w:tcW w:w="3600" w:type="dxa"/>
            <w:hideMark/>
          </w:tcPr>
          <w:p w14:paraId="38076CC0" w14:textId="77777777" w:rsidR="00011464" w:rsidRPr="00011464" w:rsidRDefault="00011464" w:rsidP="00011464">
            <w:r w:rsidRPr="00011464">
              <w:t>Pre-conversion guidelines</w:t>
            </w:r>
          </w:p>
        </w:tc>
        <w:tc>
          <w:tcPr>
            <w:tcW w:w="4320" w:type="dxa"/>
            <w:hideMark/>
          </w:tcPr>
          <w:p w14:paraId="0FE3E39C" w14:textId="77777777" w:rsidR="00011464" w:rsidRPr="00011464" w:rsidRDefault="00011464" w:rsidP="00011464"/>
        </w:tc>
      </w:tr>
      <w:tr w:rsidR="00011464" w:rsidRPr="00011464" w14:paraId="42F11AC9"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68F1B3BB" w14:textId="77777777" w:rsidR="00011464" w:rsidRPr="00011464" w:rsidRDefault="00011464" w:rsidP="00011464">
            <w:r w:rsidRPr="00011464">
              <w:t>16</w:t>
            </w:r>
          </w:p>
        </w:tc>
        <w:tc>
          <w:tcPr>
            <w:tcW w:w="3600" w:type="dxa"/>
            <w:hideMark/>
          </w:tcPr>
          <w:p w14:paraId="1B89033F" w14:textId="77777777" w:rsidR="00011464" w:rsidRPr="00011464" w:rsidRDefault="00011464" w:rsidP="00011464">
            <w:r w:rsidRPr="00011464">
              <w:t>Conversion strategy and plan</w:t>
            </w:r>
          </w:p>
        </w:tc>
        <w:tc>
          <w:tcPr>
            <w:tcW w:w="4320" w:type="dxa"/>
            <w:hideMark/>
          </w:tcPr>
          <w:p w14:paraId="724E5A74" w14:textId="77777777" w:rsidR="00011464" w:rsidRPr="00011464" w:rsidRDefault="00011464" w:rsidP="00011464">
            <w:r w:rsidRPr="00011464">
              <w:t>- Organisational transformation framework</w:t>
            </w:r>
            <w:r w:rsidRPr="00011464">
              <w:br/>
              <w:t>- Financial and cleansing conversion framework</w:t>
            </w:r>
          </w:p>
        </w:tc>
      </w:tr>
      <w:tr w:rsidR="00011464" w:rsidRPr="00011464" w14:paraId="7AA9FC7A"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369D7A98" w14:textId="77777777" w:rsidR="00011464" w:rsidRPr="00011464" w:rsidRDefault="00011464" w:rsidP="00011464">
            <w:r w:rsidRPr="00011464">
              <w:t>17</w:t>
            </w:r>
          </w:p>
        </w:tc>
        <w:tc>
          <w:tcPr>
            <w:tcW w:w="3600" w:type="dxa"/>
            <w:hideMark/>
          </w:tcPr>
          <w:p w14:paraId="5274F06F" w14:textId="77777777" w:rsidR="00011464" w:rsidRPr="00011464" w:rsidRDefault="00011464" w:rsidP="00011464">
            <w:r w:rsidRPr="00011464">
              <w:t>Post-conversion compliance</w:t>
            </w:r>
          </w:p>
        </w:tc>
        <w:tc>
          <w:tcPr>
            <w:tcW w:w="4320" w:type="dxa"/>
            <w:hideMark/>
          </w:tcPr>
          <w:p w14:paraId="6B38BCA5" w14:textId="77777777" w:rsidR="00011464" w:rsidRPr="00011464" w:rsidRDefault="00011464" w:rsidP="00011464"/>
        </w:tc>
      </w:tr>
      <w:tr w:rsidR="00011464" w:rsidRPr="00011464" w14:paraId="1A8EB99A"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6647BBF2" w14:textId="77777777" w:rsidR="00011464" w:rsidRPr="00011464" w:rsidRDefault="00011464" w:rsidP="00011464">
            <w:r w:rsidRPr="00011464">
              <w:t>18</w:t>
            </w:r>
          </w:p>
        </w:tc>
        <w:tc>
          <w:tcPr>
            <w:tcW w:w="3600" w:type="dxa"/>
            <w:hideMark/>
          </w:tcPr>
          <w:p w14:paraId="690214D8" w14:textId="77777777" w:rsidR="00011464" w:rsidRPr="00011464" w:rsidRDefault="00011464" w:rsidP="00011464">
            <w:r w:rsidRPr="00011464">
              <w:t>Guidelines for dealing with existing conventional institutions / ecosystem</w:t>
            </w:r>
          </w:p>
        </w:tc>
        <w:tc>
          <w:tcPr>
            <w:tcW w:w="4320" w:type="dxa"/>
            <w:hideMark/>
          </w:tcPr>
          <w:p w14:paraId="0FE68BD2" w14:textId="77777777" w:rsidR="00011464" w:rsidRPr="00011464" w:rsidRDefault="00011464" w:rsidP="00011464">
            <w:r w:rsidRPr="00011464">
              <w:t>- RSAs</w:t>
            </w:r>
            <w:r w:rsidRPr="00011464">
              <w:br/>
              <w:t>- Other market participants</w:t>
            </w:r>
            <w:r w:rsidRPr="00011464">
              <w:br/>
              <w:t>- Parent conventional institution</w:t>
            </w:r>
          </w:p>
        </w:tc>
      </w:tr>
      <w:tr w:rsidR="00011464" w:rsidRPr="00011464" w14:paraId="706C07A5"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70731944" w14:textId="77777777" w:rsidR="00011464" w:rsidRPr="00011464" w:rsidRDefault="00011464" w:rsidP="00011464">
            <w:r w:rsidRPr="00011464">
              <w:t>19</w:t>
            </w:r>
          </w:p>
        </w:tc>
        <w:tc>
          <w:tcPr>
            <w:tcW w:w="3600" w:type="dxa"/>
            <w:hideMark/>
          </w:tcPr>
          <w:p w14:paraId="0A9D3B1F" w14:textId="77777777" w:rsidR="00011464" w:rsidRPr="00011464" w:rsidRDefault="00011464" w:rsidP="00011464">
            <w:r w:rsidRPr="00011464">
              <w:t>Guidelines for communications, transparency and disclosures</w:t>
            </w:r>
          </w:p>
        </w:tc>
        <w:tc>
          <w:tcPr>
            <w:tcW w:w="4320" w:type="dxa"/>
            <w:hideMark/>
          </w:tcPr>
          <w:p w14:paraId="4CF1B9A7" w14:textId="77777777" w:rsidR="00011464" w:rsidRPr="00011464" w:rsidRDefault="00011464" w:rsidP="00011464"/>
        </w:tc>
      </w:tr>
      <w:tr w:rsidR="00011464" w:rsidRPr="00011464" w14:paraId="2A86D254"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7B6E25D2" w14:textId="77777777" w:rsidR="00011464" w:rsidRPr="00011464" w:rsidRDefault="00011464" w:rsidP="00011464">
            <w:r w:rsidRPr="00011464">
              <w:lastRenderedPageBreak/>
              <w:t>20</w:t>
            </w:r>
          </w:p>
        </w:tc>
        <w:tc>
          <w:tcPr>
            <w:tcW w:w="3600" w:type="dxa"/>
            <w:hideMark/>
          </w:tcPr>
          <w:p w14:paraId="4BADE43F" w14:textId="77777777" w:rsidR="00011464" w:rsidRPr="00011464" w:rsidRDefault="00011464" w:rsidP="00011464">
            <w:r w:rsidRPr="00011464">
              <w:t>Other guidelines</w:t>
            </w:r>
          </w:p>
        </w:tc>
        <w:tc>
          <w:tcPr>
            <w:tcW w:w="4320" w:type="dxa"/>
            <w:hideMark/>
          </w:tcPr>
          <w:p w14:paraId="691A2192" w14:textId="46A8B844" w:rsidR="00011464" w:rsidRPr="00011464" w:rsidRDefault="00011464" w:rsidP="00011464">
            <w:r w:rsidRPr="00011464">
              <w:t>- Revision of policies and procedures</w:t>
            </w:r>
            <w:r w:rsidRPr="00011464">
              <w:br/>
              <w:t>- Capacity-building requirements</w:t>
            </w:r>
            <w:r w:rsidRPr="00011464">
              <w:br/>
              <w:t xml:space="preserve">- Revision of legal agreements / adjustments / </w:t>
            </w:r>
            <w:r w:rsidR="00143CCC" w:rsidRPr="00011464">
              <w:t>memorandum</w:t>
            </w:r>
            <w:r w:rsidRPr="00011464">
              <w:t xml:space="preserve"> and articles of association</w:t>
            </w:r>
          </w:p>
        </w:tc>
      </w:tr>
      <w:tr w:rsidR="00011464" w:rsidRPr="00011464" w14:paraId="34B4EDA5"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113FB6C3" w14:textId="77777777" w:rsidR="00011464" w:rsidRPr="00011464" w:rsidRDefault="00011464" w:rsidP="00011464">
            <w:r w:rsidRPr="00011464">
              <w:t>21</w:t>
            </w:r>
          </w:p>
        </w:tc>
        <w:tc>
          <w:tcPr>
            <w:tcW w:w="3600" w:type="dxa"/>
            <w:hideMark/>
          </w:tcPr>
          <w:p w14:paraId="54530CF0" w14:textId="77777777" w:rsidR="00011464" w:rsidRPr="00011464" w:rsidRDefault="00011464" w:rsidP="00011464">
            <w:r w:rsidRPr="00011464">
              <w:t>Case studies and market experiences</w:t>
            </w:r>
          </w:p>
        </w:tc>
        <w:tc>
          <w:tcPr>
            <w:tcW w:w="4320" w:type="dxa"/>
            <w:hideMark/>
          </w:tcPr>
          <w:p w14:paraId="11243293" w14:textId="77777777" w:rsidR="00011464" w:rsidRPr="00011464" w:rsidRDefault="00011464" w:rsidP="00011464"/>
        </w:tc>
      </w:tr>
      <w:tr w:rsidR="00011464" w:rsidRPr="00011464" w14:paraId="1C3C1F90"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1C0DAE48" w14:textId="77777777" w:rsidR="00011464" w:rsidRPr="00011464" w:rsidRDefault="00011464" w:rsidP="00011464">
            <w:r w:rsidRPr="00011464">
              <w:t>22</w:t>
            </w:r>
          </w:p>
        </w:tc>
        <w:tc>
          <w:tcPr>
            <w:tcW w:w="3600" w:type="dxa"/>
            <w:hideMark/>
          </w:tcPr>
          <w:p w14:paraId="53E3C3BE" w14:textId="77777777" w:rsidR="00011464" w:rsidRPr="00011464" w:rsidRDefault="00011464" w:rsidP="00011464">
            <w:r w:rsidRPr="00011464">
              <w:t>Brief discussion on government level conversion</w:t>
            </w:r>
          </w:p>
        </w:tc>
        <w:tc>
          <w:tcPr>
            <w:tcW w:w="4320" w:type="dxa"/>
            <w:hideMark/>
          </w:tcPr>
          <w:p w14:paraId="63D923B7" w14:textId="77777777" w:rsidR="00011464" w:rsidRPr="00011464" w:rsidRDefault="00011464" w:rsidP="00011464">
            <w:r w:rsidRPr="00011464">
              <w:t>- to be briefly touched upon</w:t>
            </w:r>
            <w:r w:rsidRPr="00011464">
              <w:br/>
              <w:t>- Brief country conversion roadmap</w:t>
            </w:r>
          </w:p>
        </w:tc>
      </w:tr>
      <w:tr w:rsidR="00011464" w:rsidRPr="00011464" w14:paraId="289A9447"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4993A95C" w14:textId="77777777" w:rsidR="00011464" w:rsidRPr="00011464" w:rsidRDefault="00011464" w:rsidP="00011464">
            <w:r w:rsidRPr="00011464">
              <w:t>23</w:t>
            </w:r>
          </w:p>
        </w:tc>
        <w:tc>
          <w:tcPr>
            <w:tcW w:w="3600" w:type="dxa"/>
            <w:hideMark/>
          </w:tcPr>
          <w:p w14:paraId="40D5044A" w14:textId="77777777" w:rsidR="00011464" w:rsidRPr="00011464" w:rsidRDefault="00011464" w:rsidP="00011464">
            <w:r w:rsidRPr="00011464">
              <w:t>Conclusion</w:t>
            </w:r>
          </w:p>
        </w:tc>
        <w:tc>
          <w:tcPr>
            <w:tcW w:w="4320" w:type="dxa"/>
            <w:hideMark/>
          </w:tcPr>
          <w:p w14:paraId="47126ADE" w14:textId="77777777" w:rsidR="00011464" w:rsidRPr="00011464" w:rsidRDefault="00011464" w:rsidP="00011464"/>
        </w:tc>
      </w:tr>
      <w:tr w:rsidR="00011464" w:rsidRPr="00011464" w14:paraId="4ADA7E9A" w14:textId="77777777" w:rsidTr="000F4BB4">
        <w:trPr>
          <w:cnfStyle w:val="000000010000" w:firstRow="0" w:lastRow="0" w:firstColumn="0" w:lastColumn="0" w:oddVBand="0" w:evenVBand="0" w:oddHBand="0" w:evenHBand="1" w:firstRowFirstColumn="0" w:firstRowLastColumn="0" w:lastRowFirstColumn="0" w:lastRowLastColumn="0"/>
          <w:trHeight w:val="20"/>
        </w:trPr>
        <w:tc>
          <w:tcPr>
            <w:tcW w:w="720" w:type="dxa"/>
            <w:hideMark/>
          </w:tcPr>
          <w:p w14:paraId="4D372229" w14:textId="77777777" w:rsidR="00011464" w:rsidRPr="00011464" w:rsidRDefault="00011464" w:rsidP="00011464">
            <w:r w:rsidRPr="00011464">
              <w:t>24</w:t>
            </w:r>
          </w:p>
        </w:tc>
        <w:tc>
          <w:tcPr>
            <w:tcW w:w="3600" w:type="dxa"/>
            <w:hideMark/>
          </w:tcPr>
          <w:p w14:paraId="57266BD7" w14:textId="77777777" w:rsidR="00011464" w:rsidRPr="00011464" w:rsidRDefault="00011464" w:rsidP="00011464">
            <w:r w:rsidRPr="00011464">
              <w:t>Index</w:t>
            </w:r>
          </w:p>
        </w:tc>
        <w:tc>
          <w:tcPr>
            <w:tcW w:w="4320" w:type="dxa"/>
            <w:hideMark/>
          </w:tcPr>
          <w:p w14:paraId="7803F4FD" w14:textId="77777777" w:rsidR="00011464" w:rsidRPr="00011464" w:rsidRDefault="00011464" w:rsidP="00011464"/>
        </w:tc>
      </w:tr>
      <w:tr w:rsidR="00011464" w:rsidRPr="00011464" w14:paraId="5A01D9FD" w14:textId="77777777" w:rsidTr="000F4BB4">
        <w:trPr>
          <w:cnfStyle w:val="000000100000" w:firstRow="0" w:lastRow="0" w:firstColumn="0" w:lastColumn="0" w:oddVBand="0" w:evenVBand="0" w:oddHBand="1" w:evenHBand="0" w:firstRowFirstColumn="0" w:firstRowLastColumn="0" w:lastRowFirstColumn="0" w:lastRowLastColumn="0"/>
          <w:trHeight w:val="20"/>
        </w:trPr>
        <w:tc>
          <w:tcPr>
            <w:tcW w:w="720" w:type="dxa"/>
            <w:hideMark/>
          </w:tcPr>
          <w:p w14:paraId="3B37BAFA" w14:textId="77777777" w:rsidR="00011464" w:rsidRPr="00011464" w:rsidRDefault="00011464" w:rsidP="00011464">
            <w:r w:rsidRPr="00011464">
              <w:t>25</w:t>
            </w:r>
          </w:p>
        </w:tc>
        <w:tc>
          <w:tcPr>
            <w:tcW w:w="3600" w:type="dxa"/>
            <w:hideMark/>
          </w:tcPr>
          <w:p w14:paraId="640CEB46" w14:textId="77777777" w:rsidR="00011464" w:rsidRPr="00011464" w:rsidRDefault="00011464" w:rsidP="00011464">
            <w:r w:rsidRPr="00011464">
              <w:t>Appendices</w:t>
            </w:r>
          </w:p>
        </w:tc>
        <w:tc>
          <w:tcPr>
            <w:tcW w:w="4320" w:type="dxa"/>
            <w:hideMark/>
          </w:tcPr>
          <w:p w14:paraId="5EAAD031" w14:textId="77777777" w:rsidR="00011464" w:rsidRPr="00011464" w:rsidRDefault="00011464" w:rsidP="00011464">
            <w:r w:rsidRPr="00011464">
              <w:t>Interview questionnaires and surveys</w:t>
            </w:r>
          </w:p>
        </w:tc>
      </w:tr>
    </w:tbl>
    <w:p w14:paraId="34456B36" w14:textId="77777777" w:rsidR="00011464" w:rsidRPr="006766D8" w:rsidRDefault="00011464" w:rsidP="00810CC9">
      <w:pPr>
        <w:sectPr w:rsidR="00011464" w:rsidRPr="006766D8" w:rsidSect="00091E50">
          <w:headerReference w:type="default" r:id="rId14"/>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5"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51B1D714" w:rsidR="001143DE" w:rsidRPr="006766D8" w:rsidRDefault="001143DE" w:rsidP="00243ABB">
            <w:pPr>
              <w:pStyle w:val="ListParagraph"/>
              <w:numPr>
                <w:ilvl w:val="0"/>
                <w:numId w:val="0"/>
              </w:numPr>
            </w:pPr>
            <w:r w:rsidRPr="006766D8">
              <w:t>S.</w:t>
            </w:r>
            <w:r w:rsidR="00143CCC">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 xml:space="preserve">I shall be available for the services from ____________ </w:t>
      </w:r>
      <w:proofErr w:type="spellStart"/>
      <w:r w:rsidRPr="006766D8">
        <w:t>to</w:t>
      </w:r>
      <w:proofErr w:type="spellEnd"/>
      <w:r w:rsidR="009D0FB9" w:rsidRPr="006766D8">
        <w:t xml:space="preserve"> </w:t>
      </w:r>
      <w:r w:rsidRPr="006766D8">
        <w:t>____________.</w:t>
      </w:r>
    </w:p>
    <w:p w14:paraId="2DB78213" w14:textId="77777777" w:rsidR="00F035C1" w:rsidRPr="006766D8" w:rsidRDefault="00F00EC5" w:rsidP="00F035C1">
      <w:pPr>
        <w:pStyle w:val="Heading1"/>
      </w:pPr>
      <w:r w:rsidRPr="006766D8">
        <w:lastRenderedPageBreak/>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 xml:space="preserve">ppendix A), for this </w:t>
      </w:r>
      <w:proofErr w:type="gramStart"/>
      <w:r w:rsidRPr="006766D8">
        <w:t>assignment</w:t>
      </w:r>
      <w:r w:rsidR="0030336F" w:rsidRPr="006766D8">
        <w:t>;</w:t>
      </w:r>
      <w:proofErr w:type="gramEnd"/>
    </w:p>
    <w:p w14:paraId="241A46EA" w14:textId="35C3F1E0" w:rsidR="0030336F" w:rsidRPr="006766D8" w:rsidRDefault="00F00EC5" w:rsidP="0030336F">
      <w:pPr>
        <w:pStyle w:val="ListParagraph"/>
        <w:numPr>
          <w:ilvl w:val="1"/>
          <w:numId w:val="44"/>
        </w:numPr>
      </w:pPr>
      <w:r w:rsidRPr="006766D8">
        <w:t xml:space="preserve">I confirm that the project references submitted as part of this EOI accurately reflect the experience of </w:t>
      </w:r>
      <w:proofErr w:type="gramStart"/>
      <w:r w:rsidRPr="006766D8">
        <w:t>myself</w:t>
      </w:r>
      <w:r w:rsidR="00333302" w:rsidRPr="006766D8">
        <w:t>;</w:t>
      </w:r>
      <w:proofErr w:type="gramEnd"/>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w:t>
      </w:r>
      <w:proofErr w:type="gramStart"/>
      <w:r w:rsidRPr="006766D8">
        <w:t>mislead, or</w:t>
      </w:r>
      <w:proofErr w:type="gramEnd"/>
      <w:r w:rsidRPr="006766D8">
        <w:t xml:space="preserve">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6"/>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4E94" w14:textId="77777777" w:rsidR="0008596A" w:rsidRPr="00114C8C" w:rsidRDefault="0008596A" w:rsidP="00BF4A2C">
      <w:r w:rsidRPr="00114C8C">
        <w:separator/>
      </w:r>
    </w:p>
  </w:endnote>
  <w:endnote w:type="continuationSeparator" w:id="0">
    <w:p w14:paraId="6BCE1408" w14:textId="77777777" w:rsidR="0008596A" w:rsidRPr="00114C8C" w:rsidRDefault="0008596A"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9ADA" w14:textId="77777777" w:rsidR="0008596A" w:rsidRPr="00114C8C" w:rsidRDefault="0008596A" w:rsidP="00BF4A2C">
      <w:r w:rsidRPr="00114C8C">
        <w:separator/>
      </w:r>
    </w:p>
  </w:footnote>
  <w:footnote w:type="continuationSeparator" w:id="0">
    <w:p w14:paraId="3E0FFE33" w14:textId="77777777" w:rsidR="0008596A" w:rsidRPr="00114C8C" w:rsidRDefault="0008596A"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1BED" w14:textId="30C32480" w:rsidR="00823973" w:rsidRDefault="00823973">
    <w:pPr>
      <w:pStyle w:val="Header"/>
    </w:pPr>
    <w:r>
      <w:rPr>
        <w:noProof/>
      </w:rPr>
      <mc:AlternateContent>
        <mc:Choice Requires="wps">
          <w:drawing>
            <wp:anchor distT="0" distB="0" distL="0" distR="0" simplePos="0" relativeHeight="251659264" behindDoc="0" locked="0" layoutInCell="1" allowOverlap="1" wp14:anchorId="495C1AC4" wp14:editId="2FC33264">
              <wp:simplePos x="635" y="635"/>
              <wp:positionH relativeFrom="page">
                <wp:align>left</wp:align>
              </wp:positionH>
              <wp:positionV relativeFrom="page">
                <wp:align>top</wp:align>
              </wp:positionV>
              <wp:extent cx="789940" cy="368935"/>
              <wp:effectExtent l="0" t="0" r="10160" b="12065"/>
              <wp:wrapNone/>
              <wp:docPr id="22392255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65902D0A" w14:textId="671CC7F9"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5C1AC4"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textbox style="mso-fit-shape-to-text:t" inset="20pt,15pt,0,0">
                <w:txbxContent>
                  <w:p w14:paraId="65902D0A" w14:textId="671CC7F9"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00E3BA81" w:rsidR="00204C72" w:rsidRPr="00204C72" w:rsidRDefault="00823973"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3B768E5A" wp14:editId="38DEE3AE">
              <wp:simplePos x="687121" y="449272"/>
              <wp:positionH relativeFrom="page">
                <wp:align>left</wp:align>
              </wp:positionH>
              <wp:positionV relativeFrom="page">
                <wp:align>top</wp:align>
              </wp:positionV>
              <wp:extent cx="789940" cy="368935"/>
              <wp:effectExtent l="0" t="0" r="10160" b="12065"/>
              <wp:wrapNone/>
              <wp:docPr id="231662128"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63CCE311" w14:textId="462FFEF5"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768E5A"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textbox style="mso-fit-shape-to-text:t" inset="20pt,15pt,0,0">
                <w:txbxContent>
                  <w:p w14:paraId="63CCE311" w14:textId="462FFEF5"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5D84" w14:textId="04898990" w:rsidR="00823973" w:rsidRDefault="00823973">
    <w:pPr>
      <w:pStyle w:val="Header"/>
    </w:pPr>
    <w:r>
      <w:rPr>
        <w:noProof/>
      </w:rPr>
      <mc:AlternateContent>
        <mc:Choice Requires="wps">
          <w:drawing>
            <wp:anchor distT="0" distB="0" distL="0" distR="0" simplePos="0" relativeHeight="251658240" behindDoc="0" locked="0" layoutInCell="1" allowOverlap="1" wp14:anchorId="2B6F1987" wp14:editId="78E93683">
              <wp:simplePos x="635" y="635"/>
              <wp:positionH relativeFrom="page">
                <wp:align>left</wp:align>
              </wp:positionH>
              <wp:positionV relativeFrom="page">
                <wp:align>top</wp:align>
              </wp:positionV>
              <wp:extent cx="789940" cy="368935"/>
              <wp:effectExtent l="0" t="0" r="10160" b="12065"/>
              <wp:wrapNone/>
              <wp:docPr id="17352434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24818E05" w14:textId="19320A58"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6F1987"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textbox style="mso-fit-shape-to-text:t" inset="20pt,15pt,0,0">
                <w:txbxContent>
                  <w:p w14:paraId="24818E05" w14:textId="19320A58"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51AD303F" w:rsidR="00204C72" w:rsidRPr="00204C72" w:rsidRDefault="00823973"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7C20C330" wp14:editId="035858B7">
              <wp:simplePos x="635" y="635"/>
              <wp:positionH relativeFrom="page">
                <wp:align>left</wp:align>
              </wp:positionH>
              <wp:positionV relativeFrom="page">
                <wp:align>top</wp:align>
              </wp:positionV>
              <wp:extent cx="789940" cy="368935"/>
              <wp:effectExtent l="0" t="0" r="10160" b="12065"/>
              <wp:wrapNone/>
              <wp:docPr id="1744254448"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68B27804" w14:textId="21B31124"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20C330"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textbox style="mso-fit-shape-to-text:t" inset="20pt,15pt,0,0">
                <w:txbxContent>
                  <w:p w14:paraId="68B27804" w14:textId="21B31124"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6E944519" w:rsidR="00A831A1" w:rsidRPr="00204C72" w:rsidRDefault="00823973"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492BB084" wp14:editId="0E12060F">
              <wp:simplePos x="635" y="635"/>
              <wp:positionH relativeFrom="page">
                <wp:align>left</wp:align>
              </wp:positionH>
              <wp:positionV relativeFrom="page">
                <wp:align>top</wp:align>
              </wp:positionV>
              <wp:extent cx="789940" cy="368935"/>
              <wp:effectExtent l="0" t="0" r="10160" b="12065"/>
              <wp:wrapNone/>
              <wp:docPr id="171757127"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0ECDE8F2" w14:textId="0C6E550C"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2BB084"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textbox style="mso-fit-shape-to-text:t" inset="20pt,15pt,0,0">
                <w:txbxContent>
                  <w:p w14:paraId="0ECDE8F2" w14:textId="0C6E550C" w:rsidR="00823973" w:rsidRPr="00823973" w:rsidRDefault="00823973" w:rsidP="00823973">
                    <w:pPr>
                      <w:spacing w:after="0"/>
                      <w:rPr>
                        <w:rFonts w:ascii="Aptos" w:eastAsia="Aptos" w:hAnsi="Aptos" w:cs="Aptos"/>
                        <w:noProof/>
                        <w:color w:val="000000"/>
                        <w:sz w:val="20"/>
                        <w:szCs w:val="20"/>
                      </w:rPr>
                    </w:pPr>
                    <w:r w:rsidRPr="00823973">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306EB0"/>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4" w15:restartNumberingAfterBreak="0">
    <w:nsid w:val="21527C06"/>
    <w:multiLevelType w:val="multilevel"/>
    <w:tmpl w:val="B0B0F14E"/>
    <w:numStyleLink w:val="alphabeticlist"/>
  </w:abstractNum>
  <w:abstractNum w:abstractNumId="15"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7" w15:restartNumberingAfterBreak="0">
    <w:nsid w:val="2D3E6808"/>
    <w:multiLevelType w:val="multilevel"/>
    <w:tmpl w:val="B0B0F14E"/>
    <w:numStyleLink w:val="alphabeticlist"/>
  </w:abstractNum>
  <w:abstractNum w:abstractNumId="18" w15:restartNumberingAfterBreak="0">
    <w:nsid w:val="348D43A9"/>
    <w:multiLevelType w:val="multilevel"/>
    <w:tmpl w:val="B0B0F14E"/>
    <w:numStyleLink w:val="alphabeticlist"/>
  </w:abstractNum>
  <w:abstractNum w:abstractNumId="19" w15:restartNumberingAfterBreak="0">
    <w:nsid w:val="36144C33"/>
    <w:multiLevelType w:val="multilevel"/>
    <w:tmpl w:val="B0B0F14E"/>
    <w:numStyleLink w:val="alphabeticlist"/>
  </w:abstractNum>
  <w:abstractNum w:abstractNumId="20"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1"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2"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3"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4" w15:restartNumberingAfterBreak="0">
    <w:nsid w:val="458F3902"/>
    <w:multiLevelType w:val="multilevel"/>
    <w:tmpl w:val="B0B0F14E"/>
    <w:numStyleLink w:val="alphabeticlist"/>
  </w:abstractNum>
  <w:abstractNum w:abstractNumId="25"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6"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7"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9"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0" w15:restartNumberingAfterBreak="0">
    <w:nsid w:val="575646FD"/>
    <w:multiLevelType w:val="multilevel"/>
    <w:tmpl w:val="B0B0F14E"/>
    <w:numStyleLink w:val="alphabeticlist"/>
  </w:abstractNum>
  <w:abstractNum w:abstractNumId="31"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2"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3" w15:restartNumberingAfterBreak="0">
    <w:nsid w:val="68B12C1B"/>
    <w:multiLevelType w:val="multilevel"/>
    <w:tmpl w:val="B0B0F14E"/>
    <w:numStyleLink w:val="alphabeticlist"/>
  </w:abstractNum>
  <w:abstractNum w:abstractNumId="34"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6"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7"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9"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8551967"/>
    <w:multiLevelType w:val="multilevel"/>
    <w:tmpl w:val="B0B0F14E"/>
    <w:numStyleLink w:val="alphabeticlist"/>
  </w:abstractNum>
  <w:abstractNum w:abstractNumId="41"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2"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39"/>
  </w:num>
  <w:num w:numId="4" w16cid:durableId="2040355165">
    <w:abstractNumId w:val="9"/>
  </w:num>
  <w:num w:numId="5" w16cid:durableId="956906937">
    <w:abstractNumId w:val="22"/>
  </w:num>
  <w:num w:numId="6" w16cid:durableId="1030763697">
    <w:abstractNumId w:val="37"/>
  </w:num>
  <w:num w:numId="7" w16cid:durableId="1754622550">
    <w:abstractNumId w:val="17"/>
  </w:num>
  <w:num w:numId="8" w16cid:durableId="84957830">
    <w:abstractNumId w:val="11"/>
  </w:num>
  <w:num w:numId="9" w16cid:durableId="273557635">
    <w:abstractNumId w:val="10"/>
  </w:num>
  <w:num w:numId="10" w16cid:durableId="1326319021">
    <w:abstractNumId w:val="42"/>
  </w:num>
  <w:num w:numId="11" w16cid:durableId="980959296">
    <w:abstractNumId w:val="14"/>
  </w:num>
  <w:num w:numId="12" w16cid:durableId="1331523949">
    <w:abstractNumId w:val="18"/>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30"/>
  </w:num>
  <w:num w:numId="15" w16cid:durableId="1460956043">
    <w:abstractNumId w:val="3"/>
  </w:num>
  <w:num w:numId="16" w16cid:durableId="1295794166">
    <w:abstractNumId w:val="21"/>
  </w:num>
  <w:num w:numId="17" w16cid:durableId="1111127724">
    <w:abstractNumId w:val="33"/>
  </w:num>
  <w:num w:numId="18" w16cid:durableId="556211198">
    <w:abstractNumId w:val="35"/>
  </w:num>
  <w:num w:numId="19" w16cid:durableId="219175742">
    <w:abstractNumId w:val="27"/>
  </w:num>
  <w:num w:numId="20" w16cid:durableId="1219711272">
    <w:abstractNumId w:val="34"/>
  </w:num>
  <w:num w:numId="21" w16cid:durableId="1137651330">
    <w:abstractNumId w:val="4"/>
  </w:num>
  <w:num w:numId="22" w16cid:durableId="656417451">
    <w:abstractNumId w:val="12"/>
  </w:num>
  <w:num w:numId="23" w16cid:durableId="80566737">
    <w:abstractNumId w:val="40"/>
  </w:num>
  <w:num w:numId="24" w16cid:durableId="10285273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4"/>
  </w:num>
  <w:num w:numId="27" w16cid:durableId="911088265">
    <w:abstractNumId w:val="19"/>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6"/>
  </w:num>
  <w:num w:numId="29" w16cid:durableId="103691948">
    <w:abstractNumId w:val="15"/>
  </w:num>
  <w:num w:numId="30" w16cid:durableId="1685748060">
    <w:abstractNumId w:val="2"/>
  </w:num>
  <w:num w:numId="31" w16cid:durableId="1357270523">
    <w:abstractNumId w:val="31"/>
  </w:num>
  <w:num w:numId="32" w16cid:durableId="1256862855">
    <w:abstractNumId w:val="32"/>
  </w:num>
  <w:num w:numId="33" w16cid:durableId="15699975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5"/>
  </w:num>
  <w:num w:numId="36" w16cid:durableId="1582983916">
    <w:abstractNumId w:val="16"/>
  </w:num>
  <w:num w:numId="37" w16cid:durableId="1790591206">
    <w:abstractNumId w:val="41"/>
  </w:num>
  <w:num w:numId="38" w16cid:durableId="112526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29"/>
  </w:num>
  <w:num w:numId="40" w16cid:durableId="1581214273">
    <w:abstractNumId w:val="8"/>
  </w:num>
  <w:num w:numId="41" w16cid:durableId="2079554386">
    <w:abstractNumId w:val="20"/>
  </w:num>
  <w:num w:numId="42" w16cid:durableId="1000893048">
    <w:abstractNumId w:val="28"/>
  </w:num>
  <w:num w:numId="43" w16cid:durableId="1257440269">
    <w:abstractNumId w:val="6"/>
  </w:num>
  <w:num w:numId="44" w16cid:durableId="1603412568">
    <w:abstractNumId w:val="26"/>
  </w:num>
  <w:num w:numId="45" w16cid:durableId="1380007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853200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464"/>
    <w:rsid w:val="00011525"/>
    <w:rsid w:val="00013791"/>
    <w:rsid w:val="00021A49"/>
    <w:rsid w:val="0002708B"/>
    <w:rsid w:val="00027B51"/>
    <w:rsid w:val="00032255"/>
    <w:rsid w:val="00033699"/>
    <w:rsid w:val="00035893"/>
    <w:rsid w:val="00063DFE"/>
    <w:rsid w:val="00063FEA"/>
    <w:rsid w:val="0006710B"/>
    <w:rsid w:val="0006717C"/>
    <w:rsid w:val="00076DAC"/>
    <w:rsid w:val="000800F5"/>
    <w:rsid w:val="0008596A"/>
    <w:rsid w:val="0008640D"/>
    <w:rsid w:val="00086737"/>
    <w:rsid w:val="00090665"/>
    <w:rsid w:val="00091E50"/>
    <w:rsid w:val="000A604B"/>
    <w:rsid w:val="000B0E1F"/>
    <w:rsid w:val="000B64C4"/>
    <w:rsid w:val="000C0DE7"/>
    <w:rsid w:val="000C3AAD"/>
    <w:rsid w:val="000C627A"/>
    <w:rsid w:val="000C6A0D"/>
    <w:rsid w:val="000D0902"/>
    <w:rsid w:val="000D1DC6"/>
    <w:rsid w:val="000D656B"/>
    <w:rsid w:val="000D6C40"/>
    <w:rsid w:val="000F4BB4"/>
    <w:rsid w:val="001002DD"/>
    <w:rsid w:val="001143DE"/>
    <w:rsid w:val="00114C8C"/>
    <w:rsid w:val="00117B68"/>
    <w:rsid w:val="00121329"/>
    <w:rsid w:val="001331D6"/>
    <w:rsid w:val="0014132B"/>
    <w:rsid w:val="00143CCC"/>
    <w:rsid w:val="0014661E"/>
    <w:rsid w:val="0015358F"/>
    <w:rsid w:val="0015563E"/>
    <w:rsid w:val="001643BA"/>
    <w:rsid w:val="0016649A"/>
    <w:rsid w:val="001705E5"/>
    <w:rsid w:val="00184DCC"/>
    <w:rsid w:val="0019561D"/>
    <w:rsid w:val="00195CFB"/>
    <w:rsid w:val="001A4478"/>
    <w:rsid w:val="001A4E7D"/>
    <w:rsid w:val="001B10D4"/>
    <w:rsid w:val="001B6175"/>
    <w:rsid w:val="001C322A"/>
    <w:rsid w:val="001C675F"/>
    <w:rsid w:val="001D5CE0"/>
    <w:rsid w:val="001E178D"/>
    <w:rsid w:val="001F6BCB"/>
    <w:rsid w:val="001F7A9F"/>
    <w:rsid w:val="00204C72"/>
    <w:rsid w:val="00214FF0"/>
    <w:rsid w:val="002260D4"/>
    <w:rsid w:val="0023032D"/>
    <w:rsid w:val="00241E84"/>
    <w:rsid w:val="00243ABB"/>
    <w:rsid w:val="00257715"/>
    <w:rsid w:val="0026268B"/>
    <w:rsid w:val="00287D05"/>
    <w:rsid w:val="00292E57"/>
    <w:rsid w:val="002A30AC"/>
    <w:rsid w:val="002C1A75"/>
    <w:rsid w:val="002C4448"/>
    <w:rsid w:val="002C5AAF"/>
    <w:rsid w:val="002C5AB5"/>
    <w:rsid w:val="002D6EBC"/>
    <w:rsid w:val="002D7B20"/>
    <w:rsid w:val="002E7CF2"/>
    <w:rsid w:val="002F5C16"/>
    <w:rsid w:val="00303169"/>
    <w:rsid w:val="0030336F"/>
    <w:rsid w:val="00307522"/>
    <w:rsid w:val="00315828"/>
    <w:rsid w:val="00317365"/>
    <w:rsid w:val="00320B13"/>
    <w:rsid w:val="0032297C"/>
    <w:rsid w:val="00333302"/>
    <w:rsid w:val="00333BCE"/>
    <w:rsid w:val="00336A64"/>
    <w:rsid w:val="00342211"/>
    <w:rsid w:val="00345F62"/>
    <w:rsid w:val="00371B52"/>
    <w:rsid w:val="00376942"/>
    <w:rsid w:val="00383B0B"/>
    <w:rsid w:val="00393006"/>
    <w:rsid w:val="003A30F8"/>
    <w:rsid w:val="003A6988"/>
    <w:rsid w:val="003A7937"/>
    <w:rsid w:val="003B0E18"/>
    <w:rsid w:val="003B591A"/>
    <w:rsid w:val="003B7A2C"/>
    <w:rsid w:val="003C76C7"/>
    <w:rsid w:val="003D0AEC"/>
    <w:rsid w:val="003D11EF"/>
    <w:rsid w:val="003D4F17"/>
    <w:rsid w:val="003E09FD"/>
    <w:rsid w:val="003E377F"/>
    <w:rsid w:val="003F35F4"/>
    <w:rsid w:val="004044F6"/>
    <w:rsid w:val="00405AEB"/>
    <w:rsid w:val="00406738"/>
    <w:rsid w:val="00410280"/>
    <w:rsid w:val="00416A85"/>
    <w:rsid w:val="0042055B"/>
    <w:rsid w:val="00420961"/>
    <w:rsid w:val="004268C5"/>
    <w:rsid w:val="00437788"/>
    <w:rsid w:val="004439F1"/>
    <w:rsid w:val="004507AF"/>
    <w:rsid w:val="00466BFD"/>
    <w:rsid w:val="00470155"/>
    <w:rsid w:val="00472602"/>
    <w:rsid w:val="004952AA"/>
    <w:rsid w:val="004B16ED"/>
    <w:rsid w:val="004B2D23"/>
    <w:rsid w:val="004C1488"/>
    <w:rsid w:val="004C24D9"/>
    <w:rsid w:val="004D0C38"/>
    <w:rsid w:val="004D2F97"/>
    <w:rsid w:val="004E4E3D"/>
    <w:rsid w:val="004E7644"/>
    <w:rsid w:val="004F21FE"/>
    <w:rsid w:val="004F4F60"/>
    <w:rsid w:val="00503616"/>
    <w:rsid w:val="005105F9"/>
    <w:rsid w:val="00514BAC"/>
    <w:rsid w:val="00514F1A"/>
    <w:rsid w:val="005157FF"/>
    <w:rsid w:val="00530598"/>
    <w:rsid w:val="00531CC4"/>
    <w:rsid w:val="00532415"/>
    <w:rsid w:val="0054197A"/>
    <w:rsid w:val="00542EC4"/>
    <w:rsid w:val="0055167A"/>
    <w:rsid w:val="0056340B"/>
    <w:rsid w:val="00574E0F"/>
    <w:rsid w:val="00580B5B"/>
    <w:rsid w:val="00583322"/>
    <w:rsid w:val="00583417"/>
    <w:rsid w:val="00587B94"/>
    <w:rsid w:val="005933F3"/>
    <w:rsid w:val="00594B05"/>
    <w:rsid w:val="00595D9B"/>
    <w:rsid w:val="005A232B"/>
    <w:rsid w:val="005A6FB3"/>
    <w:rsid w:val="005B49B5"/>
    <w:rsid w:val="005C4F05"/>
    <w:rsid w:val="00603A34"/>
    <w:rsid w:val="00606C6E"/>
    <w:rsid w:val="00607F72"/>
    <w:rsid w:val="00631AD4"/>
    <w:rsid w:val="00634956"/>
    <w:rsid w:val="00636CAC"/>
    <w:rsid w:val="00637F6B"/>
    <w:rsid w:val="00642617"/>
    <w:rsid w:val="00642E65"/>
    <w:rsid w:val="00652E43"/>
    <w:rsid w:val="00661B0F"/>
    <w:rsid w:val="00674674"/>
    <w:rsid w:val="006766D8"/>
    <w:rsid w:val="00680F57"/>
    <w:rsid w:val="00691A9B"/>
    <w:rsid w:val="00692CB6"/>
    <w:rsid w:val="006942F8"/>
    <w:rsid w:val="00695011"/>
    <w:rsid w:val="006A22B3"/>
    <w:rsid w:val="006B7A11"/>
    <w:rsid w:val="006B7A34"/>
    <w:rsid w:val="006C2875"/>
    <w:rsid w:val="006C2E2F"/>
    <w:rsid w:val="006C729E"/>
    <w:rsid w:val="006D4EAB"/>
    <w:rsid w:val="006E1350"/>
    <w:rsid w:val="006E1AE6"/>
    <w:rsid w:val="006E67D3"/>
    <w:rsid w:val="0070715E"/>
    <w:rsid w:val="007125F2"/>
    <w:rsid w:val="00713CD9"/>
    <w:rsid w:val="00721A21"/>
    <w:rsid w:val="00725935"/>
    <w:rsid w:val="00732034"/>
    <w:rsid w:val="00733C4F"/>
    <w:rsid w:val="00733D2B"/>
    <w:rsid w:val="0073571A"/>
    <w:rsid w:val="00735DA8"/>
    <w:rsid w:val="00736746"/>
    <w:rsid w:val="00737CE3"/>
    <w:rsid w:val="00745253"/>
    <w:rsid w:val="00745AA8"/>
    <w:rsid w:val="00751DBD"/>
    <w:rsid w:val="00753591"/>
    <w:rsid w:val="007738DD"/>
    <w:rsid w:val="00782786"/>
    <w:rsid w:val="0078719A"/>
    <w:rsid w:val="00787486"/>
    <w:rsid w:val="007906C3"/>
    <w:rsid w:val="00795C8B"/>
    <w:rsid w:val="00796709"/>
    <w:rsid w:val="007977FA"/>
    <w:rsid w:val="007A2DFD"/>
    <w:rsid w:val="007A4E96"/>
    <w:rsid w:val="007A59DA"/>
    <w:rsid w:val="007A6D39"/>
    <w:rsid w:val="007B1486"/>
    <w:rsid w:val="007B6142"/>
    <w:rsid w:val="007E2A9D"/>
    <w:rsid w:val="007E6F40"/>
    <w:rsid w:val="007F5708"/>
    <w:rsid w:val="00804356"/>
    <w:rsid w:val="00810A72"/>
    <w:rsid w:val="00810CC9"/>
    <w:rsid w:val="00814ACD"/>
    <w:rsid w:val="008152CD"/>
    <w:rsid w:val="00821891"/>
    <w:rsid w:val="00823017"/>
    <w:rsid w:val="00823290"/>
    <w:rsid w:val="00823973"/>
    <w:rsid w:val="008241B5"/>
    <w:rsid w:val="00824CF2"/>
    <w:rsid w:val="00831B0D"/>
    <w:rsid w:val="00835055"/>
    <w:rsid w:val="00837A14"/>
    <w:rsid w:val="0085044A"/>
    <w:rsid w:val="00871791"/>
    <w:rsid w:val="00880034"/>
    <w:rsid w:val="00882E10"/>
    <w:rsid w:val="00893AC0"/>
    <w:rsid w:val="00894C8A"/>
    <w:rsid w:val="00896068"/>
    <w:rsid w:val="008A1626"/>
    <w:rsid w:val="008A1FAC"/>
    <w:rsid w:val="008A648E"/>
    <w:rsid w:val="008B6473"/>
    <w:rsid w:val="008C3A7F"/>
    <w:rsid w:val="008C4A73"/>
    <w:rsid w:val="008C5105"/>
    <w:rsid w:val="008D7419"/>
    <w:rsid w:val="008E3022"/>
    <w:rsid w:val="008F4967"/>
    <w:rsid w:val="008F4B28"/>
    <w:rsid w:val="009050A5"/>
    <w:rsid w:val="00913771"/>
    <w:rsid w:val="00914D28"/>
    <w:rsid w:val="00914EB1"/>
    <w:rsid w:val="0091628B"/>
    <w:rsid w:val="00924622"/>
    <w:rsid w:val="00927D8A"/>
    <w:rsid w:val="00935C35"/>
    <w:rsid w:val="00942BF5"/>
    <w:rsid w:val="009544DF"/>
    <w:rsid w:val="00960E50"/>
    <w:rsid w:val="009638C7"/>
    <w:rsid w:val="00964061"/>
    <w:rsid w:val="00966CCD"/>
    <w:rsid w:val="009760AC"/>
    <w:rsid w:val="00994CAD"/>
    <w:rsid w:val="00997F6E"/>
    <w:rsid w:val="009A18B2"/>
    <w:rsid w:val="009B79D7"/>
    <w:rsid w:val="009D0FB9"/>
    <w:rsid w:val="009D6CB7"/>
    <w:rsid w:val="009E04CB"/>
    <w:rsid w:val="009E44F7"/>
    <w:rsid w:val="009E7B77"/>
    <w:rsid w:val="009E7E00"/>
    <w:rsid w:val="009F7B91"/>
    <w:rsid w:val="00A00E1C"/>
    <w:rsid w:val="00A07AD1"/>
    <w:rsid w:val="00A1172F"/>
    <w:rsid w:val="00A2087D"/>
    <w:rsid w:val="00A27626"/>
    <w:rsid w:val="00A27E9C"/>
    <w:rsid w:val="00A32BB4"/>
    <w:rsid w:val="00A33D0D"/>
    <w:rsid w:val="00A3596C"/>
    <w:rsid w:val="00A37012"/>
    <w:rsid w:val="00A379C2"/>
    <w:rsid w:val="00A37C2A"/>
    <w:rsid w:val="00A4063A"/>
    <w:rsid w:val="00A45CE6"/>
    <w:rsid w:val="00A5759F"/>
    <w:rsid w:val="00A62FC7"/>
    <w:rsid w:val="00A6401A"/>
    <w:rsid w:val="00A64B8F"/>
    <w:rsid w:val="00A659A7"/>
    <w:rsid w:val="00A70484"/>
    <w:rsid w:val="00A72B40"/>
    <w:rsid w:val="00A7390B"/>
    <w:rsid w:val="00A819CF"/>
    <w:rsid w:val="00A8210A"/>
    <w:rsid w:val="00A824C3"/>
    <w:rsid w:val="00A831A1"/>
    <w:rsid w:val="00A86F8A"/>
    <w:rsid w:val="00A92746"/>
    <w:rsid w:val="00A93A17"/>
    <w:rsid w:val="00A97421"/>
    <w:rsid w:val="00AA7965"/>
    <w:rsid w:val="00AB23DB"/>
    <w:rsid w:val="00AB5287"/>
    <w:rsid w:val="00AC09D2"/>
    <w:rsid w:val="00AC4F4C"/>
    <w:rsid w:val="00AD3A6F"/>
    <w:rsid w:val="00AD659A"/>
    <w:rsid w:val="00AD7852"/>
    <w:rsid w:val="00AE2925"/>
    <w:rsid w:val="00B01D75"/>
    <w:rsid w:val="00B15CBC"/>
    <w:rsid w:val="00B3237E"/>
    <w:rsid w:val="00B53AED"/>
    <w:rsid w:val="00B54749"/>
    <w:rsid w:val="00B617D7"/>
    <w:rsid w:val="00B65073"/>
    <w:rsid w:val="00BA3537"/>
    <w:rsid w:val="00BA7D44"/>
    <w:rsid w:val="00BC0B7F"/>
    <w:rsid w:val="00BC37CA"/>
    <w:rsid w:val="00BE0CE1"/>
    <w:rsid w:val="00BE2DA3"/>
    <w:rsid w:val="00BF4A2C"/>
    <w:rsid w:val="00BF5EA6"/>
    <w:rsid w:val="00BF79BD"/>
    <w:rsid w:val="00C04A82"/>
    <w:rsid w:val="00C06B60"/>
    <w:rsid w:val="00C11683"/>
    <w:rsid w:val="00C13BCE"/>
    <w:rsid w:val="00C14C31"/>
    <w:rsid w:val="00C227EE"/>
    <w:rsid w:val="00C24D82"/>
    <w:rsid w:val="00C26747"/>
    <w:rsid w:val="00C35447"/>
    <w:rsid w:val="00C3757A"/>
    <w:rsid w:val="00C507F5"/>
    <w:rsid w:val="00C53428"/>
    <w:rsid w:val="00C80994"/>
    <w:rsid w:val="00C819E9"/>
    <w:rsid w:val="00C87A54"/>
    <w:rsid w:val="00C947DE"/>
    <w:rsid w:val="00CC5CBF"/>
    <w:rsid w:val="00CC5E4B"/>
    <w:rsid w:val="00CD00CA"/>
    <w:rsid w:val="00CD5CE4"/>
    <w:rsid w:val="00CD5D7E"/>
    <w:rsid w:val="00CE03DC"/>
    <w:rsid w:val="00CE1263"/>
    <w:rsid w:val="00CE7EF0"/>
    <w:rsid w:val="00CF1192"/>
    <w:rsid w:val="00CF17A4"/>
    <w:rsid w:val="00CF2977"/>
    <w:rsid w:val="00CF37C5"/>
    <w:rsid w:val="00CF3B40"/>
    <w:rsid w:val="00D00B24"/>
    <w:rsid w:val="00D0493A"/>
    <w:rsid w:val="00D06B4A"/>
    <w:rsid w:val="00D07834"/>
    <w:rsid w:val="00D10BB1"/>
    <w:rsid w:val="00D13D65"/>
    <w:rsid w:val="00D24F2D"/>
    <w:rsid w:val="00D47D4B"/>
    <w:rsid w:val="00D47D6B"/>
    <w:rsid w:val="00D5132D"/>
    <w:rsid w:val="00D52157"/>
    <w:rsid w:val="00D54C50"/>
    <w:rsid w:val="00D64B87"/>
    <w:rsid w:val="00D82C06"/>
    <w:rsid w:val="00D8485E"/>
    <w:rsid w:val="00D9298F"/>
    <w:rsid w:val="00DA0ADE"/>
    <w:rsid w:val="00DB3FA5"/>
    <w:rsid w:val="00DB76A1"/>
    <w:rsid w:val="00DD008E"/>
    <w:rsid w:val="00DD0766"/>
    <w:rsid w:val="00DD4C6D"/>
    <w:rsid w:val="00DD7471"/>
    <w:rsid w:val="00DF0157"/>
    <w:rsid w:val="00DF37E3"/>
    <w:rsid w:val="00DF403D"/>
    <w:rsid w:val="00DF6666"/>
    <w:rsid w:val="00DF6D9E"/>
    <w:rsid w:val="00E00CDF"/>
    <w:rsid w:val="00E0181C"/>
    <w:rsid w:val="00E04671"/>
    <w:rsid w:val="00E071CD"/>
    <w:rsid w:val="00E07342"/>
    <w:rsid w:val="00E2085E"/>
    <w:rsid w:val="00E233EA"/>
    <w:rsid w:val="00E346ED"/>
    <w:rsid w:val="00E34CDA"/>
    <w:rsid w:val="00E420E5"/>
    <w:rsid w:val="00E43390"/>
    <w:rsid w:val="00E460B7"/>
    <w:rsid w:val="00E579DE"/>
    <w:rsid w:val="00E62624"/>
    <w:rsid w:val="00E73B46"/>
    <w:rsid w:val="00E75293"/>
    <w:rsid w:val="00E8459D"/>
    <w:rsid w:val="00E8575D"/>
    <w:rsid w:val="00E87521"/>
    <w:rsid w:val="00E93E22"/>
    <w:rsid w:val="00E97895"/>
    <w:rsid w:val="00EA13A9"/>
    <w:rsid w:val="00EA66CC"/>
    <w:rsid w:val="00EB02BA"/>
    <w:rsid w:val="00EB400C"/>
    <w:rsid w:val="00EB549D"/>
    <w:rsid w:val="00EB5871"/>
    <w:rsid w:val="00EB5FDD"/>
    <w:rsid w:val="00EC00E4"/>
    <w:rsid w:val="00EC3CB6"/>
    <w:rsid w:val="00ED21CC"/>
    <w:rsid w:val="00EF1FA5"/>
    <w:rsid w:val="00EF4037"/>
    <w:rsid w:val="00F00EC5"/>
    <w:rsid w:val="00F035C1"/>
    <w:rsid w:val="00F20F90"/>
    <w:rsid w:val="00F2406E"/>
    <w:rsid w:val="00F24EA4"/>
    <w:rsid w:val="00F261C7"/>
    <w:rsid w:val="00F353CE"/>
    <w:rsid w:val="00F36C39"/>
    <w:rsid w:val="00F45307"/>
    <w:rsid w:val="00F574A9"/>
    <w:rsid w:val="00F6236B"/>
    <w:rsid w:val="00F6543F"/>
    <w:rsid w:val="00F82D9F"/>
    <w:rsid w:val="00FA2790"/>
    <w:rsid w:val="00FA4B7B"/>
    <w:rsid w:val="00FA630F"/>
    <w:rsid w:val="00FC46B9"/>
    <w:rsid w:val="00FC7E46"/>
    <w:rsid w:val="00FE271B"/>
    <w:rsid w:val="00FF7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1556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15563E"/>
    <w:rPr>
      <w:b/>
      <w:bCs/>
    </w:rPr>
  </w:style>
  <w:style w:type="paragraph" w:styleId="Revision">
    <w:name w:val="Revision"/>
    <w:hidden/>
    <w:uiPriority w:val="99"/>
    <w:semiHidden/>
    <w:rsid w:val="00732034"/>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C@aaoifi.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RDC@aaoifi.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oifi.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3</TotalTime>
  <Pages>11</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Maaz Mohammad Siddiqui</cp:lastModifiedBy>
  <cp:revision>6</cp:revision>
  <dcterms:created xsi:type="dcterms:W3CDTF">2026-03-11T06:54:00Z</dcterms:created>
  <dcterms:modified xsi:type="dcterms:W3CDTF">2026-03-11T13:19:00Z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676db6e1,d58c97d,dcee230,67f735f0,a3cce47</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2026-03-10T13:30:11Z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92f7599c-c207-4fce-bf31-1c64a96c3cce</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