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59C6" w14:textId="77777777" w:rsidR="00EB2867" w:rsidRPr="00FE0311" w:rsidRDefault="00EB2867" w:rsidP="00EB2867">
      <w:pPr>
        <w:tabs>
          <w:tab w:val="left" w:pos="720"/>
        </w:tabs>
        <w:spacing w:after="0" w:line="240" w:lineRule="auto"/>
        <w:jc w:val="center"/>
        <w:rPr>
          <w:rFonts w:ascii="Times New Roman" w:eastAsia="Times New Roman" w:hAnsi="Times New Roman" w:cs="Times New Roman"/>
          <w:b/>
          <w:bCs/>
          <w:smallCaps/>
          <w:sz w:val="24"/>
          <w:szCs w:val="24"/>
        </w:rPr>
      </w:pPr>
      <w:r w:rsidRPr="00FE0311">
        <w:rPr>
          <w:rFonts w:ascii="Times New Roman" w:eastAsia="Times New Roman" w:hAnsi="Times New Roman" w:cs="Times New Roman"/>
          <w:b/>
          <w:bCs/>
          <w:smallCaps/>
          <w:sz w:val="24"/>
          <w:szCs w:val="24"/>
        </w:rPr>
        <w:t>REQUEST FOR EXPRESSIONS OF INTEREST</w:t>
      </w:r>
    </w:p>
    <w:p w14:paraId="45DCC710" w14:textId="77777777" w:rsidR="00EB2867" w:rsidRPr="00FE0311" w:rsidRDefault="00EB2867" w:rsidP="00EB2867">
      <w:pPr>
        <w:tabs>
          <w:tab w:val="left" w:pos="720"/>
        </w:tabs>
        <w:spacing w:after="0" w:line="240" w:lineRule="auto"/>
        <w:jc w:val="center"/>
        <w:rPr>
          <w:rFonts w:ascii="Times New Roman" w:eastAsia="Times New Roman" w:hAnsi="Times New Roman" w:cs="Times New Roman"/>
          <w:b/>
          <w:bCs/>
          <w:smallCaps/>
          <w:sz w:val="24"/>
          <w:szCs w:val="24"/>
        </w:rPr>
      </w:pPr>
      <w:r w:rsidRPr="00FE0311">
        <w:rPr>
          <w:rFonts w:ascii="Times New Roman" w:eastAsia="Times New Roman" w:hAnsi="Times New Roman" w:cs="Times New Roman"/>
          <w:b/>
          <w:bCs/>
          <w:smallCaps/>
          <w:sz w:val="24"/>
          <w:szCs w:val="24"/>
        </w:rPr>
        <w:t>(CONSULTANT SERVICES – SELECTION OF FIRMS)</w:t>
      </w:r>
    </w:p>
    <w:p w14:paraId="74DB6B90" w14:textId="77777777" w:rsidR="00EB2867" w:rsidRDefault="00EB2867" w:rsidP="00463081">
      <w:pPr>
        <w:spacing w:after="0" w:line="240" w:lineRule="auto"/>
        <w:jc w:val="center"/>
        <w:rPr>
          <w:rFonts w:asciiTheme="majorBidi" w:hAnsiTheme="majorBidi" w:cstheme="majorBidi"/>
          <w:b/>
          <w:bCs/>
          <w:sz w:val="28"/>
          <w:szCs w:val="28"/>
        </w:rPr>
      </w:pPr>
    </w:p>
    <w:p w14:paraId="5EED1CE7" w14:textId="77777777" w:rsidR="00EB2867" w:rsidRDefault="00EB2867" w:rsidP="00463081">
      <w:pPr>
        <w:spacing w:after="0" w:line="240" w:lineRule="auto"/>
        <w:jc w:val="center"/>
        <w:rPr>
          <w:rFonts w:asciiTheme="majorBidi" w:hAnsiTheme="majorBidi" w:cstheme="majorBidi"/>
          <w:b/>
          <w:bCs/>
          <w:sz w:val="28"/>
          <w:szCs w:val="28"/>
        </w:rPr>
      </w:pPr>
    </w:p>
    <w:p w14:paraId="51C8B333"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b/>
          <w:bCs/>
          <w:spacing w:val="-2"/>
          <w:sz w:val="24"/>
          <w14:ligatures w14:val="none"/>
        </w:rPr>
        <w:t>Country:</w:t>
      </w:r>
      <w:r w:rsidRPr="00EB2867">
        <w:rPr>
          <w:rFonts w:ascii="Times New Roman" w:eastAsia="Calibri" w:hAnsi="Times New Roman" w:cs="Arial"/>
          <w:spacing w:val="-2"/>
          <w:sz w:val="24"/>
          <w14:ligatures w14:val="none"/>
        </w:rPr>
        <w:t xml:space="preserve"> Morocco</w:t>
      </w:r>
    </w:p>
    <w:p w14:paraId="1B8F9DCC" w14:textId="77777777" w:rsidR="00EB2867" w:rsidRPr="00EB2867" w:rsidRDefault="00EB2867" w:rsidP="00EB2867">
      <w:pPr>
        <w:suppressAutoHyphens/>
        <w:spacing w:after="0" w:line="240" w:lineRule="auto"/>
        <w:rPr>
          <w:rFonts w:ascii="Calibri" w:eastAsia="Times New Roman" w:hAnsi="Calibri" w:cs="Calibri"/>
          <w:sz w:val="24"/>
          <w:szCs w:val="24"/>
          <w14:ligatures w14:val="none"/>
        </w:rPr>
      </w:pPr>
      <w:r w:rsidRPr="00EB2867">
        <w:rPr>
          <w:rFonts w:ascii="Times New Roman" w:eastAsia="Calibri" w:hAnsi="Times New Roman" w:cs="Arial"/>
          <w:b/>
          <w:bCs/>
          <w:spacing w:val="-2"/>
          <w:sz w:val="24"/>
          <w14:ligatures w14:val="none"/>
        </w:rPr>
        <w:t>Project Name:</w:t>
      </w:r>
      <w:r w:rsidRPr="00EB2867">
        <w:rPr>
          <w:rFonts w:ascii="Times New Roman" w:eastAsia="Calibri" w:hAnsi="Times New Roman" w:cs="Arial"/>
          <w:spacing w:val="-2"/>
          <w:sz w:val="24"/>
          <w14:ligatures w14:val="none"/>
        </w:rPr>
        <w:t xml:space="preserve"> </w:t>
      </w:r>
      <w:r w:rsidRPr="00EB2867">
        <w:rPr>
          <w:rFonts w:ascii="Times New Roman" w:eastAsia="Calibri" w:hAnsi="Times New Roman" w:cs="Times New Roman"/>
          <w:spacing w:val="-2"/>
          <w:sz w:val="24"/>
          <w:szCs w:val="24"/>
          <w14:ligatures w14:val="none"/>
        </w:rPr>
        <w:t>Technical Assistance for Setting Up an Integrated Information System for the Supervision and Regulation</w:t>
      </w:r>
      <w:r w:rsidRPr="00EB2867">
        <w:rPr>
          <w:rFonts w:ascii="Calibri" w:eastAsia="Times New Roman" w:hAnsi="Calibri" w:cs="Calibri"/>
          <w:sz w:val="24"/>
          <w:szCs w:val="24"/>
          <w14:ligatures w14:val="none"/>
        </w:rPr>
        <w:t xml:space="preserve"> </w:t>
      </w:r>
      <w:r w:rsidRPr="00EB2867">
        <w:rPr>
          <w:rFonts w:ascii="Times New Roman" w:eastAsia="Calibri" w:hAnsi="Times New Roman" w:cs="Times New Roman"/>
          <w:spacing w:val="-2"/>
          <w:sz w:val="24"/>
          <w:szCs w:val="24"/>
          <w14:ligatures w14:val="none"/>
        </w:rPr>
        <w:t>of Participation Banks</w:t>
      </w:r>
    </w:p>
    <w:p w14:paraId="6FA54EA8" w14:textId="77777777" w:rsidR="00EB2867" w:rsidRPr="00EB2867" w:rsidRDefault="00EB2867" w:rsidP="00EB2867">
      <w:pPr>
        <w:suppressAutoHyphens/>
        <w:spacing w:after="0" w:line="240" w:lineRule="auto"/>
        <w:rPr>
          <w:rFonts w:ascii="Times New Roman" w:eastAsia="Calibri" w:hAnsi="Times New Roman" w:cs="Arial"/>
          <w:spacing w:val="-2"/>
          <w:sz w:val="24"/>
          <w14:ligatures w14:val="none"/>
        </w:rPr>
      </w:pPr>
      <w:r w:rsidRPr="00EB2867">
        <w:rPr>
          <w:rFonts w:ascii="Times New Roman" w:eastAsia="Calibri" w:hAnsi="Times New Roman" w:cs="Arial"/>
          <w:b/>
          <w:bCs/>
          <w:spacing w:val="-2"/>
          <w:sz w:val="24"/>
          <w14:ligatures w14:val="none"/>
        </w:rPr>
        <w:t>Sector:</w:t>
      </w:r>
      <w:r w:rsidRPr="00EB2867">
        <w:rPr>
          <w:rFonts w:ascii="Times New Roman" w:eastAsia="Calibri" w:hAnsi="Times New Roman" w:cs="Arial"/>
          <w:spacing w:val="-2"/>
          <w:sz w:val="24"/>
          <w14:ligatures w14:val="none"/>
        </w:rPr>
        <w:t xml:space="preserve"> Islamic Banking / Banking Supervision</w:t>
      </w:r>
    </w:p>
    <w:p w14:paraId="33C78209" w14:textId="77777777" w:rsidR="00EB2867" w:rsidRPr="00EB2867" w:rsidRDefault="00EB2867" w:rsidP="00EB2867">
      <w:pPr>
        <w:suppressAutoHyphens/>
        <w:spacing w:after="0" w:line="240" w:lineRule="auto"/>
        <w:rPr>
          <w:rFonts w:ascii="Calibri" w:eastAsia="Calibri" w:hAnsi="Calibri" w:cs="Arial"/>
          <w:lang w:val="en-GB" w:eastAsia="en-GB"/>
          <w14:ligatures w14:val="none"/>
        </w:rPr>
      </w:pPr>
      <w:r w:rsidRPr="00EB2867">
        <w:rPr>
          <w:rFonts w:ascii="Times New Roman" w:eastAsia="Calibri" w:hAnsi="Times New Roman" w:cs="Times New Roman"/>
          <w:b/>
          <w:bCs/>
          <w:spacing w:val="-2"/>
          <w:sz w:val="24"/>
          <w:szCs w:val="24"/>
          <w14:ligatures w14:val="none"/>
        </w:rPr>
        <w:t xml:space="preserve">Consulting Services: </w:t>
      </w:r>
      <w:r w:rsidRPr="00EB2867">
        <w:rPr>
          <w:rFonts w:ascii="Times New Roman" w:eastAsia="Calibri" w:hAnsi="Times New Roman" w:cs="Times New Roman"/>
          <w:spacing w:val="-2"/>
          <w:sz w:val="24"/>
          <w:szCs w:val="24"/>
          <w14:ligatures w14:val="none"/>
        </w:rPr>
        <w:t>To Enhance and optimize the regulatory reporting of banking system</w:t>
      </w:r>
      <w:r w:rsidRPr="00EB2867">
        <w:rPr>
          <w:rFonts w:ascii="Calibri" w:eastAsia="Calibri" w:hAnsi="Calibri" w:cs="Arial"/>
          <w:lang w:val="en-GB" w:eastAsia="en-GB"/>
          <w14:ligatures w14:val="none"/>
        </w:rPr>
        <w:t xml:space="preserve">, </w:t>
      </w:r>
      <w:r w:rsidRPr="00EB2867">
        <w:rPr>
          <w:rFonts w:ascii="Times New Roman" w:eastAsia="Calibri" w:hAnsi="Times New Roman" w:cs="Times New Roman"/>
          <w:spacing w:val="-2"/>
          <w:sz w:val="24"/>
          <w:szCs w:val="24"/>
          <w14:ligatures w14:val="none"/>
        </w:rPr>
        <w:t>including reports for participation banks.</w:t>
      </w:r>
    </w:p>
    <w:p w14:paraId="07D4689E"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b/>
          <w:bCs/>
          <w:spacing w:val="-2"/>
          <w:sz w:val="24"/>
          <w14:ligatures w14:val="none"/>
        </w:rPr>
        <w:t>Mode of Financing:</w:t>
      </w:r>
      <w:r w:rsidRPr="00EB2867">
        <w:rPr>
          <w:rFonts w:ascii="Times New Roman" w:eastAsia="Calibri" w:hAnsi="Times New Roman" w:cs="Arial"/>
          <w:spacing w:val="-2"/>
          <w:sz w:val="24"/>
          <w14:ligatures w14:val="none"/>
        </w:rPr>
        <w:t xml:space="preserve"> Islamic Finance Grant</w:t>
      </w:r>
    </w:p>
    <w:p w14:paraId="7ABE249A" w14:textId="2E14033F"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b/>
          <w:bCs/>
          <w:spacing w:val="-2"/>
          <w:sz w:val="24"/>
          <w14:ligatures w14:val="none"/>
        </w:rPr>
        <w:t>Financing No:</w:t>
      </w:r>
      <w:r w:rsidRPr="00EB2867">
        <w:rPr>
          <w:rFonts w:ascii="Times New Roman" w:eastAsia="Calibri" w:hAnsi="Times New Roman" w:cs="Arial"/>
          <w:spacing w:val="-2"/>
          <w:sz w:val="24"/>
          <w14:ligatures w14:val="none"/>
        </w:rPr>
        <w:t xml:space="preserve"> </w:t>
      </w:r>
      <w:r w:rsidR="00BE74AA" w:rsidRPr="00BE74AA">
        <w:rPr>
          <w:rFonts w:ascii="Times New Roman" w:eastAsia="Calibri" w:hAnsi="Times New Roman" w:cs="Arial"/>
          <w:spacing w:val="-2"/>
          <w:sz w:val="24"/>
          <w14:ligatures w14:val="none"/>
        </w:rPr>
        <w:t>MAR1056</w:t>
      </w:r>
    </w:p>
    <w:p w14:paraId="6B8F126B"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p>
    <w:p w14:paraId="6AC2710E" w14:textId="38CEDF15" w:rsidR="00EB2867" w:rsidRPr="00EB2867" w:rsidRDefault="00EB2867" w:rsidP="00EB2867">
      <w:pPr>
        <w:suppressAutoHyphens/>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Bank Al-Maghrib (BAM) is responsible for overseeing monetary policy, ensuring price stability, and supervising the banking system in Morocco. With the introduction of participation banks in the country, there is a need to upgrade the IT system used for banking supervision to cater to the specific requirements of Islamic banking. To support this initiative, BAM has received financing from the Islamic Development Bank (IsDB) under the "IsDB's Special Allocation to Develop Islamic Financial Services Industry</w:t>
      </w:r>
      <w:r w:rsidR="00BE74AA">
        <w:rPr>
          <w:rFonts w:ascii="Times New Roman" w:eastAsia="Calibri" w:hAnsi="Times New Roman" w:cs="Arial"/>
          <w:spacing w:val="-2"/>
          <w:sz w:val="24"/>
          <w:szCs w:val="24"/>
          <w14:ligatures w14:val="none"/>
        </w:rPr>
        <w:t>.</w:t>
      </w:r>
      <w:r w:rsidRPr="00EB2867">
        <w:rPr>
          <w:rFonts w:ascii="Times New Roman" w:eastAsia="Calibri" w:hAnsi="Times New Roman" w:cs="Arial"/>
          <w:spacing w:val="-2"/>
          <w:sz w:val="24"/>
          <w:szCs w:val="24"/>
          <w14:ligatures w14:val="none"/>
        </w:rPr>
        <w:t xml:space="preserve">" </w:t>
      </w:r>
    </w:p>
    <w:p w14:paraId="40780C5D" w14:textId="77777777" w:rsidR="00EB2867" w:rsidRPr="00EB2867" w:rsidRDefault="00EB2867" w:rsidP="00EB2867">
      <w:pPr>
        <w:suppressAutoHyphens/>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The diagnostic of the current IT system has concluded that it is unable to meet the requirements of the evolution and complexity of the supervision activities that are characterized by new actors (namely Islamic banks), new risks and new activities. This diagnostic has revealed several bottlenecks that could be summarized as follows:</w:t>
      </w:r>
    </w:p>
    <w:p w14:paraId="587F234D"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The current IT system is unable to provide a consolidated view on the supervised credit institutions and other entities involved in banking-related activities.</w:t>
      </w:r>
    </w:p>
    <w:p w14:paraId="207A20CF"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 xml:space="preserve">Activities related to permanent monitoring and supervision are not consolidated within an integrated system. </w:t>
      </w:r>
    </w:p>
    <w:p w14:paraId="084964E4"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Many activities are still performed manually.</w:t>
      </w:r>
    </w:p>
    <w:p w14:paraId="02B04172"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Monitoring of activities is not yet automated and industrialized.</w:t>
      </w:r>
    </w:p>
    <w:p w14:paraId="3ECB51E2"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Lack of a warning and forecasting system for proper risk monitoring and control.</w:t>
      </w:r>
    </w:p>
    <w:p w14:paraId="19113009"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 xml:space="preserve">The current IT system "BASFIM" is limited and technologically obsolete. </w:t>
      </w:r>
    </w:p>
    <w:p w14:paraId="436C8716"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Imperfections are hampering data exchange with internal and external partners.</w:t>
      </w:r>
    </w:p>
    <w:p w14:paraId="35872B36"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Data management is not optimized.</w:t>
      </w:r>
    </w:p>
    <w:p w14:paraId="1D9196C1"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Taxonomy of reporting does not meet international standards or expectations of supervised institutions.</w:t>
      </w:r>
    </w:p>
    <w:p w14:paraId="75511F4F" w14:textId="77777777" w:rsidR="00EB2867" w:rsidRPr="00EB2867" w:rsidRDefault="00EB2867" w:rsidP="00EB2867">
      <w:pPr>
        <w:numPr>
          <w:ilvl w:val="0"/>
          <w:numId w:val="12"/>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Various channels and formats are used to collect information and data.</w:t>
      </w:r>
    </w:p>
    <w:p w14:paraId="442B188E"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p>
    <w:p w14:paraId="4459C6FE" w14:textId="77777777" w:rsidR="00EB2867" w:rsidRPr="00EB2867" w:rsidRDefault="00EB2867" w:rsidP="00EB2867">
      <w:pPr>
        <w:suppressAutoHyphens/>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 xml:space="preserve">Bank Al-Maghrib has included upgrading the information system used by the Banking Supervision Department (DSB) among its major axes </w:t>
      </w:r>
      <w:proofErr w:type="gramStart"/>
      <w:r w:rsidRPr="00EB2867">
        <w:rPr>
          <w:rFonts w:ascii="Times New Roman" w:eastAsia="Calibri" w:hAnsi="Times New Roman" w:cs="Arial"/>
          <w:spacing w:val="-2"/>
          <w:sz w:val="24"/>
          <w:szCs w:val="24"/>
          <w14:ligatures w14:val="none"/>
        </w:rPr>
        <w:t>in order to</w:t>
      </w:r>
      <w:proofErr w:type="gramEnd"/>
      <w:r w:rsidRPr="00EB2867">
        <w:rPr>
          <w:rFonts w:ascii="Times New Roman" w:eastAsia="Calibri" w:hAnsi="Times New Roman" w:cs="Arial"/>
          <w:spacing w:val="-2"/>
          <w:sz w:val="24"/>
          <w:szCs w:val="24"/>
          <w14:ligatures w14:val="none"/>
        </w:rPr>
        <w:t xml:space="preserve"> improve the quality of its interventions and convergence with best practices. This involves a complete upgrade of the DSB information system to ensure better functional coverage, increased communication capacity with partners, effective response to management needs, and an organization that promotes proactive and agile system development. </w:t>
      </w:r>
    </w:p>
    <w:p w14:paraId="378EFB5B" w14:textId="77777777" w:rsidR="00EB2867" w:rsidRPr="00EB2867" w:rsidRDefault="00EB2867" w:rsidP="00EB2867">
      <w:pPr>
        <w:suppressAutoHyphens/>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lastRenderedPageBreak/>
        <w:t>Through this project, the Bank also wishes to improve its data collection system by equipping itself with a platform that complies with best practices. The new IT system will complement BAM's numerous initiatives for Islamic finance development and allow supervisors to monitor and oversee Islamic banks in a more robust and focused manner.</w:t>
      </w:r>
    </w:p>
    <w:p w14:paraId="034D90DA" w14:textId="77777777" w:rsidR="00EB2867" w:rsidRPr="00EB2867" w:rsidRDefault="00EB2867" w:rsidP="00EB2867">
      <w:pPr>
        <w:suppressAutoHyphens/>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The Bank has opted for the "</w:t>
      </w:r>
      <w:proofErr w:type="spellStart"/>
      <w:r w:rsidRPr="00EB2867">
        <w:rPr>
          <w:rFonts w:ascii="Times New Roman" w:eastAsia="Calibri" w:hAnsi="Times New Roman" w:cs="Arial"/>
          <w:spacing w:val="-2"/>
          <w:sz w:val="24"/>
          <w:szCs w:val="24"/>
          <w14:ligatures w14:val="none"/>
        </w:rPr>
        <w:t>Reglonogy</w:t>
      </w:r>
      <w:proofErr w:type="spellEnd"/>
      <w:r w:rsidRPr="00EB2867">
        <w:rPr>
          <w:rFonts w:ascii="Times New Roman" w:eastAsia="Calibri" w:hAnsi="Times New Roman" w:cs="Arial"/>
          <w:spacing w:val="-2"/>
          <w:sz w:val="24"/>
          <w:szCs w:val="24"/>
          <w14:ligatures w14:val="none"/>
        </w:rPr>
        <w:t xml:space="preserve"> </w:t>
      </w:r>
      <w:proofErr w:type="spellStart"/>
      <w:r w:rsidRPr="00EB2867">
        <w:rPr>
          <w:rFonts w:ascii="Times New Roman" w:eastAsia="Calibri" w:hAnsi="Times New Roman" w:cs="Arial"/>
          <w:spacing w:val="-2"/>
          <w:sz w:val="24"/>
          <w:szCs w:val="24"/>
          <w14:ligatures w14:val="none"/>
        </w:rPr>
        <w:t>SupTech</w:t>
      </w:r>
      <w:proofErr w:type="spellEnd"/>
      <w:r w:rsidRPr="00EB2867">
        <w:rPr>
          <w:rFonts w:ascii="Times New Roman" w:eastAsia="Calibri" w:hAnsi="Times New Roman" w:cs="Arial"/>
          <w:spacing w:val="-2"/>
          <w:sz w:val="24"/>
          <w:szCs w:val="24"/>
          <w14:ligatures w14:val="none"/>
        </w:rPr>
        <w:t>" solution as the target system to be implemented in 24 months, consisting of 5 components: Regulatory Returns, Licensing &amp; Regulatory Transactions, Risk Based Supervision, Analytics and Builder.</w:t>
      </w:r>
    </w:p>
    <w:p w14:paraId="51BAB6EA" w14:textId="77777777" w:rsidR="00EB2867" w:rsidRPr="00EB2867" w:rsidRDefault="00EB2867" w:rsidP="00EB2867">
      <w:pPr>
        <w:suppressAutoHyphens/>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The primary objective of this technical assistance is to assist BAM in setting up an information system for the supervision and regulation of Financial Supervised Institutions including participation banks. Specifically, this TA aims to:</w:t>
      </w:r>
    </w:p>
    <w:p w14:paraId="0307FFF0" w14:textId="77777777" w:rsidR="00EB2867" w:rsidRPr="00EB2867" w:rsidRDefault="00EB2867" w:rsidP="00EB2867">
      <w:pPr>
        <w:numPr>
          <w:ilvl w:val="0"/>
          <w:numId w:val="13"/>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Redesign and optimize the regulatory reporting of the banking system, including specific reports for participation banks.</w:t>
      </w:r>
    </w:p>
    <w:p w14:paraId="64F244E5" w14:textId="77777777" w:rsidR="00EB2867" w:rsidRPr="00EB2867" w:rsidRDefault="00EB2867" w:rsidP="00EB2867">
      <w:pPr>
        <w:numPr>
          <w:ilvl w:val="0"/>
          <w:numId w:val="13"/>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 xml:space="preserve">Conduct a study and provide recommendations on the most suitable technological standards for remittance of the reporting, considering Morocco's context and benchmarks. </w:t>
      </w:r>
    </w:p>
    <w:p w14:paraId="3D49F390" w14:textId="77777777" w:rsidR="00EB2867" w:rsidRPr="00EB2867" w:rsidRDefault="00EB2867" w:rsidP="00EB2867">
      <w:pPr>
        <w:numPr>
          <w:ilvl w:val="0"/>
          <w:numId w:val="13"/>
        </w:numPr>
        <w:suppressAutoHyphens/>
        <w:spacing w:after="0" w:line="240" w:lineRule="auto"/>
        <w:contextualSpacing/>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Provide change management support, including communication, training, and skill transfer to internal BAM teams and reporting entities.</w:t>
      </w:r>
    </w:p>
    <w:p w14:paraId="5911BB25"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br/>
        <w:t xml:space="preserve">The  consultancy work  is expected to take not more than 9 months. </w:t>
      </w:r>
    </w:p>
    <w:p w14:paraId="1845607F"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 xml:space="preserve">The TOR for the assignment is attached in </w:t>
      </w:r>
      <w:r w:rsidRPr="00EB2867">
        <w:rPr>
          <w:rFonts w:ascii="Times New Roman" w:eastAsia="Calibri" w:hAnsi="Times New Roman" w:cs="Arial"/>
          <w:b/>
          <w:bCs/>
          <w:spacing w:val="-2"/>
          <w:sz w:val="24"/>
          <w:szCs w:val="24"/>
          <w14:ligatures w14:val="none"/>
        </w:rPr>
        <w:t>Annex-1</w:t>
      </w:r>
      <w:r w:rsidRPr="00EB2867">
        <w:rPr>
          <w:rFonts w:ascii="Times New Roman" w:eastAsia="Calibri" w:hAnsi="Times New Roman" w:cs="Arial"/>
          <w:spacing w:val="-2"/>
          <w:sz w:val="24"/>
          <w:szCs w:val="24"/>
          <w14:ligatures w14:val="none"/>
        </w:rPr>
        <w:t xml:space="preserve">. </w:t>
      </w:r>
    </w:p>
    <w:p w14:paraId="3893AAC0"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140A4D96"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Times New Roman"/>
          <w:b/>
          <w:bCs/>
          <w:spacing w:val="-2"/>
          <w:sz w:val="24"/>
          <w:szCs w:val="24"/>
          <w14:ligatures w14:val="none"/>
        </w:rPr>
        <w:t>Key Expertise Required:</w:t>
      </w:r>
      <w:r w:rsidRPr="00EB2867">
        <w:rPr>
          <w:rFonts w:ascii="Times New Roman" w:eastAsia="Calibri" w:hAnsi="Times New Roman" w:cs="Arial"/>
          <w:spacing w:val="-2"/>
          <w:sz w:val="24"/>
          <w:szCs w:val="24"/>
          <w14:ligatures w14:val="none"/>
        </w:rPr>
        <w:t xml:space="preserve"> </w:t>
      </w:r>
    </w:p>
    <w:p w14:paraId="6A4F320E"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7B40369F"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The consulting firm should possess:</w:t>
      </w:r>
    </w:p>
    <w:p w14:paraId="697C7569"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66B11C87" w14:textId="77777777" w:rsidR="00EB2867" w:rsidRPr="00EB2867" w:rsidRDefault="00EB2867" w:rsidP="00EB2867">
      <w:pPr>
        <w:numPr>
          <w:ilvl w:val="0"/>
          <w:numId w:val="15"/>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Experience in providing consultancy services for setting up banking supervision reporting and information systems.</w:t>
      </w:r>
    </w:p>
    <w:p w14:paraId="33A049A6"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p>
    <w:p w14:paraId="273640A5" w14:textId="77777777" w:rsidR="00EB2867" w:rsidRPr="00EB2867" w:rsidRDefault="00EB2867" w:rsidP="00EB2867">
      <w:pPr>
        <w:numPr>
          <w:ilvl w:val="0"/>
          <w:numId w:val="15"/>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Proven record of at least 2 successful similar consultancy services in the past 5 years.</w:t>
      </w:r>
    </w:p>
    <w:p w14:paraId="675ABD86"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p>
    <w:p w14:paraId="1F25B7BD" w14:textId="77777777" w:rsidR="00EB2867" w:rsidRPr="00EB2867" w:rsidRDefault="00EB2867" w:rsidP="00EB2867">
      <w:pPr>
        <w:numPr>
          <w:ilvl w:val="0"/>
          <w:numId w:val="15"/>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Technical and managerial capabilities to successfully execute the assignment.</w:t>
      </w:r>
    </w:p>
    <w:p w14:paraId="0506A362"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p>
    <w:p w14:paraId="6AB69248" w14:textId="77777777" w:rsidR="00EB2867" w:rsidRPr="00EB2867" w:rsidRDefault="00EB2867" w:rsidP="00EB2867">
      <w:pPr>
        <w:numPr>
          <w:ilvl w:val="0"/>
          <w:numId w:val="15"/>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Capabilities and experience in delivering the expectations outlined in the TOR.</w:t>
      </w:r>
    </w:p>
    <w:p w14:paraId="7916D062"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p>
    <w:p w14:paraId="7B4545F2"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 xml:space="preserve">BAM now invites eligible consulting firms ("Consultants") to indicate their interest in providing the listed services. </w:t>
      </w:r>
    </w:p>
    <w:p w14:paraId="2B9948FB"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32918699" w14:textId="77777777" w:rsidR="00EB2867" w:rsidRPr="00EB2867" w:rsidRDefault="00EB2867" w:rsidP="00EB2867">
      <w:pPr>
        <w:suppressAutoHyphens/>
        <w:spacing w:after="0" w:line="240" w:lineRule="auto"/>
        <w:jc w:val="both"/>
        <w:rPr>
          <w:rFonts w:ascii="Times New Roman" w:eastAsia="Calibri" w:hAnsi="Times New Roman" w:cs="Times New Roman"/>
          <w:b/>
          <w:bCs/>
          <w:spacing w:val="-2"/>
          <w:sz w:val="24"/>
          <w:szCs w:val="24"/>
          <w14:ligatures w14:val="none"/>
        </w:rPr>
      </w:pPr>
      <w:r w:rsidRPr="00EB2867">
        <w:rPr>
          <w:rFonts w:ascii="Times New Roman" w:eastAsia="Calibri" w:hAnsi="Times New Roman" w:cs="Times New Roman"/>
          <w:b/>
          <w:bCs/>
          <w:spacing w:val="-2"/>
          <w:sz w:val="24"/>
          <w:szCs w:val="24"/>
          <w14:ligatures w14:val="none"/>
        </w:rPr>
        <w:t>Submission Details:</w:t>
      </w:r>
    </w:p>
    <w:p w14:paraId="13E56504"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6260FE3A"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Expressions of Interest should be comprehensive and include:</w:t>
      </w:r>
    </w:p>
    <w:p w14:paraId="3E05E49E"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03204A4F" w14:textId="77777777" w:rsidR="00EB2867" w:rsidRPr="00EB2867" w:rsidRDefault="00EB2867" w:rsidP="00EB2867">
      <w:pPr>
        <w:numPr>
          <w:ilvl w:val="0"/>
          <w:numId w:val="14"/>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 xml:space="preserve">Detailed </w:t>
      </w:r>
      <w:r w:rsidRPr="00EB2867">
        <w:rPr>
          <w:rFonts w:ascii="Times New Roman" w:eastAsia="Calibri" w:hAnsi="Times New Roman" w:cs="Arial"/>
          <w:spacing w:val="-2"/>
          <w:sz w:val="24"/>
          <w:szCs w:val="24"/>
          <w14:ligatures w14:val="none"/>
        </w:rPr>
        <w:t xml:space="preserve">consulting firm </w:t>
      </w:r>
      <w:r w:rsidRPr="00EB2867">
        <w:rPr>
          <w:rFonts w:ascii="Times New Roman" w:eastAsia="Calibri" w:hAnsi="Times New Roman" w:cs="Arial"/>
          <w:spacing w:val="-2"/>
          <w:sz w:val="24"/>
          <w14:ligatures w14:val="none"/>
        </w:rPr>
        <w:t>profile.</w:t>
      </w:r>
    </w:p>
    <w:p w14:paraId="08CF6210" w14:textId="77777777" w:rsidR="00EB2867" w:rsidRPr="00EB2867" w:rsidRDefault="00EB2867" w:rsidP="00EB2867">
      <w:pPr>
        <w:numPr>
          <w:ilvl w:val="0"/>
          <w:numId w:val="14"/>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Evidence of relevant experience and successful projects in similar domains.</w:t>
      </w:r>
    </w:p>
    <w:p w14:paraId="16F1BD7C" w14:textId="77777777" w:rsidR="00EB2867" w:rsidRPr="00EB2867" w:rsidRDefault="00EB2867" w:rsidP="00EB2867">
      <w:pPr>
        <w:numPr>
          <w:ilvl w:val="0"/>
          <w:numId w:val="14"/>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A clear and innovative approach and methodology for the project.</w:t>
      </w:r>
    </w:p>
    <w:p w14:paraId="52FEF4F6" w14:textId="77777777" w:rsidR="00EB2867" w:rsidRPr="00EB2867" w:rsidRDefault="00EB2867" w:rsidP="00EB2867">
      <w:pPr>
        <w:numPr>
          <w:ilvl w:val="0"/>
          <w:numId w:val="14"/>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Profiles and qualifications of the team members proposed for the project.</w:t>
      </w:r>
    </w:p>
    <w:p w14:paraId="1A08516E" w14:textId="77777777" w:rsidR="00EB2867" w:rsidRPr="00EB2867" w:rsidRDefault="00EB2867" w:rsidP="00EB2867">
      <w:pPr>
        <w:numPr>
          <w:ilvl w:val="0"/>
          <w:numId w:val="14"/>
        </w:numPr>
        <w:suppressAutoHyphens/>
        <w:spacing w:after="0" w:line="240" w:lineRule="auto"/>
        <w:contextualSpacing/>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Any additional information that aligns with the objectives and requirements of the detailed ToR.</w:t>
      </w:r>
    </w:p>
    <w:p w14:paraId="4C28B2D7"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5061BFB1" w14:textId="77777777" w:rsidR="00EB2867" w:rsidRPr="00EB2867" w:rsidRDefault="00EB2867" w:rsidP="00EB2867">
      <w:pPr>
        <w:suppressAutoHyphens/>
        <w:spacing w:after="0"/>
        <w:rPr>
          <w:rFonts w:ascii="Times New Roman" w:eastAsia="Calibri" w:hAnsi="Times New Roman" w:cs="Times New Roman"/>
          <w:b/>
          <w:bCs/>
          <w:spacing w:val="-2"/>
          <w:sz w:val="24"/>
          <w:szCs w:val="24"/>
          <w14:ligatures w14:val="none"/>
        </w:rPr>
      </w:pPr>
      <w:r w:rsidRPr="00EB2867">
        <w:rPr>
          <w:rFonts w:ascii="Times New Roman" w:eastAsia="Calibri" w:hAnsi="Times New Roman" w:cs="Times New Roman"/>
          <w:b/>
          <w:bCs/>
          <w:spacing w:val="-2"/>
          <w:sz w:val="24"/>
          <w:szCs w:val="24"/>
          <w14:ligatures w14:val="none"/>
        </w:rPr>
        <w:t>The shortlisting criteria / sub-criteria are:</w:t>
      </w:r>
    </w:p>
    <w:p w14:paraId="5103BE1E"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17A1766B"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Interested Consultants must provide specific information which demonstrates that they are fully qualified to perform the services, including:</w:t>
      </w:r>
    </w:p>
    <w:p w14:paraId="2848A177"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05672DB9" w14:textId="149485C0"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(a) The Consultants should demonstrate experience in providing consultancy services in the areas of banking supervision, regulatory reporting, data collection systems, and IT solutions for supervisory authorities for at least eight (10) years. Experience with Islamic finance is a plus.</w:t>
      </w:r>
    </w:p>
    <w:p w14:paraId="6251BD5D"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74DA8A99" w14:textId="1E918E34"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 xml:space="preserve">(b) Proven record of successful similar consultancy services (at least </w:t>
      </w:r>
      <w:r w:rsidR="00F463E3">
        <w:rPr>
          <w:rFonts w:ascii="Times New Roman" w:eastAsia="Calibri" w:hAnsi="Times New Roman" w:cs="Arial"/>
          <w:spacing w:val="-2"/>
          <w:sz w:val="24"/>
          <w:szCs w:val="24"/>
          <w14:ligatures w14:val="none"/>
        </w:rPr>
        <w:t>2</w:t>
      </w:r>
      <w:r w:rsidRPr="00EB2867">
        <w:rPr>
          <w:rFonts w:ascii="Times New Roman" w:eastAsia="Calibri" w:hAnsi="Times New Roman" w:cs="Arial"/>
          <w:spacing w:val="-2"/>
          <w:sz w:val="24"/>
          <w:szCs w:val="24"/>
          <w14:ligatures w14:val="none"/>
        </w:rPr>
        <w:t xml:space="preserve"> in the past </w:t>
      </w:r>
      <w:r w:rsidR="00F463E3">
        <w:rPr>
          <w:rFonts w:ascii="Times New Roman" w:eastAsia="Calibri" w:hAnsi="Times New Roman" w:cs="Arial"/>
          <w:spacing w:val="-2"/>
          <w:sz w:val="24"/>
          <w:szCs w:val="24"/>
          <w14:ligatures w14:val="none"/>
        </w:rPr>
        <w:t>5</w:t>
      </w:r>
      <w:r w:rsidRPr="00EB2867">
        <w:rPr>
          <w:rFonts w:ascii="Times New Roman" w:eastAsia="Calibri" w:hAnsi="Times New Roman" w:cs="Arial"/>
          <w:spacing w:val="-2"/>
          <w:sz w:val="24"/>
          <w:szCs w:val="24"/>
          <w14:ligatures w14:val="none"/>
        </w:rPr>
        <w:t xml:space="preserve"> years), as follows:</w:t>
      </w:r>
    </w:p>
    <w:p w14:paraId="7F040C69"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595D09A9" w14:textId="77777777" w:rsidR="00EB2867" w:rsidRPr="00EB2867" w:rsidRDefault="00EB2867" w:rsidP="00EB2867">
      <w:pPr>
        <w:numPr>
          <w:ilvl w:val="0"/>
          <w:numId w:val="16"/>
        </w:numPr>
        <w:suppressAutoHyphens/>
        <w:spacing w:after="0" w:line="240" w:lineRule="auto"/>
        <w:contextualSpacing/>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Experience and Expertise in Banking Supervision and Regulatory Reporting: Emphasizes a proven track record in projects related to banking supervision and regulatory reporting, an understanding of Islamic finance practices, successful projects, positive client feedback, and compliance across multiple jurisdictions.</w:t>
      </w:r>
    </w:p>
    <w:p w14:paraId="6148796D"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34672D0E" w14:textId="77777777" w:rsidR="00EB2867" w:rsidRPr="00EB2867" w:rsidRDefault="00EB2867" w:rsidP="00EB2867">
      <w:pPr>
        <w:numPr>
          <w:ilvl w:val="0"/>
          <w:numId w:val="16"/>
        </w:numPr>
        <w:suppressAutoHyphens/>
        <w:spacing w:after="0" w:line="240" w:lineRule="auto"/>
        <w:contextualSpacing/>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Technical Capacity and Innovation in Data Collection: Requires a skilled, multidisciplinary team proficient in IT, finance, and banking supervision, using advanced technological tools and methodologies. Values originality in addressing challenges and the ability to recommend solutions while adhering to best practices.</w:t>
      </w:r>
    </w:p>
    <w:p w14:paraId="75383F7C"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09E86A3E" w14:textId="77777777" w:rsidR="00EB2867" w:rsidRPr="00EB2867" w:rsidRDefault="00EB2867" w:rsidP="00EB2867">
      <w:pPr>
        <w:numPr>
          <w:ilvl w:val="0"/>
          <w:numId w:val="16"/>
        </w:numPr>
        <w:suppressAutoHyphens/>
        <w:spacing w:after="0" w:line="240" w:lineRule="auto"/>
        <w:contextualSpacing/>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Project Management and Familiarity with Moroccan Context: Values demonstrated project management skills, strategic planning capabilities, and robust risk management practices. Familiarity with the Moroccan banking sector and the specific context of participatory finance in Morocco is essential.</w:t>
      </w:r>
    </w:p>
    <w:p w14:paraId="3440791B"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2872DD92" w14:textId="77777777" w:rsidR="00EB2867" w:rsidRPr="00EB2867" w:rsidRDefault="00EB2867" w:rsidP="00EB2867">
      <w:pPr>
        <w:numPr>
          <w:ilvl w:val="0"/>
          <w:numId w:val="16"/>
        </w:numPr>
        <w:suppressAutoHyphens/>
        <w:spacing w:after="0" w:line="240" w:lineRule="auto"/>
        <w:contextualSpacing/>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Stakeholder Engagement and Change Management: Prioritizes experience in effective communication, training, and skill transfer to internal teams and reporting entities. Ensures the ability to conduct engaging workshops and awareness sessions for relevant stakeholders.</w:t>
      </w:r>
    </w:p>
    <w:p w14:paraId="59AAFEEE"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1002E8F3" w14:textId="5EBBD67B"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(c) The firm should demonstrate technical and managerial capabilities to successfully execute the assignment through a brief presentation of the firm's management structure and number of permanent staff with relevant expertise in banking supervision, regulatory reporting, data collection systems, and IT solutions.</w:t>
      </w:r>
    </w:p>
    <w:p w14:paraId="5AAF68C0"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72AA7A08" w14:textId="77777777" w:rsid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Key Experts will not be evaluated at the shortlisting stage but expected proficiency is available in the TOR.</w:t>
      </w:r>
    </w:p>
    <w:p w14:paraId="54E03ABE"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1118887C"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 xml:space="preserve">The attention of interested Consultants is drawn to Paragraphs, 1.23, and 1.24 of the Guidelines for Procurement of Consultant Services </w:t>
      </w:r>
      <w:r w:rsidRPr="00EB2867">
        <w:rPr>
          <w:rFonts w:ascii="Times New Roman" w:eastAsia="Calibri" w:hAnsi="Times New Roman" w:cs="Times New Roman"/>
          <w:spacing w:val="-2"/>
          <w:sz w:val="24"/>
          <w:szCs w:val="24"/>
          <w14:ligatures w14:val="none"/>
        </w:rPr>
        <w:t xml:space="preserve">under Islamic Development Bank Project Financing (the “Procurement Guidelines”), setting forth IsDB’s policy on conflict of interest: </w:t>
      </w:r>
      <w:hyperlink r:id="rId5" w:history="1">
        <w:r w:rsidRPr="00EB2867">
          <w:rPr>
            <w:rFonts w:ascii="Times New Roman" w:eastAsia="Calibri" w:hAnsi="Times New Roman" w:cs="Times New Roman"/>
            <w:color w:val="0000FF"/>
            <w:spacing w:val="-2"/>
            <w:sz w:val="24"/>
            <w:szCs w:val="24"/>
            <w:u w:val="single"/>
            <w14:ligatures w14:val="none"/>
          </w:rPr>
          <w:t>https://www.isdb.org/project-procurement/sites/pproc/files/documents/PPR%20Guidelines-Consultants-ENG.pdf</w:t>
        </w:r>
      </w:hyperlink>
      <w:r w:rsidRPr="00EB2867">
        <w:rPr>
          <w:rFonts w:ascii="Times New Roman" w:eastAsia="Calibri" w:hAnsi="Times New Roman" w:cs="Times New Roman"/>
          <w:spacing w:val="-2"/>
          <w:sz w:val="20"/>
          <w:szCs w:val="20"/>
          <w14:ligatures w14:val="none"/>
        </w:rPr>
        <w:t xml:space="preserve"> </w:t>
      </w:r>
      <w:r w:rsidRPr="00EB2867">
        <w:rPr>
          <w:rFonts w:ascii="Times New Roman" w:eastAsia="Calibri" w:hAnsi="Times New Roman" w:cs="Arial"/>
          <w:spacing w:val="-2"/>
          <w:sz w:val="20"/>
          <w:szCs w:val="18"/>
          <w14:ligatures w14:val="none"/>
        </w:rPr>
        <w:t xml:space="preserve">  </w:t>
      </w:r>
    </w:p>
    <w:p w14:paraId="7538AF05" w14:textId="77777777" w:rsidR="00EB2867" w:rsidRPr="00EB2867" w:rsidRDefault="00EB2867" w:rsidP="00EB2867">
      <w:pPr>
        <w:suppressAutoHyphens/>
        <w:spacing w:after="0" w:line="240" w:lineRule="auto"/>
        <w:jc w:val="both"/>
        <w:rPr>
          <w:rFonts w:ascii="Times New Roman" w:eastAsia="Calibri" w:hAnsi="Times New Roman" w:cs="Times New Roman"/>
          <w:spacing w:val="-2"/>
          <w:sz w:val="24"/>
          <w:szCs w:val="24"/>
          <w14:ligatures w14:val="none"/>
        </w:rPr>
      </w:pPr>
    </w:p>
    <w:p w14:paraId="1A9F58F1" w14:textId="77777777" w:rsidR="00EB2867" w:rsidRPr="00EB2867" w:rsidRDefault="00EB2867" w:rsidP="00EB2867">
      <w:pPr>
        <w:spacing w:after="0" w:line="240" w:lineRule="auto"/>
        <w:jc w:val="both"/>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6E23CE6B" w14:textId="77777777" w:rsidR="00EB2867" w:rsidRPr="00EB2867" w:rsidRDefault="00EB2867" w:rsidP="00EB2867">
      <w:pPr>
        <w:suppressAutoHyphens/>
        <w:spacing w:after="0" w:line="240" w:lineRule="auto"/>
        <w:jc w:val="both"/>
        <w:rPr>
          <w:rFonts w:ascii="Times New Roman" w:eastAsia="Calibri" w:hAnsi="Times New Roman" w:cs="Times New Roman"/>
          <w:spacing w:val="-2"/>
          <w:sz w:val="24"/>
          <w:szCs w:val="24"/>
          <w14:ligatures w14:val="none"/>
        </w:rPr>
      </w:pPr>
    </w:p>
    <w:p w14:paraId="6EB2D9E7" w14:textId="77777777" w:rsidR="00EB2867" w:rsidRPr="00EB2867" w:rsidRDefault="00EB2867" w:rsidP="00EB2867">
      <w:pPr>
        <w:suppressAutoHyphens/>
        <w:spacing w:after="0" w:line="240" w:lineRule="auto"/>
        <w:jc w:val="both"/>
        <w:rPr>
          <w:rFonts w:ascii="Times New Roman" w:eastAsia="Calibri" w:hAnsi="Times New Roman" w:cs="Times New Roman"/>
          <w:spacing w:val="-2"/>
          <w:sz w:val="24"/>
          <w:szCs w:val="24"/>
          <w14:ligatures w14:val="none"/>
        </w:rPr>
      </w:pPr>
      <w:r w:rsidRPr="00EB2867">
        <w:rPr>
          <w:rFonts w:ascii="Times New Roman" w:eastAsia="Calibri" w:hAnsi="Times New Roman" w:cs="Times New Roman"/>
          <w:spacing w:val="-2"/>
          <w:sz w:val="24"/>
          <w:szCs w:val="24"/>
          <w14:ligatures w14:val="none"/>
        </w:rPr>
        <w:t>A consultants will be selected in accordance with the Quality and Cost-Based Selection (QCBS) method as set out in the Procurement Guidelines.</w:t>
      </w:r>
    </w:p>
    <w:p w14:paraId="5E5E56A5" w14:textId="77777777" w:rsidR="00EB2867" w:rsidRPr="00EB2867" w:rsidRDefault="00EB2867" w:rsidP="00EB2867">
      <w:pPr>
        <w:suppressAutoHyphens/>
        <w:spacing w:after="0" w:line="240" w:lineRule="auto"/>
        <w:jc w:val="both"/>
        <w:rPr>
          <w:rFonts w:ascii="Times New Roman" w:eastAsia="Calibri" w:hAnsi="Times New Roman" w:cs="Arial"/>
          <w:b/>
          <w:bCs/>
          <w:spacing w:val="-2"/>
          <w:sz w:val="24"/>
          <w:szCs w:val="24"/>
          <w14:ligatures w14:val="none"/>
        </w:rPr>
      </w:pPr>
      <w:r w:rsidRPr="00EB2867">
        <w:rPr>
          <w:rFonts w:ascii="Times New Roman" w:eastAsia="Calibri" w:hAnsi="Times New Roman" w:cs="Arial"/>
          <w:spacing w:val="-2"/>
          <w:sz w:val="24"/>
          <w:szCs w:val="24"/>
          <w14:ligatures w14:val="none"/>
        </w:rPr>
        <w:t xml:space="preserve">Interested consultants may obtain further information at the address below during office hours </w:t>
      </w:r>
      <w:r w:rsidRPr="00EB2867">
        <w:rPr>
          <w:rFonts w:ascii="Times New Roman" w:eastAsia="Calibri" w:hAnsi="Times New Roman" w:cs="Arial"/>
          <w:b/>
          <w:bCs/>
          <w:spacing w:val="-2"/>
          <w:sz w:val="24"/>
          <w:szCs w:val="24"/>
          <w14:ligatures w14:val="none"/>
        </w:rPr>
        <w:t xml:space="preserve">8:30 to 16:30 Morocco Local Time. </w:t>
      </w:r>
    </w:p>
    <w:p w14:paraId="642EEF27" w14:textId="77777777" w:rsidR="00EB2867" w:rsidRPr="00EB2867" w:rsidRDefault="00EB2867" w:rsidP="00EB2867">
      <w:pPr>
        <w:suppressAutoHyphens/>
        <w:spacing w:after="0" w:line="240" w:lineRule="auto"/>
        <w:jc w:val="both"/>
        <w:rPr>
          <w:rFonts w:ascii="Times New Roman" w:eastAsia="Calibri" w:hAnsi="Times New Roman" w:cs="Arial"/>
          <w:b/>
          <w:bCs/>
          <w:spacing w:val="-2"/>
          <w:sz w:val="24"/>
          <w:szCs w:val="24"/>
          <w14:ligatures w14:val="none"/>
        </w:rPr>
      </w:pPr>
    </w:p>
    <w:p w14:paraId="779984A1" w14:textId="7A04768A"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r w:rsidRPr="00EB2867">
        <w:rPr>
          <w:rFonts w:ascii="Times New Roman" w:eastAsia="Calibri" w:hAnsi="Times New Roman" w:cs="Arial"/>
          <w:spacing w:val="-2"/>
          <w:sz w:val="24"/>
          <w:szCs w:val="24"/>
          <w14:ligatures w14:val="none"/>
        </w:rPr>
        <w:t xml:space="preserve">Expressions of interest must be delivered in written form to the address below (in person, by mail, or email) by </w:t>
      </w:r>
      <w:r w:rsidR="00FE2AD4">
        <w:rPr>
          <w:rFonts w:ascii="Times New Roman" w:eastAsia="Calibri" w:hAnsi="Times New Roman" w:cs="Arial"/>
          <w:b/>
          <w:bCs/>
          <w:spacing w:val="-2"/>
          <w:sz w:val="24"/>
          <w:szCs w:val="24"/>
          <w14:ligatures w14:val="none"/>
        </w:rPr>
        <w:t>19</w:t>
      </w:r>
      <w:r w:rsidR="002C3F18" w:rsidRPr="00EB2867">
        <w:rPr>
          <w:rFonts w:ascii="Times New Roman" w:eastAsia="Calibri" w:hAnsi="Times New Roman" w:cs="Arial"/>
          <w:b/>
          <w:bCs/>
          <w:spacing w:val="-2"/>
          <w:sz w:val="24"/>
          <w:szCs w:val="24"/>
          <w14:ligatures w14:val="none"/>
        </w:rPr>
        <w:t xml:space="preserve"> </w:t>
      </w:r>
      <w:r w:rsidR="00FE2AD4">
        <w:rPr>
          <w:rFonts w:ascii="Times New Roman" w:eastAsia="Calibri" w:hAnsi="Times New Roman" w:cs="Arial"/>
          <w:b/>
          <w:bCs/>
          <w:spacing w:val="-2"/>
          <w:sz w:val="24"/>
          <w:szCs w:val="24"/>
          <w14:ligatures w14:val="none"/>
        </w:rPr>
        <w:t>March</w:t>
      </w:r>
      <w:r w:rsidRPr="00EB2867">
        <w:rPr>
          <w:rFonts w:ascii="Times New Roman" w:eastAsia="Calibri" w:hAnsi="Times New Roman" w:cs="Arial"/>
          <w:b/>
          <w:bCs/>
          <w:spacing w:val="-2"/>
          <w:sz w:val="24"/>
          <w:szCs w:val="24"/>
          <w14:ligatures w14:val="none"/>
        </w:rPr>
        <w:t xml:space="preserve"> 202</w:t>
      </w:r>
      <w:r w:rsidR="00F248AB">
        <w:rPr>
          <w:rFonts w:ascii="Times New Roman" w:eastAsia="Calibri" w:hAnsi="Times New Roman" w:cs="Arial"/>
          <w:b/>
          <w:bCs/>
          <w:spacing w:val="-2"/>
          <w:sz w:val="24"/>
          <w:szCs w:val="24"/>
          <w14:ligatures w14:val="none"/>
        </w:rPr>
        <w:t>6</w:t>
      </w:r>
      <w:r w:rsidRPr="00EB2867">
        <w:rPr>
          <w:rFonts w:ascii="Times New Roman" w:eastAsia="Calibri" w:hAnsi="Times New Roman" w:cs="Arial"/>
          <w:spacing w:val="-2"/>
          <w:sz w:val="24"/>
          <w:szCs w:val="24"/>
          <w14:ligatures w14:val="none"/>
        </w:rPr>
        <w:t>.</w:t>
      </w:r>
    </w:p>
    <w:p w14:paraId="5782100B"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33AE6411" w14:textId="77777777" w:rsidR="00EB2867" w:rsidRPr="00EB2867" w:rsidRDefault="00EB2867" w:rsidP="00EB2867">
      <w:pPr>
        <w:suppressAutoHyphens/>
        <w:spacing w:after="0" w:line="240" w:lineRule="auto"/>
        <w:jc w:val="both"/>
        <w:rPr>
          <w:rFonts w:ascii="Times New Roman" w:eastAsia="Calibri" w:hAnsi="Times New Roman" w:cs="Arial"/>
          <w:spacing w:val="-2"/>
          <w:sz w:val="24"/>
          <w:szCs w:val="24"/>
          <w14:ligatures w14:val="none"/>
        </w:rPr>
      </w:pPr>
    </w:p>
    <w:p w14:paraId="4441B37F"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p>
    <w:p w14:paraId="278FE861"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 xml:space="preserve">BANK AL-MAGHRIB, MOROCCO (BAM) </w:t>
      </w:r>
    </w:p>
    <w:p w14:paraId="56D29187"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Banking Supervision Directorate</w:t>
      </w:r>
    </w:p>
    <w:p w14:paraId="6725BC09"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Address: 57 CFC Tower, 24th Floor, Casa Anfa, Hay Hassani</w:t>
      </w:r>
    </w:p>
    <w:p w14:paraId="2DAB96DD" w14:textId="77777777"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 xml:space="preserve">Tel: 212 5 22 47 80 32 / Fax: 212 5 22 22 69 16 </w:t>
      </w:r>
    </w:p>
    <w:p w14:paraId="2AC75DD9" w14:textId="34BDA9DD" w:rsidR="00EB2867" w:rsidRPr="00EB2867" w:rsidRDefault="00EB2867" w:rsidP="00EB2867">
      <w:pPr>
        <w:suppressAutoHyphens/>
        <w:spacing w:after="0" w:line="240" w:lineRule="auto"/>
        <w:jc w:val="both"/>
        <w:rPr>
          <w:rFonts w:ascii="Times New Roman" w:eastAsia="Calibri" w:hAnsi="Times New Roman" w:cs="Arial"/>
          <w:spacing w:val="-2"/>
          <w:sz w:val="24"/>
          <w14:ligatures w14:val="none"/>
        </w:rPr>
      </w:pPr>
      <w:r w:rsidRPr="00EB2867">
        <w:rPr>
          <w:rFonts w:ascii="Times New Roman" w:eastAsia="Calibri" w:hAnsi="Times New Roman" w:cs="Arial"/>
          <w:spacing w:val="-2"/>
          <w:sz w:val="24"/>
          <w14:ligatures w14:val="none"/>
        </w:rPr>
        <w:t xml:space="preserve">Email: </w:t>
      </w:r>
      <w:hyperlink r:id="rId6" w:history="1">
        <w:r w:rsidR="002C3F18" w:rsidRPr="00AF2F15">
          <w:rPr>
            <w:rStyle w:val="Hyperlink"/>
            <w:rFonts w:ascii="Times New Roman" w:eastAsia="Calibri" w:hAnsi="Times New Roman" w:cs="Arial"/>
            <w:spacing w:val="-2"/>
            <w:sz w:val="24"/>
            <w14:ligatures w14:val="none"/>
          </w:rPr>
          <w:t>dsb@bkam.ma</w:t>
        </w:r>
      </w:hyperlink>
      <w:r w:rsidR="002C3F18">
        <w:rPr>
          <w:rFonts w:ascii="Times New Roman" w:eastAsia="Calibri" w:hAnsi="Times New Roman" w:cs="Arial"/>
          <w:spacing w:val="-2"/>
          <w:sz w:val="24"/>
          <w14:ligatures w14:val="none"/>
        </w:rPr>
        <w:t xml:space="preserve"> </w:t>
      </w:r>
    </w:p>
    <w:p w14:paraId="3D682533" w14:textId="77777777" w:rsidR="00EB2867" w:rsidRPr="00EB2867" w:rsidRDefault="00EB2867" w:rsidP="00EB2867">
      <w:pPr>
        <w:suppressAutoHyphens/>
        <w:spacing w:after="0" w:line="240" w:lineRule="auto"/>
        <w:jc w:val="both"/>
        <w:rPr>
          <w:rFonts w:ascii="Times New Roman" w:eastAsia="Calibri" w:hAnsi="Times New Roman" w:cs="Times New Roman"/>
          <w:spacing w:val="-2"/>
          <w:sz w:val="24"/>
          <w:szCs w:val="24"/>
          <w14:ligatures w14:val="none"/>
        </w:rPr>
      </w:pPr>
    </w:p>
    <w:p w14:paraId="5F67E76C" w14:textId="77777777" w:rsidR="00EB2867" w:rsidRPr="00EB2867" w:rsidRDefault="00EB2867" w:rsidP="00EB2867">
      <w:pPr>
        <w:rPr>
          <w:rFonts w:ascii="Times New Roman" w:eastAsia="Calibri" w:hAnsi="Times New Roman" w:cs="Times New Roman"/>
          <w:b/>
          <w:bCs/>
          <w:sz w:val="28"/>
          <w:szCs w:val="28"/>
          <w14:ligatures w14:val="none"/>
        </w:rPr>
      </w:pPr>
    </w:p>
    <w:p w14:paraId="5A365866" w14:textId="3DD16C75" w:rsidR="00EB2867" w:rsidRPr="00EB2867" w:rsidRDefault="00EB2867" w:rsidP="00EB2867">
      <w:pPr>
        <w:rPr>
          <w:lang w:val="en-GB" w:eastAsia="en-GB"/>
        </w:rPr>
      </w:pPr>
    </w:p>
    <w:p w14:paraId="31E4E720" w14:textId="77777777" w:rsidR="00EB2867" w:rsidRPr="00EB2867" w:rsidRDefault="00EB2867" w:rsidP="00EB2867">
      <w:pPr>
        <w:rPr>
          <w:lang w:val="en-GB" w:eastAsia="en-GB"/>
        </w:rPr>
      </w:pPr>
    </w:p>
    <w:p w14:paraId="19B780F8" w14:textId="77777777" w:rsidR="00EB2867" w:rsidRPr="00EB2867" w:rsidRDefault="00EB2867" w:rsidP="00EB2867">
      <w:pPr>
        <w:rPr>
          <w:lang w:val="en-GB" w:eastAsia="en-GB"/>
        </w:rPr>
      </w:pPr>
    </w:p>
    <w:p w14:paraId="0F0BAB6B" w14:textId="0FCE2807" w:rsidR="00EB2867" w:rsidRPr="00EB2867" w:rsidRDefault="00EB2867" w:rsidP="00EB2867">
      <w:pPr>
        <w:rPr>
          <w:lang w:val="en-GB" w:eastAsia="en-GB"/>
        </w:rPr>
      </w:pPr>
    </w:p>
    <w:p w14:paraId="3D759900" w14:textId="77777777" w:rsidR="00EB2867" w:rsidRPr="00EB2867" w:rsidRDefault="00EB2867" w:rsidP="00EB2867">
      <w:pPr>
        <w:rPr>
          <w:lang w:val="en-GB" w:eastAsia="en-GB"/>
        </w:rPr>
      </w:pPr>
    </w:p>
    <w:p w14:paraId="11B9BB62" w14:textId="77777777" w:rsidR="00EB2867" w:rsidRPr="00EB2867" w:rsidRDefault="00EB2867" w:rsidP="00EB2867">
      <w:pPr>
        <w:rPr>
          <w:lang w:val="en-GB" w:eastAsia="en-GB"/>
        </w:rPr>
      </w:pPr>
    </w:p>
    <w:p w14:paraId="158604B2" w14:textId="77777777" w:rsidR="00EB2867" w:rsidRPr="00EB2867" w:rsidRDefault="00EB2867" w:rsidP="00EB2867">
      <w:pPr>
        <w:rPr>
          <w:lang w:val="en-GB" w:eastAsia="en-GB"/>
        </w:rPr>
      </w:pPr>
    </w:p>
    <w:p w14:paraId="26BE58DE" w14:textId="77777777" w:rsidR="00EB2867" w:rsidRPr="00EB2867" w:rsidRDefault="00EB2867" w:rsidP="00EB2867">
      <w:pPr>
        <w:rPr>
          <w:lang w:val="en-GB" w:eastAsia="en-GB"/>
        </w:rPr>
      </w:pPr>
    </w:p>
    <w:p w14:paraId="6CD9956D" w14:textId="77777777" w:rsidR="00EB2867" w:rsidRPr="00EB2867" w:rsidRDefault="00EB2867" w:rsidP="00EB2867">
      <w:pPr>
        <w:rPr>
          <w:lang w:val="en-GB" w:eastAsia="en-GB"/>
        </w:rPr>
      </w:pPr>
    </w:p>
    <w:p w14:paraId="11E703A4" w14:textId="77777777" w:rsidR="00EB2867" w:rsidRPr="00EB2867" w:rsidRDefault="00EB2867" w:rsidP="00EB2867">
      <w:pPr>
        <w:rPr>
          <w:lang w:val="en-GB" w:eastAsia="en-GB"/>
        </w:rPr>
      </w:pPr>
    </w:p>
    <w:p w14:paraId="586B9461" w14:textId="77777777" w:rsidR="00EB2867" w:rsidRPr="00EB2867" w:rsidRDefault="00EB2867" w:rsidP="00EB2867">
      <w:pPr>
        <w:rPr>
          <w:lang w:val="en-GB" w:eastAsia="en-GB"/>
        </w:rPr>
      </w:pPr>
    </w:p>
    <w:p w14:paraId="496A3C32" w14:textId="77777777" w:rsidR="00EB2867" w:rsidRPr="00EB2867" w:rsidRDefault="00EB2867" w:rsidP="00EB2867">
      <w:pPr>
        <w:rPr>
          <w:lang w:val="en-GB" w:eastAsia="en-GB"/>
        </w:rPr>
      </w:pPr>
    </w:p>
    <w:p w14:paraId="08300390" w14:textId="77777777" w:rsidR="00EB2867" w:rsidRDefault="00EB2867" w:rsidP="00463081">
      <w:pPr>
        <w:spacing w:after="0" w:line="240" w:lineRule="auto"/>
        <w:jc w:val="center"/>
        <w:rPr>
          <w:rFonts w:asciiTheme="majorBidi" w:hAnsiTheme="majorBidi" w:cstheme="majorBidi"/>
          <w:b/>
          <w:bCs/>
          <w:sz w:val="28"/>
          <w:szCs w:val="28"/>
        </w:rPr>
      </w:pPr>
    </w:p>
    <w:p w14:paraId="2A4D9387" w14:textId="77777777" w:rsidR="00EB2867" w:rsidRDefault="00EB2867" w:rsidP="00463081">
      <w:pPr>
        <w:spacing w:after="0" w:line="240" w:lineRule="auto"/>
        <w:jc w:val="center"/>
        <w:rPr>
          <w:rFonts w:asciiTheme="majorBidi" w:hAnsiTheme="majorBidi" w:cstheme="majorBidi"/>
          <w:b/>
          <w:bCs/>
          <w:sz w:val="28"/>
          <w:szCs w:val="28"/>
        </w:rPr>
      </w:pPr>
    </w:p>
    <w:sectPr w:rsidR="00EB2867" w:rsidSect="002244DC">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imes New Roman"/>
    <w:panose1 w:val="02020603050405020304"/>
    <w:charset w:val="B2"/>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B7C"/>
    <w:multiLevelType w:val="hybridMultilevel"/>
    <w:tmpl w:val="64C66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C7E87"/>
    <w:multiLevelType w:val="hybridMultilevel"/>
    <w:tmpl w:val="B948B6B4"/>
    <w:lvl w:ilvl="0" w:tplc="4CC0F8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24A8E"/>
    <w:multiLevelType w:val="hybridMultilevel"/>
    <w:tmpl w:val="E3142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C1DAE"/>
    <w:multiLevelType w:val="hybridMultilevel"/>
    <w:tmpl w:val="9EC67D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B9F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897A02"/>
    <w:multiLevelType w:val="hybridMultilevel"/>
    <w:tmpl w:val="DA52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4988"/>
    <w:multiLevelType w:val="hybridMultilevel"/>
    <w:tmpl w:val="EF74CDB0"/>
    <w:lvl w:ilvl="0" w:tplc="040C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BA2244"/>
    <w:multiLevelType w:val="hybridMultilevel"/>
    <w:tmpl w:val="42A06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947F19"/>
    <w:multiLevelType w:val="hybridMultilevel"/>
    <w:tmpl w:val="70FE1B5C"/>
    <w:lvl w:ilvl="0" w:tplc="9F146BC0">
      <w:start w:val="2017"/>
      <w:numFmt w:val="bullet"/>
      <w:lvlText w:val="-"/>
      <w:lvlJc w:val="left"/>
      <w:pPr>
        <w:ind w:left="720" w:hanging="360"/>
      </w:pPr>
      <w:rPr>
        <w:rFonts w:ascii="Roboto Light" w:eastAsia="Calibri" w:hAnsi="Roboto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675719"/>
    <w:multiLevelType w:val="hybridMultilevel"/>
    <w:tmpl w:val="5AFCFAC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35414D"/>
    <w:multiLevelType w:val="hybridMultilevel"/>
    <w:tmpl w:val="EDD6BA4A"/>
    <w:lvl w:ilvl="0" w:tplc="9404C7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6329EE"/>
    <w:multiLevelType w:val="hybridMultilevel"/>
    <w:tmpl w:val="8E967B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76E62"/>
    <w:multiLevelType w:val="hybridMultilevel"/>
    <w:tmpl w:val="C8003B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D34118"/>
    <w:multiLevelType w:val="hybridMultilevel"/>
    <w:tmpl w:val="CCF6B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D6768A"/>
    <w:multiLevelType w:val="hybridMultilevel"/>
    <w:tmpl w:val="B9AEE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4C69ED"/>
    <w:multiLevelType w:val="hybridMultilevel"/>
    <w:tmpl w:val="67800464"/>
    <w:lvl w:ilvl="0" w:tplc="DAE29D14">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854EDF"/>
    <w:multiLevelType w:val="hybridMultilevel"/>
    <w:tmpl w:val="91C6D278"/>
    <w:lvl w:ilvl="0" w:tplc="040C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029967">
    <w:abstractNumId w:val="12"/>
  </w:num>
  <w:num w:numId="2" w16cid:durableId="1876846971">
    <w:abstractNumId w:val="6"/>
  </w:num>
  <w:num w:numId="3" w16cid:durableId="1507477728">
    <w:abstractNumId w:val="15"/>
  </w:num>
  <w:num w:numId="4" w16cid:durableId="2075153651">
    <w:abstractNumId w:val="1"/>
  </w:num>
  <w:num w:numId="5" w16cid:durableId="1090274423">
    <w:abstractNumId w:val="11"/>
  </w:num>
  <w:num w:numId="6" w16cid:durableId="1527525119">
    <w:abstractNumId w:val="9"/>
  </w:num>
  <w:num w:numId="7" w16cid:durableId="684097075">
    <w:abstractNumId w:val="0"/>
  </w:num>
  <w:num w:numId="8" w16cid:durableId="935331809">
    <w:abstractNumId w:val="3"/>
  </w:num>
  <w:num w:numId="9" w16cid:durableId="2021468458">
    <w:abstractNumId w:val="7"/>
  </w:num>
  <w:num w:numId="10" w16cid:durableId="1693799460">
    <w:abstractNumId w:val="13"/>
  </w:num>
  <w:num w:numId="11" w16cid:durableId="812017022">
    <w:abstractNumId w:val="10"/>
  </w:num>
  <w:num w:numId="12" w16cid:durableId="1930842927">
    <w:abstractNumId w:val="5"/>
  </w:num>
  <w:num w:numId="13" w16cid:durableId="145126853">
    <w:abstractNumId w:val="16"/>
  </w:num>
  <w:num w:numId="14" w16cid:durableId="330451830">
    <w:abstractNumId w:val="8"/>
  </w:num>
  <w:num w:numId="15" w16cid:durableId="1441334461">
    <w:abstractNumId w:val="2"/>
  </w:num>
  <w:num w:numId="16" w16cid:durableId="1373265401">
    <w:abstractNumId w:val="14"/>
  </w:num>
  <w:num w:numId="17" w16cid:durableId="1418936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81"/>
    <w:rsid w:val="000D4F0F"/>
    <w:rsid w:val="000E2B2C"/>
    <w:rsid w:val="001E4D8F"/>
    <w:rsid w:val="002C3F18"/>
    <w:rsid w:val="00394DBC"/>
    <w:rsid w:val="00396CCD"/>
    <w:rsid w:val="003B6DBF"/>
    <w:rsid w:val="003F28F0"/>
    <w:rsid w:val="00426B1A"/>
    <w:rsid w:val="00463081"/>
    <w:rsid w:val="004D3115"/>
    <w:rsid w:val="00523A75"/>
    <w:rsid w:val="00586B55"/>
    <w:rsid w:val="005B3D34"/>
    <w:rsid w:val="00672A8E"/>
    <w:rsid w:val="007F60B2"/>
    <w:rsid w:val="008337CF"/>
    <w:rsid w:val="00935A6E"/>
    <w:rsid w:val="00960FB3"/>
    <w:rsid w:val="009B5135"/>
    <w:rsid w:val="00A359BE"/>
    <w:rsid w:val="00A41E5E"/>
    <w:rsid w:val="00A84942"/>
    <w:rsid w:val="00B144BC"/>
    <w:rsid w:val="00B429CC"/>
    <w:rsid w:val="00BE74AA"/>
    <w:rsid w:val="00C63113"/>
    <w:rsid w:val="00E12DFA"/>
    <w:rsid w:val="00E909EF"/>
    <w:rsid w:val="00E9678D"/>
    <w:rsid w:val="00EB2867"/>
    <w:rsid w:val="00F248AB"/>
    <w:rsid w:val="00F463E3"/>
    <w:rsid w:val="00F54BFF"/>
    <w:rsid w:val="00FE2A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6AC2"/>
  <w15:chartTrackingRefBased/>
  <w15:docId w15:val="{215078FF-E7AF-4250-88B4-CA412D03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81"/>
    <w:pPr>
      <w:spacing w:after="200" w:line="276" w:lineRule="auto"/>
    </w:pPr>
    <w:rPr>
      <w:kern w:val="0"/>
      <w:lang w:val="en-US"/>
    </w:rPr>
  </w:style>
  <w:style w:type="paragraph" w:styleId="Heading1">
    <w:name w:val="heading 1"/>
    <w:basedOn w:val="Normal"/>
    <w:next w:val="Normal"/>
    <w:link w:val="Heading1Char"/>
    <w:qFormat/>
    <w:rsid w:val="00463081"/>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081"/>
    <w:rPr>
      <w:rFonts w:asciiTheme="majorHAnsi" w:eastAsiaTheme="majorEastAsia" w:hAnsiTheme="majorHAnsi" w:cstheme="majorBidi"/>
      <w:color w:val="2F5496" w:themeColor="accent1" w:themeShade="BF"/>
      <w:kern w:val="0"/>
      <w:sz w:val="40"/>
      <w:szCs w:val="40"/>
      <w:lang w:val="en-GB"/>
    </w:rPr>
  </w:style>
  <w:style w:type="paragraph" w:styleId="ListParagraph">
    <w:name w:val="List Paragraph"/>
    <w:aliases w:val="List Paragraph2,Bullets,List Paragraph nowy,References,Text,Citation List,سرد الفقرات,List Paragraph (numbered (a)),Use Case List Paragraph,본문(내용),Colorful List - Accent 11,List_Paragraph,Multilevel para_II,ADB Normal,List Paragraph1"/>
    <w:basedOn w:val="Normal"/>
    <w:link w:val="ListParagraphChar"/>
    <w:uiPriority w:val="34"/>
    <w:qFormat/>
    <w:rsid w:val="00463081"/>
    <w:pPr>
      <w:ind w:left="720"/>
      <w:contextualSpacing/>
    </w:pPr>
  </w:style>
  <w:style w:type="character" w:customStyle="1" w:styleId="ListParagraphChar">
    <w:name w:val="List Paragraph Char"/>
    <w:aliases w:val="List Paragraph2 Char,Bullets Char,List Paragraph nowy Char,References Char,Text Char,Citation List Char,سرد الفقرات Char,List Paragraph (numbered (a)) Char,Use Case List Paragraph Char,본문(내용) Char,Colorful List - Accent 11 Char"/>
    <w:link w:val="ListParagraph"/>
    <w:uiPriority w:val="34"/>
    <w:qFormat/>
    <w:locked/>
    <w:rsid w:val="00463081"/>
    <w:rPr>
      <w:kern w:val="0"/>
      <w:lang w:val="en-US"/>
    </w:rPr>
  </w:style>
  <w:style w:type="paragraph" w:styleId="BodyText">
    <w:name w:val="Body Text"/>
    <w:basedOn w:val="Normal"/>
    <w:link w:val="BodyTextChar"/>
    <w:rsid w:val="00463081"/>
    <w:pPr>
      <w:spacing w:after="0" w:line="240" w:lineRule="auto"/>
      <w:ind w:right="720"/>
      <w:jc w:val="lowKashida"/>
    </w:pPr>
    <w:rPr>
      <w:rFonts w:ascii="Times New Roman" w:eastAsia="Times New Roman" w:hAnsi="Times New Roman" w:cs="Traditional Arabic"/>
      <w:sz w:val="24"/>
      <w:szCs w:val="24"/>
      <w:lang w:val="en-GB" w:eastAsia="en-GB"/>
    </w:rPr>
  </w:style>
  <w:style w:type="character" w:customStyle="1" w:styleId="BodyTextChar">
    <w:name w:val="Body Text Char"/>
    <w:basedOn w:val="DefaultParagraphFont"/>
    <w:link w:val="BodyText"/>
    <w:rsid w:val="00463081"/>
    <w:rPr>
      <w:rFonts w:ascii="Times New Roman" w:eastAsia="Times New Roman" w:hAnsi="Times New Roman" w:cs="Traditional Arabic"/>
      <w:kern w:val="0"/>
      <w:sz w:val="24"/>
      <w:szCs w:val="24"/>
      <w:lang w:val="en-GB" w:eastAsia="en-GB"/>
    </w:rPr>
  </w:style>
  <w:style w:type="paragraph" w:styleId="NoSpacing">
    <w:name w:val="No Spacing"/>
    <w:link w:val="NoSpacingChar"/>
    <w:uiPriority w:val="1"/>
    <w:qFormat/>
    <w:rsid w:val="00463081"/>
    <w:pPr>
      <w:spacing w:after="0" w:line="240" w:lineRule="auto"/>
    </w:pPr>
    <w:rPr>
      <w:rFonts w:ascii="Calibri" w:eastAsia="Calibri" w:hAnsi="Calibri" w:cs="Arial"/>
      <w:kern w:val="0"/>
      <w:lang w:val="en-US"/>
    </w:rPr>
  </w:style>
  <w:style w:type="character" w:customStyle="1" w:styleId="NoSpacingChar">
    <w:name w:val="No Spacing Char"/>
    <w:link w:val="NoSpacing"/>
    <w:uiPriority w:val="1"/>
    <w:rsid w:val="00463081"/>
    <w:rPr>
      <w:rFonts w:ascii="Calibri" w:eastAsia="Calibri" w:hAnsi="Calibri" w:cs="Arial"/>
      <w:kern w:val="0"/>
      <w:lang w:val="en-US"/>
    </w:rPr>
  </w:style>
  <w:style w:type="paragraph" w:styleId="Revision">
    <w:name w:val="Revision"/>
    <w:hidden/>
    <w:uiPriority w:val="99"/>
    <w:semiHidden/>
    <w:rsid w:val="00BE74AA"/>
    <w:pPr>
      <w:spacing w:after="0" w:line="240" w:lineRule="auto"/>
    </w:pPr>
    <w:rPr>
      <w:kern w:val="0"/>
      <w:lang w:val="en-US"/>
    </w:rPr>
  </w:style>
  <w:style w:type="character" w:styleId="Hyperlink">
    <w:name w:val="Hyperlink"/>
    <w:basedOn w:val="DefaultParagraphFont"/>
    <w:uiPriority w:val="99"/>
    <w:unhideWhenUsed/>
    <w:rsid w:val="002C3F18"/>
    <w:rPr>
      <w:color w:val="0563C1" w:themeColor="hyperlink"/>
      <w:u w:val="single"/>
    </w:rPr>
  </w:style>
  <w:style w:type="character" w:styleId="UnresolvedMention">
    <w:name w:val="Unresolved Mention"/>
    <w:basedOn w:val="DefaultParagraphFont"/>
    <w:uiPriority w:val="99"/>
    <w:semiHidden/>
    <w:unhideWhenUsed/>
    <w:rsid w:val="002C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b@bkam.ma" TargetMode="External"/><Relationship Id="rId5" Type="http://schemas.openxmlformats.org/officeDocument/2006/relationships/hyperlink" Target="https://www.isdb.org/project-procurement/sites/pproc/files/documents/PPR%20Guidelines-Consultants-ENG.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1192</Words>
  <Characters>7312</Characters>
  <Application>Microsoft Office Word</Application>
  <DocSecurity>0</DocSecurity>
  <Lines>169</Lines>
  <Paragraphs>63</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Objectives of the Technical Assistance mission:</vt:lpstr>
      <vt:lpstr>Scope of Work:</vt:lpstr>
      <vt:lpstr>Deliverables:</vt:lpstr>
      <vt:lpstr>Project Management and reporting:</vt:lpstr>
      <vt:lpstr>Duration of Assignment:</vt:lpstr>
      <vt:lpstr>Key Experts required for the Assignments:</vt:lpstr>
    </vt:vector>
  </TitlesOfParts>
  <Company>Bank Al Maghrib</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CHADER RACHID</dc:creator>
  <cp:keywords/>
  <dc:description/>
  <cp:lastModifiedBy>Mehmet Fehmi Eken</cp:lastModifiedBy>
  <cp:revision>17</cp:revision>
  <dcterms:created xsi:type="dcterms:W3CDTF">2025-12-26T09:00:00Z</dcterms:created>
  <dcterms:modified xsi:type="dcterms:W3CDTF">2026-02-17T07:24:00Z</dcterms:modified>
</cp:coreProperties>
</file>