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A1ED3" w14:textId="39354688" w:rsidR="00566FAB" w:rsidRPr="00F23704" w:rsidRDefault="00566FAB" w:rsidP="00566FAB">
      <w:pPr>
        <w:tabs>
          <w:tab w:val="left" w:pos="720"/>
        </w:tabs>
        <w:spacing w:after="0" w:line="240" w:lineRule="auto"/>
        <w:jc w:val="center"/>
        <w:rPr>
          <w:rFonts w:ascii="Times New Roman" w:eastAsia="Times New Roman" w:hAnsi="Times New Roman" w:cs="Times New Roman"/>
          <w:b/>
          <w:bCs/>
          <w:smallCaps/>
          <w:sz w:val="24"/>
          <w:szCs w:val="24"/>
        </w:rPr>
      </w:pPr>
      <w:r w:rsidRPr="00F23704">
        <w:rPr>
          <w:rFonts w:ascii="Times New Roman" w:eastAsia="Times New Roman" w:hAnsi="Times New Roman" w:cs="Times New Roman"/>
          <w:b/>
          <w:bCs/>
          <w:smallCaps/>
          <w:sz w:val="24"/>
          <w:szCs w:val="24"/>
        </w:rPr>
        <w:t>REQUEST FOR EXPRESSIONS OF INTEREST</w:t>
      </w:r>
    </w:p>
    <w:p w14:paraId="377D54D4" w14:textId="77777777" w:rsidR="00566FAB" w:rsidRPr="00F23704" w:rsidRDefault="00566FAB" w:rsidP="00566FAB">
      <w:pPr>
        <w:tabs>
          <w:tab w:val="left" w:pos="720"/>
        </w:tabs>
        <w:spacing w:after="0" w:line="240" w:lineRule="auto"/>
        <w:jc w:val="center"/>
        <w:rPr>
          <w:rFonts w:ascii="Times New Roman" w:eastAsia="Times New Roman" w:hAnsi="Times New Roman" w:cs="Times New Roman"/>
          <w:b/>
          <w:bCs/>
          <w:smallCaps/>
          <w:sz w:val="24"/>
          <w:szCs w:val="24"/>
        </w:rPr>
      </w:pPr>
      <w:r w:rsidRPr="00F23704">
        <w:rPr>
          <w:rFonts w:ascii="Times New Roman" w:eastAsia="Times New Roman" w:hAnsi="Times New Roman" w:cs="Times New Roman"/>
          <w:b/>
          <w:bCs/>
          <w:smallCaps/>
          <w:sz w:val="24"/>
          <w:szCs w:val="24"/>
        </w:rPr>
        <w:t>(CONSULTANT SERVICES</w:t>
      </w:r>
      <w:r w:rsidR="00BA7A4A" w:rsidRPr="00F23704">
        <w:rPr>
          <w:rFonts w:ascii="Times New Roman" w:eastAsia="Times New Roman" w:hAnsi="Times New Roman" w:cs="Times New Roman"/>
          <w:b/>
          <w:bCs/>
          <w:smallCaps/>
          <w:sz w:val="24"/>
          <w:szCs w:val="24"/>
        </w:rPr>
        <w:t xml:space="preserve"> – SELECTION OF FIRMS</w:t>
      </w:r>
      <w:r w:rsidRPr="00F23704">
        <w:rPr>
          <w:rFonts w:ascii="Times New Roman" w:eastAsia="Times New Roman" w:hAnsi="Times New Roman" w:cs="Times New Roman"/>
          <w:b/>
          <w:bCs/>
          <w:smallCaps/>
          <w:sz w:val="24"/>
          <w:szCs w:val="24"/>
        </w:rPr>
        <w:t>)</w:t>
      </w:r>
    </w:p>
    <w:p w14:paraId="33B020DB" w14:textId="77777777" w:rsidR="0038432F" w:rsidRPr="00F23704" w:rsidRDefault="0038432F" w:rsidP="001E39E5">
      <w:pPr>
        <w:suppressAutoHyphens/>
        <w:spacing w:after="0" w:line="240" w:lineRule="auto"/>
        <w:rPr>
          <w:rFonts w:ascii="Times New Roman" w:eastAsia="Calibri" w:hAnsi="Times New Roman" w:cs="Times New Roman"/>
          <w:spacing w:val="-2"/>
          <w:sz w:val="24"/>
          <w:szCs w:val="24"/>
        </w:rPr>
      </w:pPr>
    </w:p>
    <w:p w14:paraId="7EBECFE4" w14:textId="77777777" w:rsidR="00C34090" w:rsidRPr="0055476E" w:rsidRDefault="00C34090" w:rsidP="00C34090">
      <w:pPr>
        <w:suppressAutoHyphens/>
        <w:spacing w:after="0" w:line="240" w:lineRule="auto"/>
        <w:rPr>
          <w:rFonts w:ascii="Times New Roman" w:hAnsi="Times New Roman"/>
          <w:spacing w:val="-2"/>
          <w:sz w:val="24"/>
          <w:szCs w:val="24"/>
        </w:rPr>
      </w:pPr>
      <w:r w:rsidRPr="0055476E">
        <w:rPr>
          <w:rFonts w:ascii="Times New Roman" w:hAnsi="Times New Roman"/>
          <w:b/>
          <w:bCs/>
          <w:spacing w:val="-2"/>
          <w:sz w:val="24"/>
          <w:szCs w:val="24"/>
        </w:rPr>
        <w:t>Country:</w:t>
      </w:r>
      <w:r w:rsidRPr="0055476E">
        <w:rPr>
          <w:rFonts w:ascii="Times New Roman" w:hAnsi="Times New Roman"/>
          <w:spacing w:val="-2"/>
          <w:sz w:val="24"/>
          <w:szCs w:val="24"/>
        </w:rPr>
        <w:t xml:space="preserve"> </w:t>
      </w:r>
      <w:r>
        <w:rPr>
          <w:rFonts w:ascii="Times New Roman" w:hAnsi="Times New Roman"/>
          <w:spacing w:val="-2"/>
          <w:sz w:val="24"/>
          <w:szCs w:val="24"/>
        </w:rPr>
        <w:t>Oman</w:t>
      </w:r>
    </w:p>
    <w:p w14:paraId="793A55DC" w14:textId="77777777" w:rsidR="00C34090" w:rsidRPr="0055476E" w:rsidRDefault="00C34090" w:rsidP="00C34090">
      <w:pPr>
        <w:suppressAutoHyphens/>
        <w:spacing w:after="0" w:line="240" w:lineRule="auto"/>
        <w:rPr>
          <w:rFonts w:ascii="Times New Roman" w:hAnsi="Times New Roman"/>
          <w:spacing w:val="-2"/>
          <w:sz w:val="24"/>
          <w:szCs w:val="24"/>
        </w:rPr>
      </w:pPr>
      <w:r w:rsidRPr="0055476E">
        <w:rPr>
          <w:rFonts w:ascii="Times New Roman" w:hAnsi="Times New Roman"/>
          <w:b/>
          <w:bCs/>
          <w:spacing w:val="-2"/>
          <w:sz w:val="24"/>
          <w:szCs w:val="24"/>
        </w:rPr>
        <w:t>Project Name:</w:t>
      </w:r>
      <w:r w:rsidRPr="0055476E">
        <w:rPr>
          <w:rFonts w:ascii="Times New Roman" w:hAnsi="Times New Roman"/>
          <w:spacing w:val="-2"/>
          <w:sz w:val="24"/>
          <w:szCs w:val="24"/>
        </w:rPr>
        <w:t xml:space="preserve"> </w:t>
      </w:r>
      <w:r w:rsidRPr="007327C9">
        <w:rPr>
          <w:rFonts w:ascii="Times New Roman" w:hAnsi="Times New Roman"/>
          <w:spacing w:val="-2"/>
          <w:sz w:val="24"/>
          <w:szCs w:val="24"/>
        </w:rPr>
        <w:t>Islamic Finance Grant to the Development Bank</w:t>
      </w:r>
      <w:r>
        <w:rPr>
          <w:rFonts w:ascii="Times New Roman" w:hAnsi="Times New Roman"/>
          <w:spacing w:val="-2"/>
          <w:sz w:val="24"/>
          <w:szCs w:val="24"/>
        </w:rPr>
        <w:t xml:space="preserve"> (</w:t>
      </w:r>
      <w:r w:rsidRPr="007327C9">
        <w:rPr>
          <w:rFonts w:ascii="Times New Roman" w:hAnsi="Times New Roman"/>
          <w:spacing w:val="-2"/>
          <w:sz w:val="24"/>
          <w:szCs w:val="24"/>
        </w:rPr>
        <w:t>Oman</w:t>
      </w:r>
      <w:r>
        <w:rPr>
          <w:rFonts w:ascii="Times New Roman" w:hAnsi="Times New Roman"/>
          <w:spacing w:val="-2"/>
          <w:sz w:val="24"/>
          <w:szCs w:val="24"/>
        </w:rPr>
        <w:t>)</w:t>
      </w:r>
      <w:r w:rsidRPr="007327C9">
        <w:rPr>
          <w:rFonts w:ascii="Times New Roman" w:hAnsi="Times New Roman"/>
          <w:spacing w:val="-2"/>
          <w:sz w:val="24"/>
          <w:szCs w:val="24"/>
        </w:rPr>
        <w:t xml:space="preserve"> to Develop Islamic Finance Operation</w:t>
      </w:r>
    </w:p>
    <w:p w14:paraId="4DFCD8D3" w14:textId="77777777" w:rsidR="00C34090" w:rsidRPr="0055476E" w:rsidRDefault="00C34090" w:rsidP="00C34090">
      <w:pPr>
        <w:suppressAutoHyphens/>
        <w:spacing w:after="0" w:line="240" w:lineRule="auto"/>
        <w:rPr>
          <w:rFonts w:ascii="Times New Roman" w:hAnsi="Times New Roman"/>
          <w:spacing w:val="-2"/>
          <w:sz w:val="24"/>
          <w:szCs w:val="24"/>
        </w:rPr>
      </w:pPr>
      <w:r w:rsidRPr="0055476E">
        <w:rPr>
          <w:rFonts w:ascii="Times New Roman" w:hAnsi="Times New Roman"/>
          <w:b/>
          <w:bCs/>
          <w:spacing w:val="-2"/>
          <w:sz w:val="24"/>
          <w:szCs w:val="24"/>
        </w:rPr>
        <w:t>Sector:</w:t>
      </w:r>
      <w:r w:rsidRPr="0055476E">
        <w:rPr>
          <w:rFonts w:ascii="Times New Roman" w:hAnsi="Times New Roman"/>
          <w:spacing w:val="-2"/>
          <w:sz w:val="24"/>
          <w:szCs w:val="24"/>
        </w:rPr>
        <w:t xml:space="preserve"> Islamic </w:t>
      </w:r>
      <w:r>
        <w:rPr>
          <w:rFonts w:ascii="Times New Roman" w:hAnsi="Times New Roman"/>
          <w:spacing w:val="-2"/>
          <w:sz w:val="24"/>
          <w:szCs w:val="24"/>
        </w:rPr>
        <w:t xml:space="preserve">Banking and </w:t>
      </w:r>
      <w:r w:rsidRPr="0055476E">
        <w:rPr>
          <w:rFonts w:ascii="Times New Roman" w:hAnsi="Times New Roman"/>
          <w:spacing w:val="-2"/>
          <w:sz w:val="24"/>
          <w:szCs w:val="24"/>
        </w:rPr>
        <w:t>Finance</w:t>
      </w:r>
      <w:r>
        <w:rPr>
          <w:rFonts w:ascii="Times New Roman" w:hAnsi="Times New Roman"/>
          <w:spacing w:val="-2"/>
          <w:sz w:val="24"/>
          <w:szCs w:val="24"/>
        </w:rPr>
        <w:t xml:space="preserve"> </w:t>
      </w:r>
    </w:p>
    <w:p w14:paraId="7816F2E3" w14:textId="77777777" w:rsidR="00C34090" w:rsidRPr="0055476E" w:rsidRDefault="00C34090" w:rsidP="00C34090">
      <w:pPr>
        <w:suppressAutoHyphens/>
        <w:spacing w:after="0" w:line="240" w:lineRule="auto"/>
        <w:rPr>
          <w:rFonts w:ascii="Times New Roman" w:hAnsi="Times New Roman"/>
          <w:sz w:val="24"/>
          <w:szCs w:val="24"/>
        </w:rPr>
      </w:pPr>
      <w:r w:rsidRPr="00BE58D4">
        <w:rPr>
          <w:rFonts w:ascii="Times New Roman" w:hAnsi="Times New Roman"/>
          <w:b/>
          <w:bCs/>
          <w:sz w:val="24"/>
          <w:szCs w:val="24"/>
        </w:rPr>
        <w:t>Mode of Financing:</w:t>
      </w:r>
      <w:r w:rsidRPr="0055476E">
        <w:rPr>
          <w:rFonts w:ascii="Times New Roman" w:hAnsi="Times New Roman"/>
          <w:sz w:val="24"/>
          <w:szCs w:val="24"/>
        </w:rPr>
        <w:t xml:space="preserve"> Islamic Finance Grant </w:t>
      </w:r>
    </w:p>
    <w:p w14:paraId="2370DF4F" w14:textId="77777777" w:rsidR="00C34090" w:rsidRPr="0055476E" w:rsidRDefault="00C34090" w:rsidP="00C34090">
      <w:pPr>
        <w:pStyle w:val="BodyText"/>
        <w:rPr>
          <w:rFonts w:ascii="Times New Roman" w:hAnsi="Times New Roman"/>
          <w:szCs w:val="24"/>
        </w:rPr>
      </w:pPr>
      <w:r w:rsidRPr="00EB4709">
        <w:rPr>
          <w:rFonts w:ascii="Times New Roman" w:hAnsi="Times New Roman"/>
          <w:b/>
          <w:bCs/>
          <w:szCs w:val="24"/>
        </w:rPr>
        <w:t>Financing No</w:t>
      </w:r>
      <w:r>
        <w:rPr>
          <w:rFonts w:ascii="Times New Roman" w:hAnsi="Times New Roman"/>
          <w:b/>
          <w:bCs/>
          <w:szCs w:val="24"/>
        </w:rPr>
        <w:t>:</w:t>
      </w:r>
      <w:r>
        <w:rPr>
          <w:rFonts w:ascii="Times New Roman" w:hAnsi="Times New Roman"/>
          <w:szCs w:val="24"/>
        </w:rPr>
        <w:t xml:space="preserve"> OMN1032</w:t>
      </w:r>
    </w:p>
    <w:p w14:paraId="3C33A275" w14:textId="77777777" w:rsidR="00C34090" w:rsidRPr="00B96F14" w:rsidRDefault="00C34090" w:rsidP="00C34090">
      <w:pPr>
        <w:pStyle w:val="ChapterNumber"/>
        <w:tabs>
          <w:tab w:val="clear" w:pos="-720"/>
        </w:tabs>
        <w:rPr>
          <w:rFonts w:ascii="Times New Roman" w:hAnsi="Times New Roman"/>
          <w:spacing w:val="-2"/>
        </w:rPr>
      </w:pPr>
    </w:p>
    <w:p w14:paraId="2B321580" w14:textId="2867A7A2" w:rsidR="005D0584" w:rsidRPr="00DE017B" w:rsidRDefault="005D0584" w:rsidP="005D0584">
      <w:pPr>
        <w:suppressAutoHyphens/>
        <w:jc w:val="both"/>
        <w:rPr>
          <w:rFonts w:ascii="Times New Roman" w:hAnsi="Times New Roman"/>
          <w:i/>
          <w:iCs/>
          <w:spacing w:val="-2"/>
          <w:sz w:val="24"/>
          <w:szCs w:val="24"/>
        </w:rPr>
      </w:pPr>
      <w:r w:rsidRPr="0008314E">
        <w:rPr>
          <w:rFonts w:ascii="Times New Roman" w:hAnsi="Times New Roman"/>
          <w:spacing w:val="-2"/>
          <w:sz w:val="24"/>
          <w:szCs w:val="24"/>
        </w:rPr>
        <w:t>The Islamic Development Bank Institute</w:t>
      </w:r>
      <w:r w:rsidR="0008314E" w:rsidRPr="0008314E">
        <w:rPr>
          <w:rFonts w:ascii="Times New Roman" w:hAnsi="Times New Roman"/>
          <w:spacing w:val="-2"/>
          <w:sz w:val="24"/>
          <w:szCs w:val="24"/>
        </w:rPr>
        <w:t xml:space="preserve"> (IsDBI)</w:t>
      </w:r>
      <w:r w:rsidRPr="0008314E">
        <w:rPr>
          <w:rFonts w:ascii="Times New Roman" w:hAnsi="Times New Roman"/>
          <w:spacing w:val="-2"/>
          <w:sz w:val="24"/>
          <w:szCs w:val="24"/>
        </w:rPr>
        <w:t xml:space="preserve"> has approved a grant </w:t>
      </w:r>
      <w:r w:rsidR="00D22A13" w:rsidRPr="00D22A13">
        <w:rPr>
          <w:rFonts w:ascii="Times New Roman" w:hAnsi="Times New Roman"/>
          <w:spacing w:val="-2"/>
          <w:sz w:val="24"/>
          <w:szCs w:val="24"/>
        </w:rPr>
        <w:t xml:space="preserve">for Development Bank (Oman) </w:t>
      </w:r>
      <w:r w:rsidR="00554F18" w:rsidRPr="00554F18">
        <w:rPr>
          <w:rFonts w:ascii="Times New Roman" w:hAnsi="Times New Roman"/>
          <w:spacing w:val="-2"/>
          <w:sz w:val="24"/>
          <w:szCs w:val="24"/>
        </w:rPr>
        <w:t>to establish a sustainable Islamic finance division, a move designed to catalyze the nation's socioeconomic progress. This strategic initiative will modernize the bank’s service model by upskilling its workforce, implementing rigorous regulatory and operational frameworks, and crafting long-term roadmaps to ensure the seamless delivery of Shariah-compliant financial products.</w:t>
      </w:r>
      <w:r w:rsidR="00D22A13" w:rsidRPr="00D22A13">
        <w:rPr>
          <w:rFonts w:ascii="Times New Roman" w:hAnsi="Times New Roman"/>
          <w:spacing w:val="-2"/>
          <w:sz w:val="24"/>
          <w:szCs w:val="24"/>
        </w:rPr>
        <w:t xml:space="preserve"> </w:t>
      </w:r>
      <w:r w:rsidRPr="7257D6DB">
        <w:rPr>
          <w:rFonts w:ascii="Times New Roman" w:hAnsi="Times New Roman"/>
          <w:spacing w:val="-2"/>
          <w:sz w:val="24"/>
          <w:szCs w:val="24"/>
        </w:rPr>
        <w:t xml:space="preserve"> </w:t>
      </w:r>
    </w:p>
    <w:p w14:paraId="79BC34EF" w14:textId="17261B13" w:rsidR="007B68F5" w:rsidRDefault="00E83AFB" w:rsidP="00E83AFB">
      <w:pPr>
        <w:suppressAutoHyphens/>
        <w:jc w:val="both"/>
        <w:rPr>
          <w:rFonts w:ascii="Times New Roman" w:hAnsi="Times New Roman"/>
          <w:spacing w:val="-2"/>
          <w:sz w:val="24"/>
        </w:rPr>
      </w:pPr>
      <w:r w:rsidRPr="00E83AFB">
        <w:rPr>
          <w:rFonts w:ascii="Times New Roman" w:hAnsi="Times New Roman"/>
          <w:spacing w:val="-2"/>
          <w:sz w:val="24"/>
        </w:rPr>
        <w:t>The project's objective is to engage an advisory firm to evaluate three strategic components and deliver a comprehensive implementation roadmap for the most viable path. Specifically, the initiative seeks to assess the feasibility, market potential, and regulatory landscape for each delivery option before recommending a sustainable model backed by rigorous cost-benefit and risk analyses. Beyond strategy, the firm will be responsible for building the essential regulatory, governance, and technical infrastructure required for the chosen model, while simultaneously conducting capacity-building programs to equip management and staff with the specialized skills necessary for competitive, Shariah-compliant operations.</w:t>
      </w:r>
    </w:p>
    <w:p w14:paraId="129F3675" w14:textId="6B7B0927" w:rsidR="00E83AFB" w:rsidRPr="005E3E0B" w:rsidRDefault="00CD7403" w:rsidP="00E83AFB">
      <w:pPr>
        <w:suppressAutoHyphens/>
        <w:jc w:val="both"/>
        <w:rPr>
          <w:rFonts w:asciiTheme="majorBidi" w:hAnsiTheme="majorBidi" w:cstheme="majorBidi"/>
          <w:sz w:val="24"/>
          <w:szCs w:val="24"/>
        </w:rPr>
      </w:pPr>
      <w:r w:rsidRPr="00CD7403">
        <w:rPr>
          <w:rFonts w:asciiTheme="majorBidi" w:hAnsiTheme="majorBidi" w:cstheme="majorBidi"/>
          <w:sz w:val="24"/>
          <w:szCs w:val="24"/>
        </w:rPr>
        <w:t>The project has three main components: first, a comprehensive evaluation of a full conversion into a standalone Islamic bank, which requires a deep dive into market sizing (TAM/SAM/SOM), rebranding risks, and the implementation of a Shariah-compliant Core Banking System alongside meeting stringent capital requirements. Second, the consultant will assess the establishment of an Islamic Banking Window, focusing on the regulatory ring-fencing of funds, modular IT integration, and the cost-efficiency of maintaining parallel operations. Finally, the third component explores a partnership model with a third-party provider, necessitating rigorous due diligence on potential fintech or banking partners, the development of API-driven digital integrations, and the creation of legal frameworks for revenue-sharing and data protocols.</w:t>
      </w:r>
    </w:p>
    <w:p w14:paraId="75E1B914" w14:textId="1CFF9FC8" w:rsidR="00FF1B21" w:rsidRPr="00F23704" w:rsidRDefault="00A42A5E">
      <w:pPr>
        <w:suppressAutoHyphens/>
        <w:jc w:val="both"/>
        <w:rPr>
          <w:rFonts w:ascii="Times New Roman" w:hAnsi="Times New Roman"/>
          <w:spacing w:val="-2"/>
          <w:sz w:val="24"/>
          <w:szCs w:val="24"/>
        </w:rPr>
      </w:pPr>
      <w:r w:rsidRPr="00F23704">
        <w:rPr>
          <w:rFonts w:ascii="Times New Roman" w:hAnsi="Times New Roman"/>
          <w:spacing w:val="-2"/>
          <w:sz w:val="24"/>
          <w:szCs w:val="24"/>
        </w:rPr>
        <w:t xml:space="preserve">The </w:t>
      </w:r>
      <w:r w:rsidR="00B96761" w:rsidRPr="00F23704">
        <w:rPr>
          <w:rFonts w:ascii="Times New Roman" w:hAnsi="Times New Roman"/>
          <w:spacing w:val="-2"/>
          <w:sz w:val="24"/>
          <w:szCs w:val="24"/>
        </w:rPr>
        <w:t xml:space="preserve">draft </w:t>
      </w:r>
      <w:r w:rsidR="001F414A" w:rsidRPr="001F414A">
        <w:rPr>
          <w:rFonts w:ascii="Times New Roman" w:hAnsi="Times New Roman"/>
          <w:spacing w:val="-2"/>
          <w:sz w:val="24"/>
          <w:szCs w:val="24"/>
        </w:rPr>
        <w:t xml:space="preserve">Terms of Reference (ToR) </w:t>
      </w:r>
      <w:r w:rsidRPr="00F23704">
        <w:rPr>
          <w:rFonts w:ascii="Times New Roman" w:hAnsi="Times New Roman"/>
          <w:spacing w:val="-2"/>
          <w:sz w:val="24"/>
          <w:szCs w:val="24"/>
        </w:rPr>
        <w:t xml:space="preserve">for the assignment </w:t>
      </w:r>
      <w:r w:rsidR="003C7FBB" w:rsidRPr="00F23704">
        <w:rPr>
          <w:rFonts w:ascii="Times New Roman" w:hAnsi="Times New Roman"/>
          <w:spacing w:val="-2"/>
          <w:sz w:val="24"/>
          <w:szCs w:val="24"/>
        </w:rPr>
        <w:t>is</w:t>
      </w:r>
      <w:r w:rsidRPr="00F23704">
        <w:rPr>
          <w:rFonts w:ascii="Times New Roman" w:hAnsi="Times New Roman"/>
          <w:spacing w:val="-2"/>
          <w:sz w:val="24"/>
          <w:szCs w:val="24"/>
        </w:rPr>
        <w:t xml:space="preserve"> attached </w:t>
      </w:r>
      <w:r w:rsidR="00B83012" w:rsidRPr="00F23704">
        <w:rPr>
          <w:rFonts w:ascii="Times New Roman" w:hAnsi="Times New Roman"/>
          <w:spacing w:val="-2"/>
          <w:sz w:val="24"/>
          <w:szCs w:val="24"/>
        </w:rPr>
        <w:t>to</w:t>
      </w:r>
      <w:r w:rsidRPr="00F23704">
        <w:rPr>
          <w:rFonts w:ascii="Times New Roman" w:hAnsi="Times New Roman"/>
          <w:spacing w:val="-2"/>
          <w:sz w:val="24"/>
          <w:szCs w:val="24"/>
        </w:rPr>
        <w:t xml:space="preserve"> </w:t>
      </w:r>
      <w:r w:rsidR="00FF1B21" w:rsidRPr="00F23704">
        <w:rPr>
          <w:rFonts w:ascii="Times New Roman" w:hAnsi="Times New Roman"/>
          <w:b/>
          <w:bCs/>
          <w:spacing w:val="-2"/>
          <w:sz w:val="24"/>
          <w:szCs w:val="24"/>
        </w:rPr>
        <w:t>Annex-1</w:t>
      </w:r>
      <w:r w:rsidR="00FF1B21" w:rsidRPr="00F23704">
        <w:rPr>
          <w:rFonts w:ascii="Times New Roman" w:hAnsi="Times New Roman"/>
          <w:spacing w:val="-2"/>
          <w:sz w:val="24"/>
          <w:szCs w:val="24"/>
        </w:rPr>
        <w:t>.</w:t>
      </w:r>
    </w:p>
    <w:p w14:paraId="6D93385E" w14:textId="6E8D0D5F" w:rsidR="00BA7A4A" w:rsidRPr="00F23704" w:rsidRDefault="0008314E" w:rsidP="00FE0311">
      <w:pPr>
        <w:suppressAutoHyphens/>
        <w:jc w:val="both"/>
        <w:rPr>
          <w:rFonts w:ascii="Times New Roman" w:hAnsi="Times New Roman"/>
          <w:spacing w:val="-2"/>
          <w:sz w:val="24"/>
          <w:szCs w:val="24"/>
        </w:rPr>
      </w:pPr>
      <w:r w:rsidRPr="0008314E">
        <w:rPr>
          <w:rFonts w:ascii="Times New Roman" w:hAnsi="Times New Roman"/>
          <w:spacing w:val="-2"/>
          <w:sz w:val="24"/>
          <w:szCs w:val="24"/>
        </w:rPr>
        <w:t>IsDBI</w:t>
      </w:r>
      <w:r w:rsidRPr="00F23704">
        <w:rPr>
          <w:rFonts w:ascii="Times New Roman" w:hAnsi="Times New Roman"/>
          <w:spacing w:val="-2"/>
          <w:sz w:val="24"/>
          <w:szCs w:val="24"/>
        </w:rPr>
        <w:t xml:space="preserve"> </w:t>
      </w:r>
      <w:r w:rsidR="00FF1B21" w:rsidRPr="00F23704">
        <w:rPr>
          <w:rFonts w:ascii="Times New Roman" w:hAnsi="Times New Roman"/>
          <w:spacing w:val="-2"/>
          <w:sz w:val="24"/>
          <w:szCs w:val="24"/>
        </w:rPr>
        <w:t>now invites eligible consulting firms (“Consultants”) to indicate their interest in providing the listed services</w:t>
      </w:r>
      <w:r w:rsidR="00200893" w:rsidRPr="00F23704">
        <w:rPr>
          <w:rFonts w:ascii="Times New Roman" w:hAnsi="Times New Roman"/>
          <w:spacing w:val="-2"/>
          <w:sz w:val="24"/>
          <w:szCs w:val="24"/>
        </w:rPr>
        <w:t xml:space="preserve"> in the draft T</w:t>
      </w:r>
      <w:r w:rsidR="001F414A">
        <w:rPr>
          <w:rFonts w:ascii="Times New Roman" w:hAnsi="Times New Roman"/>
          <w:spacing w:val="-2"/>
          <w:sz w:val="24"/>
          <w:szCs w:val="24"/>
        </w:rPr>
        <w:t>o</w:t>
      </w:r>
      <w:r w:rsidR="00200893" w:rsidRPr="00F23704">
        <w:rPr>
          <w:rFonts w:ascii="Times New Roman" w:hAnsi="Times New Roman"/>
          <w:spacing w:val="-2"/>
          <w:sz w:val="24"/>
          <w:szCs w:val="24"/>
        </w:rPr>
        <w:t>R</w:t>
      </w:r>
      <w:r w:rsidR="00FF1B21" w:rsidRPr="00F23704">
        <w:rPr>
          <w:rFonts w:ascii="Times New Roman" w:hAnsi="Times New Roman"/>
          <w:spacing w:val="-2"/>
          <w:sz w:val="24"/>
          <w:szCs w:val="24"/>
        </w:rPr>
        <w:t xml:space="preserve">. Interested Consultants must provide specific information </w:t>
      </w:r>
      <w:r w:rsidR="003C7FBB" w:rsidRPr="00F23704">
        <w:rPr>
          <w:rFonts w:ascii="Times New Roman" w:hAnsi="Times New Roman"/>
          <w:spacing w:val="-2"/>
          <w:sz w:val="24"/>
          <w:szCs w:val="24"/>
        </w:rPr>
        <w:t>that</w:t>
      </w:r>
      <w:r w:rsidR="00FF1B21" w:rsidRPr="00F23704">
        <w:rPr>
          <w:rFonts w:ascii="Times New Roman" w:hAnsi="Times New Roman"/>
          <w:spacing w:val="-2"/>
          <w:sz w:val="24"/>
          <w:szCs w:val="24"/>
        </w:rPr>
        <w:t xml:space="preserve"> demonstrates that they are fully qualified to perform the services (availability of appropriate experience and skillful staff confirmed </w:t>
      </w:r>
      <w:r w:rsidR="00BD1148" w:rsidRPr="00F23704">
        <w:rPr>
          <w:rFonts w:ascii="Times New Roman" w:hAnsi="Times New Roman"/>
          <w:spacing w:val="-2"/>
          <w:sz w:val="24"/>
          <w:szCs w:val="24"/>
        </w:rPr>
        <w:t>by brochures</w:t>
      </w:r>
      <w:r w:rsidR="00FF1B21" w:rsidRPr="00F23704">
        <w:rPr>
          <w:rFonts w:ascii="Times New Roman" w:hAnsi="Times New Roman"/>
          <w:spacing w:val="-2"/>
          <w:sz w:val="24"/>
          <w:szCs w:val="24"/>
        </w:rPr>
        <w:t>, description of similar assignments in analogous conditions</w:t>
      </w:r>
      <w:r w:rsidR="00BD1148" w:rsidRPr="00F23704">
        <w:rPr>
          <w:rFonts w:ascii="Times New Roman" w:hAnsi="Times New Roman"/>
          <w:spacing w:val="-2"/>
          <w:sz w:val="24"/>
          <w:szCs w:val="24"/>
        </w:rPr>
        <w:t>,</w:t>
      </w:r>
      <w:r w:rsidR="00FF1B21" w:rsidRPr="00F23704">
        <w:rPr>
          <w:rFonts w:ascii="Times New Roman" w:hAnsi="Times New Roman"/>
          <w:spacing w:val="-2"/>
          <w:sz w:val="24"/>
          <w:szCs w:val="24"/>
        </w:rPr>
        <w:t xml:space="preserve"> etc.) including expertise in developing similar </w:t>
      </w:r>
      <w:r w:rsidR="00597665" w:rsidRPr="001C6A63">
        <w:rPr>
          <w:rFonts w:ascii="Times New Roman" w:hAnsi="Times New Roman"/>
          <w:spacing w:val="-2"/>
          <w:sz w:val="24"/>
          <w:szCs w:val="24"/>
        </w:rPr>
        <w:t>training packages</w:t>
      </w:r>
      <w:r w:rsidR="00FF1B21" w:rsidRPr="00F23704">
        <w:rPr>
          <w:rFonts w:ascii="Times New Roman" w:hAnsi="Times New Roman"/>
          <w:spacing w:val="-2"/>
          <w:sz w:val="24"/>
          <w:szCs w:val="24"/>
        </w:rPr>
        <w:t xml:space="preserve"> as well as </w:t>
      </w:r>
      <w:r w:rsidR="00597665" w:rsidRPr="00F23704">
        <w:rPr>
          <w:rFonts w:ascii="Times New Roman" w:hAnsi="Times New Roman"/>
          <w:spacing w:val="-2"/>
          <w:sz w:val="24"/>
          <w:szCs w:val="24"/>
        </w:rPr>
        <w:t>working</w:t>
      </w:r>
      <w:r w:rsidR="00A609C2" w:rsidRPr="00F23704">
        <w:rPr>
          <w:rFonts w:ascii="Times New Roman" w:hAnsi="Times New Roman"/>
          <w:spacing w:val="-2"/>
          <w:sz w:val="24"/>
          <w:szCs w:val="24"/>
        </w:rPr>
        <w:t xml:space="preserve"> </w:t>
      </w:r>
      <w:r w:rsidRPr="00F23704">
        <w:rPr>
          <w:rFonts w:ascii="Times New Roman" w:hAnsi="Times New Roman"/>
          <w:spacing w:val="-2"/>
          <w:sz w:val="24"/>
          <w:szCs w:val="24"/>
        </w:rPr>
        <w:t xml:space="preserve">experience </w:t>
      </w:r>
      <w:r w:rsidR="00054CCE" w:rsidRPr="00F23704">
        <w:rPr>
          <w:rFonts w:ascii="Times New Roman" w:hAnsi="Times New Roman"/>
          <w:spacing w:val="-2"/>
          <w:sz w:val="24"/>
          <w:szCs w:val="24"/>
        </w:rPr>
        <w:t>with Central</w:t>
      </w:r>
      <w:r w:rsidR="00597665" w:rsidRPr="00F23704">
        <w:rPr>
          <w:rFonts w:ascii="Times New Roman" w:hAnsi="Times New Roman"/>
          <w:spacing w:val="-2"/>
          <w:sz w:val="24"/>
          <w:szCs w:val="24"/>
        </w:rPr>
        <w:t xml:space="preserve"> Banks</w:t>
      </w:r>
      <w:r w:rsidR="00A609C2" w:rsidRPr="00F23704">
        <w:rPr>
          <w:rFonts w:ascii="Times New Roman" w:hAnsi="Times New Roman"/>
          <w:spacing w:val="-2"/>
          <w:sz w:val="24"/>
          <w:szCs w:val="24"/>
        </w:rPr>
        <w:t xml:space="preserve"> and other related regulatory </w:t>
      </w:r>
      <w:r w:rsidR="00054CCE" w:rsidRPr="00F23704">
        <w:rPr>
          <w:rFonts w:ascii="Times New Roman" w:hAnsi="Times New Roman"/>
          <w:spacing w:val="-2"/>
          <w:sz w:val="24"/>
          <w:szCs w:val="24"/>
        </w:rPr>
        <w:t>institutions.</w:t>
      </w:r>
    </w:p>
    <w:p w14:paraId="3501C427" w14:textId="77777777" w:rsidR="00602201" w:rsidRPr="00602201" w:rsidRDefault="00602201" w:rsidP="00602201">
      <w:pPr>
        <w:pStyle w:val="NormalWeb"/>
        <w:rPr>
          <w:b/>
          <w:bCs/>
        </w:rPr>
      </w:pPr>
      <w:r w:rsidRPr="00602201">
        <w:rPr>
          <w:b/>
          <w:bCs/>
        </w:rPr>
        <w:lastRenderedPageBreak/>
        <w:t>The shortlisting criteria / sub-criteria are:</w:t>
      </w:r>
    </w:p>
    <w:p w14:paraId="1FCECB8F" w14:textId="77777777" w:rsidR="00602201" w:rsidRDefault="00602201" w:rsidP="0057428B">
      <w:pPr>
        <w:pStyle w:val="NormalWeb"/>
        <w:numPr>
          <w:ilvl w:val="0"/>
          <w:numId w:val="23"/>
        </w:numPr>
        <w:spacing w:before="120" w:beforeAutospacing="0" w:after="120" w:afterAutospacing="0"/>
      </w:pPr>
      <w:r>
        <w:rPr>
          <w:b/>
          <w:bCs/>
        </w:rPr>
        <w:t>Qualifications and Expertise:</w:t>
      </w:r>
      <w:r>
        <w:t xml:space="preserve"> Key staff must hold advanced degrees (</w:t>
      </w:r>
      <w:proofErr w:type="gramStart"/>
      <w:r>
        <w:t>Master’s</w:t>
      </w:r>
      <w:proofErr w:type="gramEnd"/>
      <w:r>
        <w:t xml:space="preserve"> or PhD) in Finance, Economics, Islamic Jurisprudence (</w:t>
      </w:r>
      <w:r>
        <w:rPr>
          <w:i/>
          <w:iCs/>
        </w:rPr>
        <w:t>Fiqh al-</w:t>
      </w:r>
      <w:proofErr w:type="spellStart"/>
      <w:r>
        <w:rPr>
          <w:i/>
          <w:iCs/>
        </w:rPr>
        <w:t>Muamalat</w:t>
      </w:r>
      <w:proofErr w:type="spellEnd"/>
      <w:r>
        <w:t>), or related fields. The firm should possess expert-level knowledge of AAOIFI and IFSB standards, Shariah governance, and the technical requirements for Islamic Core Banking Systems (CBS).</w:t>
      </w:r>
    </w:p>
    <w:p w14:paraId="5B63FA0D" w14:textId="77777777" w:rsidR="00602201" w:rsidRDefault="00602201" w:rsidP="0057428B">
      <w:pPr>
        <w:pStyle w:val="NormalWeb"/>
        <w:numPr>
          <w:ilvl w:val="0"/>
          <w:numId w:val="23"/>
        </w:numPr>
        <w:spacing w:before="120" w:beforeAutospacing="0" w:after="120" w:afterAutospacing="0"/>
      </w:pPr>
      <w:r>
        <w:rPr>
          <w:b/>
          <w:bCs/>
        </w:rPr>
        <w:t>Regulatory and Strategic Knowledge:</w:t>
      </w:r>
      <w:r>
        <w:t xml:space="preserve"> Deep understanding of the Omani banking landscape, specifically the New Banking Law (Royal Decree 2/2025) and Central Bank of Oman (CBO) regulations. The consultant must demonstrate the ability to align financial transformations with national development goals, such as Oman Vision 2040 and SME development.</w:t>
      </w:r>
    </w:p>
    <w:p w14:paraId="257C9B0B" w14:textId="77777777" w:rsidR="00602201" w:rsidRDefault="00602201" w:rsidP="0057428B">
      <w:pPr>
        <w:pStyle w:val="NormalWeb"/>
        <w:numPr>
          <w:ilvl w:val="0"/>
          <w:numId w:val="23"/>
        </w:numPr>
        <w:spacing w:before="120" w:beforeAutospacing="0" w:after="120" w:afterAutospacing="0"/>
      </w:pPr>
      <w:r>
        <w:rPr>
          <w:b/>
          <w:bCs/>
        </w:rPr>
        <w:t>Professional Certifications:</w:t>
      </w:r>
      <w:r>
        <w:t xml:space="preserve"> Key team members should ideally hold recognized international benchmarks, such as the Certified </w:t>
      </w:r>
      <w:proofErr w:type="spellStart"/>
      <w:r>
        <w:t>Shari’a</w:t>
      </w:r>
      <w:proofErr w:type="spellEnd"/>
      <w:r>
        <w:t xml:space="preserve"> Adviser and Auditor (CSAA), Islamic Finance Qualification (IFQ), or Registered Islamic Financial Specialist (RIFS).</w:t>
      </w:r>
    </w:p>
    <w:p w14:paraId="3854B210" w14:textId="77777777" w:rsidR="00602201" w:rsidRDefault="00602201" w:rsidP="0057428B">
      <w:pPr>
        <w:pStyle w:val="NormalWeb"/>
        <w:numPr>
          <w:ilvl w:val="0"/>
          <w:numId w:val="23"/>
        </w:numPr>
        <w:spacing w:before="120" w:beforeAutospacing="0" w:after="120" w:afterAutospacing="0"/>
      </w:pPr>
      <w:r>
        <w:rPr>
          <w:b/>
          <w:bCs/>
        </w:rPr>
        <w:t>Operational Standards:</w:t>
      </w:r>
      <w:r>
        <w:t xml:space="preserve"> The firm must demonstrate bilingual proficiency (English and Arabic) for technical manual development and training, while ensuring complete ethical independence from the client’s existing auditors or conventional service providers.</w:t>
      </w:r>
    </w:p>
    <w:p w14:paraId="5AFD7808" w14:textId="34948927" w:rsidR="008A008B" w:rsidRPr="00F20806" w:rsidRDefault="00F20806" w:rsidP="00446A04">
      <w:pPr>
        <w:pStyle w:val="NormalWeb"/>
        <w:numPr>
          <w:ilvl w:val="0"/>
          <w:numId w:val="23"/>
        </w:numPr>
        <w:spacing w:before="120" w:after="120"/>
        <w:rPr>
          <w:b/>
          <w:bCs/>
          <w:lang w:val="en-GB"/>
        </w:rPr>
      </w:pPr>
      <w:r>
        <w:t>F</w:t>
      </w:r>
      <w:r w:rsidR="00446A04" w:rsidRPr="00F20806">
        <w:t>irms must demonstrate experience in Fast-track feasibility studies within the GCC regulatory environment</w:t>
      </w:r>
    </w:p>
    <w:p w14:paraId="24EAB61B" w14:textId="415E76A2" w:rsidR="006A2750" w:rsidRPr="00F20806" w:rsidRDefault="00446A04" w:rsidP="00446A04">
      <w:pPr>
        <w:pStyle w:val="NormalWeb"/>
        <w:numPr>
          <w:ilvl w:val="0"/>
          <w:numId w:val="23"/>
        </w:numPr>
        <w:spacing w:before="120" w:after="120"/>
        <w:rPr>
          <w:lang w:val="en-GB"/>
        </w:rPr>
      </w:pPr>
      <w:r w:rsidRPr="00F20806">
        <w:t>Bidders are required to submit a detailed work plan specifically demonstrating their capability to mobilize resources rapidly to meet this accelerated 4-month schedule without compromising the depth of the feasibility analysis</w:t>
      </w:r>
      <w:r w:rsidRPr="00F20806">
        <w:rPr>
          <w:lang w:val="en-GB"/>
        </w:rPr>
        <w:t xml:space="preserve"> </w:t>
      </w:r>
    </w:p>
    <w:p w14:paraId="068BAFC6" w14:textId="5FF9FA0B" w:rsidR="006A2750" w:rsidRPr="00F20806" w:rsidRDefault="00446A04" w:rsidP="00446A04">
      <w:pPr>
        <w:pStyle w:val="NormalWeb"/>
        <w:numPr>
          <w:ilvl w:val="0"/>
          <w:numId w:val="23"/>
        </w:numPr>
        <w:spacing w:before="120" w:beforeAutospacing="0" w:after="120" w:afterAutospacing="0"/>
      </w:pPr>
      <w:r w:rsidRPr="00F20806">
        <w:t>Firms must confirm their ability to align project deliverables with the Central Bank of Oman (CBO) regulatory framework within the specified 5-month window."</w:t>
      </w:r>
    </w:p>
    <w:p w14:paraId="54326247" w14:textId="13FA65FE" w:rsidR="00E01198" w:rsidRPr="00F20806" w:rsidRDefault="00446A04" w:rsidP="00446A04">
      <w:pPr>
        <w:pStyle w:val="NormalWeb"/>
        <w:numPr>
          <w:ilvl w:val="0"/>
          <w:numId w:val="23"/>
        </w:numPr>
        <w:spacing w:before="120" w:beforeAutospacing="0" w:after="120" w:afterAutospacing="0"/>
      </w:pPr>
      <w:r w:rsidRPr="00F20806">
        <w:t>The firm must demonstrate a proven track record of delivering high-impact strategic feasibility studies within constrained timelines (under 5 months) for similar development or commercial banking institutions</w:t>
      </w:r>
    </w:p>
    <w:p w14:paraId="6288489D" w14:textId="3C924B53" w:rsidR="00CD4E9D" w:rsidRPr="00F20806" w:rsidRDefault="00F20806" w:rsidP="00446A04">
      <w:pPr>
        <w:pStyle w:val="NormalWeb"/>
        <w:numPr>
          <w:ilvl w:val="0"/>
          <w:numId w:val="23"/>
        </w:numPr>
        <w:spacing w:before="120" w:beforeAutospacing="0" w:after="120" w:afterAutospacing="0"/>
      </w:pPr>
      <w:r>
        <w:t>A</w:t>
      </w:r>
      <w:r w:rsidR="00446A04" w:rsidRPr="00F20806">
        <w:t>ll reports, feasibility studies, and data generated by the consultant are the sole property of Development Bank.</w:t>
      </w:r>
    </w:p>
    <w:p w14:paraId="243FEB14" w14:textId="77777777" w:rsidR="00602201" w:rsidRDefault="00602201" w:rsidP="00602201">
      <w:pPr>
        <w:pStyle w:val="NormalWeb"/>
      </w:pPr>
      <w:r w:rsidRPr="00F20806">
        <w:t>(a) The Consultant should demonstrate at least ten to fifteen (10–15) years of institutional</w:t>
      </w:r>
      <w:r>
        <w:t xml:space="preserve"> experience in Islamic financial advisory, specifically regarding bank conversions, the establishment of Islamic windows, or developmental lending instruments (e.g., </w:t>
      </w:r>
      <w:r>
        <w:rPr>
          <w:i/>
          <w:iCs/>
        </w:rPr>
        <w:t>Murabaha, Ijarah, Musharaka, and Sukuk</w:t>
      </w:r>
      <w:r>
        <w:t>).</w:t>
      </w:r>
    </w:p>
    <w:p w14:paraId="432A1AE2" w14:textId="77777777" w:rsidR="00602201" w:rsidRDefault="00602201" w:rsidP="00602201">
      <w:pPr>
        <w:pStyle w:val="NormalWeb"/>
      </w:pPr>
      <w:r>
        <w:t>(b) Proven record of successful similar assignments (at least two transformations in the past decade) for the benefit of commercial banks, development financial institutions (DFIs), or multilateral development banks (MDBs), particularly within the GCC region.</w:t>
      </w:r>
    </w:p>
    <w:p w14:paraId="415627EB" w14:textId="77777777" w:rsidR="00602201" w:rsidRDefault="00602201" w:rsidP="00602201">
      <w:pPr>
        <w:pStyle w:val="NormalWeb"/>
      </w:pPr>
      <w:r>
        <w:t>(c) The firm should demonstrate the technical and managerial capacity to execute the assignment, including a project team featuring a Lead Strategy Advisor with 15+ years of experience and specialized experts in Shariah governance, product development, and IT infrastructure.</w:t>
      </w:r>
    </w:p>
    <w:p w14:paraId="083B6A00" w14:textId="213EDFF3" w:rsidR="00C02076" w:rsidRPr="00F23704" w:rsidRDefault="00C02076">
      <w:pPr>
        <w:spacing w:after="0" w:line="240" w:lineRule="auto"/>
        <w:jc w:val="both"/>
        <w:rPr>
          <w:rFonts w:ascii="Times New Roman" w:eastAsia="Calibri" w:hAnsi="Times New Roman" w:cs="Times New Roman"/>
          <w:b/>
          <w:bCs/>
          <w:spacing w:val="-2"/>
          <w:sz w:val="24"/>
          <w:szCs w:val="24"/>
        </w:rPr>
      </w:pPr>
      <w:r w:rsidRPr="00F23704">
        <w:rPr>
          <w:rFonts w:ascii="Times New Roman" w:eastAsia="Calibri" w:hAnsi="Times New Roman" w:cs="Times New Roman"/>
          <w:spacing w:val="-2"/>
          <w:sz w:val="24"/>
          <w:szCs w:val="24"/>
        </w:rPr>
        <w:t>(d) The firm should demonstrate capabilities and experience in delivering the expectations outlined in the draft T</w:t>
      </w:r>
      <w:r w:rsidR="001F414A">
        <w:rPr>
          <w:rFonts w:ascii="Times New Roman" w:eastAsia="Calibri" w:hAnsi="Times New Roman" w:cs="Times New Roman"/>
          <w:spacing w:val="-2"/>
          <w:sz w:val="24"/>
          <w:szCs w:val="24"/>
        </w:rPr>
        <w:t>o</w:t>
      </w:r>
      <w:r w:rsidRPr="00F23704">
        <w:rPr>
          <w:rFonts w:ascii="Times New Roman" w:eastAsia="Calibri" w:hAnsi="Times New Roman" w:cs="Times New Roman"/>
          <w:spacing w:val="-2"/>
          <w:sz w:val="24"/>
          <w:szCs w:val="24"/>
        </w:rPr>
        <w:t xml:space="preserve">R in </w:t>
      </w:r>
      <w:r w:rsidRPr="00F23704">
        <w:rPr>
          <w:rFonts w:ascii="Times New Roman" w:eastAsia="Calibri" w:hAnsi="Times New Roman" w:cs="Times New Roman"/>
          <w:b/>
          <w:bCs/>
          <w:spacing w:val="-2"/>
          <w:sz w:val="24"/>
          <w:szCs w:val="24"/>
        </w:rPr>
        <w:t>Annex 1</w:t>
      </w:r>
      <w:r w:rsidRPr="00F23704">
        <w:rPr>
          <w:rFonts w:ascii="Times New Roman" w:eastAsia="Calibri" w:hAnsi="Times New Roman" w:cs="Times New Roman"/>
          <w:spacing w:val="-2"/>
          <w:sz w:val="24"/>
          <w:szCs w:val="24"/>
        </w:rPr>
        <w:t>.</w:t>
      </w:r>
    </w:p>
    <w:p w14:paraId="277CF0F7" w14:textId="77777777" w:rsidR="00CB73A8" w:rsidRPr="00F23704" w:rsidRDefault="00CB73A8">
      <w:pPr>
        <w:spacing w:after="0" w:line="240" w:lineRule="auto"/>
        <w:jc w:val="both"/>
        <w:rPr>
          <w:rFonts w:ascii="Times New Roman" w:eastAsia="Calibri" w:hAnsi="Times New Roman" w:cs="Times New Roman"/>
          <w:spacing w:val="-2"/>
          <w:sz w:val="24"/>
          <w:szCs w:val="24"/>
        </w:rPr>
      </w:pPr>
    </w:p>
    <w:p w14:paraId="3F13E3EB" w14:textId="009BC996" w:rsidR="00BA7A4A" w:rsidRPr="00F23704" w:rsidRDefault="0011515F" w:rsidP="0011515F">
      <w:pPr>
        <w:pStyle w:val="NormalWeb"/>
        <w:shd w:val="clear" w:color="auto" w:fill="FFFFFF"/>
        <w:spacing w:before="0" w:beforeAutospacing="0"/>
        <w:jc w:val="both"/>
        <w:rPr>
          <w:rFonts w:eastAsia="Calibri"/>
          <w:spacing w:val="-2"/>
        </w:rPr>
      </w:pPr>
      <w:r>
        <w:rPr>
          <w:rFonts w:asciiTheme="majorBidi" w:hAnsiTheme="majorBidi" w:cstheme="majorBidi"/>
        </w:rPr>
        <w:t xml:space="preserve">The attention of interested Consultants is drawn to Part 01, Chapter 01, Paragraphs 1.12.1 and 1.12.2 of the Guidelines for Procurement of Consultancy Services under Islamic Development Bank Project Financing, April 2019, revised in February 2023 (the “Procurement Guidelines”), setting forth IsDB’s policy on conflict of interest, available at </w:t>
      </w:r>
      <w:hyperlink r:id="rId8" w:tgtFrame="_new" w:history="1">
        <w:r>
          <w:rPr>
            <w:rStyle w:val="Hyperlink"/>
            <w:rFonts w:asciiTheme="majorBidi" w:hAnsiTheme="majorBidi" w:cstheme="majorBidi"/>
          </w:rPr>
          <w:t>https://www.isdb.org/project-procurement/documents</w:t>
        </w:r>
      </w:hyperlink>
      <w:r>
        <w:rPr>
          <w:rFonts w:asciiTheme="majorBidi" w:hAnsiTheme="majorBidi" w:cstheme="majorBidi"/>
        </w:rPr>
        <w:t xml:space="preserve">. </w:t>
      </w:r>
      <w:r>
        <w:rPr>
          <w:rFonts w:asciiTheme="majorBidi" w:hAnsiTheme="majorBidi" w:cstheme="majorBidi"/>
          <w:color w:val="212529"/>
          <w:sz w:val="18"/>
          <w:szCs w:val="18"/>
        </w:rPr>
        <w:t>  </w:t>
      </w:r>
    </w:p>
    <w:p w14:paraId="791B8B0E" w14:textId="4DF7486C" w:rsidR="00566FAB" w:rsidRPr="00F23704" w:rsidRDefault="00AB633B" w:rsidP="00234B32">
      <w:pPr>
        <w:spacing w:after="0" w:line="240" w:lineRule="auto"/>
        <w:jc w:val="both"/>
        <w:rPr>
          <w:rFonts w:ascii="Times New Roman" w:eastAsia="Calibri" w:hAnsi="Times New Roman" w:cs="Times New Roman"/>
          <w:sz w:val="24"/>
          <w:szCs w:val="24"/>
        </w:rPr>
      </w:pPr>
      <w:r w:rsidRPr="00F23704">
        <w:rPr>
          <w:rFonts w:ascii="Times New Roman" w:eastAsia="Calibri" w:hAnsi="Times New Roman" w:cs="Times New Roman"/>
          <w:spacing w:val="-2"/>
          <w:sz w:val="24"/>
          <w:szCs w:val="24"/>
        </w:rPr>
        <w:t xml:space="preserve">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 </w:t>
      </w:r>
    </w:p>
    <w:p w14:paraId="30B28C60" w14:textId="77777777" w:rsidR="00566FAB" w:rsidRPr="00F23704" w:rsidRDefault="00566FAB" w:rsidP="00234B32">
      <w:pPr>
        <w:suppressAutoHyphens/>
        <w:spacing w:after="0" w:line="240" w:lineRule="auto"/>
        <w:jc w:val="both"/>
        <w:rPr>
          <w:rFonts w:ascii="Times New Roman" w:eastAsia="Calibri" w:hAnsi="Times New Roman" w:cs="Times New Roman"/>
          <w:spacing w:val="-2"/>
          <w:sz w:val="24"/>
          <w:szCs w:val="24"/>
        </w:rPr>
      </w:pPr>
    </w:p>
    <w:p w14:paraId="4CC0151E" w14:textId="34D735DB" w:rsidR="00566FAB" w:rsidRPr="00F23704" w:rsidRDefault="00AB633B" w:rsidP="00234B32">
      <w:pPr>
        <w:suppressAutoHyphens/>
        <w:spacing w:after="0" w:line="240" w:lineRule="auto"/>
        <w:jc w:val="both"/>
        <w:rPr>
          <w:rFonts w:ascii="Times New Roman" w:eastAsia="Calibri" w:hAnsi="Times New Roman" w:cs="Times New Roman"/>
          <w:spacing w:val="-2"/>
          <w:sz w:val="24"/>
          <w:szCs w:val="24"/>
        </w:rPr>
      </w:pPr>
      <w:r w:rsidRPr="00F23704">
        <w:rPr>
          <w:rFonts w:asciiTheme="majorBidi" w:eastAsia="Calibri" w:hAnsiTheme="majorBidi" w:cstheme="majorBidi"/>
          <w:spacing w:val="-2"/>
          <w:sz w:val="24"/>
          <w:szCs w:val="24"/>
        </w:rPr>
        <w:t>A consultant will be selected in accordance with the</w:t>
      </w:r>
      <w:r w:rsidR="00CA22DD" w:rsidRPr="00CA22DD">
        <w:rPr>
          <w:rFonts w:asciiTheme="majorBidi" w:eastAsia="Calibri" w:hAnsiTheme="majorBidi" w:cstheme="majorBidi"/>
          <w:spacing w:val="-2"/>
          <w:sz w:val="24"/>
          <w:szCs w:val="24"/>
        </w:rPr>
        <w:t xml:space="preserve"> Fixed Budget Selection</w:t>
      </w:r>
      <w:r w:rsidR="00CA22DD">
        <w:rPr>
          <w:rFonts w:asciiTheme="majorBidi" w:eastAsia="Calibri" w:hAnsiTheme="majorBidi" w:cstheme="majorBidi"/>
          <w:spacing w:val="-2"/>
          <w:sz w:val="24"/>
          <w:szCs w:val="24"/>
        </w:rPr>
        <w:t xml:space="preserve"> (</w:t>
      </w:r>
      <w:r w:rsidR="00CA22DD" w:rsidRPr="00CA22DD">
        <w:rPr>
          <w:rFonts w:asciiTheme="majorBidi" w:eastAsia="Calibri" w:hAnsiTheme="majorBidi" w:cstheme="majorBidi"/>
          <w:spacing w:val="-2"/>
          <w:sz w:val="24"/>
          <w:szCs w:val="24"/>
        </w:rPr>
        <w:t>FBS</w:t>
      </w:r>
      <w:r w:rsidR="00CA22DD">
        <w:rPr>
          <w:rFonts w:asciiTheme="majorBidi" w:eastAsia="Calibri" w:hAnsiTheme="majorBidi" w:cstheme="majorBidi"/>
          <w:spacing w:val="-2"/>
          <w:sz w:val="24"/>
          <w:szCs w:val="24"/>
        </w:rPr>
        <w:t xml:space="preserve">) </w:t>
      </w:r>
      <w:r w:rsidRPr="00F23704">
        <w:rPr>
          <w:rFonts w:asciiTheme="majorBidi" w:eastAsia="Calibri" w:hAnsiTheme="majorBidi" w:cstheme="majorBidi"/>
          <w:spacing w:val="-2"/>
          <w:sz w:val="24"/>
          <w:szCs w:val="24"/>
        </w:rPr>
        <w:t>method as set out in the Procurement Guidelines.</w:t>
      </w:r>
    </w:p>
    <w:p w14:paraId="7FF6FC5B" w14:textId="77777777" w:rsidR="00566FAB" w:rsidRPr="00F23704" w:rsidRDefault="00566FAB" w:rsidP="00234B32">
      <w:pPr>
        <w:suppressAutoHyphens/>
        <w:spacing w:after="0" w:line="240" w:lineRule="auto"/>
        <w:jc w:val="both"/>
        <w:rPr>
          <w:rFonts w:ascii="Times New Roman" w:eastAsia="Calibri" w:hAnsi="Times New Roman" w:cs="Times New Roman"/>
          <w:spacing w:val="-2"/>
          <w:sz w:val="24"/>
          <w:szCs w:val="24"/>
        </w:rPr>
      </w:pPr>
    </w:p>
    <w:p w14:paraId="413C34CE" w14:textId="40C26533" w:rsidR="00566FAB" w:rsidRPr="00F23704" w:rsidRDefault="00AB633B" w:rsidP="00234B32">
      <w:pPr>
        <w:suppressAutoHyphens/>
        <w:spacing w:after="0" w:line="240" w:lineRule="auto"/>
        <w:jc w:val="both"/>
        <w:rPr>
          <w:rFonts w:ascii="Times New Roman" w:eastAsia="Calibri" w:hAnsi="Times New Roman" w:cs="Times New Roman"/>
          <w:spacing w:val="-2"/>
          <w:sz w:val="24"/>
          <w:szCs w:val="24"/>
        </w:rPr>
      </w:pPr>
      <w:r w:rsidRPr="00F23704">
        <w:rPr>
          <w:rFonts w:asciiTheme="majorBidi" w:eastAsia="Calibri" w:hAnsiTheme="majorBidi" w:cstheme="majorBidi"/>
          <w:spacing w:val="-2"/>
          <w:sz w:val="24"/>
          <w:szCs w:val="24"/>
        </w:rPr>
        <w:t xml:space="preserve">Interested consultants may obtain further information at the address below during office hours; </w:t>
      </w:r>
      <w:r w:rsidRPr="00F23704">
        <w:rPr>
          <w:rFonts w:asciiTheme="majorBidi" w:eastAsia="Calibri" w:hAnsiTheme="majorBidi" w:cstheme="majorBidi"/>
          <w:b/>
          <w:spacing w:val="-2"/>
          <w:sz w:val="24"/>
          <w:szCs w:val="24"/>
        </w:rPr>
        <w:t xml:space="preserve">8:30 to 16:30 </w:t>
      </w:r>
      <w:r w:rsidR="001B32F4" w:rsidRPr="00F23704">
        <w:rPr>
          <w:rFonts w:asciiTheme="majorBidi" w:eastAsia="Calibri" w:hAnsiTheme="majorBidi" w:cstheme="majorBidi"/>
          <w:b/>
          <w:spacing w:val="-2"/>
          <w:sz w:val="24"/>
          <w:szCs w:val="24"/>
        </w:rPr>
        <w:t>hours</w:t>
      </w:r>
      <w:r w:rsidR="001B32F4" w:rsidRPr="00F23704">
        <w:rPr>
          <w:rFonts w:asciiTheme="majorBidi" w:eastAsia="Calibri" w:hAnsiTheme="majorBidi" w:cstheme="majorBidi"/>
          <w:spacing w:val="-2"/>
          <w:sz w:val="24"/>
          <w:szCs w:val="24"/>
        </w:rPr>
        <w:t xml:space="preserve"> </w:t>
      </w:r>
      <w:r w:rsidR="00186C9B">
        <w:rPr>
          <w:rFonts w:asciiTheme="majorBidi" w:eastAsia="Calibri" w:hAnsiTheme="majorBidi" w:cstheme="majorBidi"/>
          <w:spacing w:val="-2"/>
          <w:sz w:val="24"/>
          <w:szCs w:val="24"/>
        </w:rPr>
        <w:t>Jeddah</w:t>
      </w:r>
      <w:r w:rsidR="00E13942" w:rsidRPr="00F23704">
        <w:rPr>
          <w:rFonts w:asciiTheme="majorBidi" w:eastAsia="Calibri" w:hAnsiTheme="majorBidi" w:cstheme="majorBidi"/>
          <w:spacing w:val="-2"/>
          <w:sz w:val="24"/>
          <w:szCs w:val="24"/>
        </w:rPr>
        <w:t xml:space="preserve"> L</w:t>
      </w:r>
      <w:r w:rsidRPr="00F23704">
        <w:rPr>
          <w:rFonts w:asciiTheme="majorBidi" w:eastAsia="Calibri" w:hAnsiTheme="majorBidi" w:cstheme="majorBidi"/>
          <w:spacing w:val="-2"/>
          <w:sz w:val="24"/>
          <w:szCs w:val="24"/>
        </w:rPr>
        <w:t xml:space="preserve">ocal </w:t>
      </w:r>
      <w:r w:rsidR="00E13942" w:rsidRPr="00F23704">
        <w:rPr>
          <w:rFonts w:asciiTheme="majorBidi" w:eastAsia="Calibri" w:hAnsiTheme="majorBidi" w:cstheme="majorBidi"/>
          <w:spacing w:val="-2"/>
          <w:sz w:val="24"/>
          <w:szCs w:val="24"/>
        </w:rPr>
        <w:t>T</w:t>
      </w:r>
      <w:r w:rsidRPr="00F23704">
        <w:rPr>
          <w:rFonts w:asciiTheme="majorBidi" w:eastAsia="Calibri" w:hAnsiTheme="majorBidi" w:cstheme="majorBidi"/>
          <w:spacing w:val="-2"/>
          <w:sz w:val="24"/>
          <w:szCs w:val="24"/>
        </w:rPr>
        <w:t>ime.</w:t>
      </w:r>
    </w:p>
    <w:p w14:paraId="3DC2A584" w14:textId="77777777" w:rsidR="00566FAB" w:rsidRPr="00F23704" w:rsidRDefault="00566FAB" w:rsidP="00234B32">
      <w:pPr>
        <w:suppressAutoHyphens/>
        <w:spacing w:after="0" w:line="240" w:lineRule="auto"/>
        <w:jc w:val="both"/>
        <w:rPr>
          <w:rFonts w:ascii="Times New Roman" w:eastAsia="Calibri" w:hAnsi="Times New Roman" w:cs="Times New Roman"/>
          <w:spacing w:val="-2"/>
          <w:sz w:val="24"/>
          <w:szCs w:val="24"/>
        </w:rPr>
      </w:pPr>
    </w:p>
    <w:p w14:paraId="0CD628B5" w14:textId="1209FD67" w:rsidR="00E95475" w:rsidRPr="00F23704" w:rsidRDefault="00E95475" w:rsidP="00E95475">
      <w:pPr>
        <w:suppressAutoHyphens/>
        <w:spacing w:after="0" w:line="240" w:lineRule="auto"/>
        <w:jc w:val="both"/>
        <w:rPr>
          <w:rFonts w:asciiTheme="majorBidi" w:eastAsia="Calibri" w:hAnsiTheme="majorBidi" w:cstheme="majorBidi"/>
          <w:spacing w:val="-2"/>
          <w:sz w:val="24"/>
          <w:szCs w:val="24"/>
        </w:rPr>
      </w:pPr>
      <w:r w:rsidRPr="00F23704">
        <w:rPr>
          <w:rFonts w:asciiTheme="majorBidi" w:eastAsia="Calibri" w:hAnsiTheme="majorBidi" w:cstheme="majorBidi"/>
          <w:spacing w:val="-2"/>
          <w:sz w:val="24"/>
          <w:szCs w:val="24"/>
        </w:rPr>
        <w:t xml:space="preserve">Expressions of interest must be delivered in a written form to the address below (in person, or by mail, or by e-mail) by </w:t>
      </w:r>
      <w:r w:rsidR="00F31BC5" w:rsidRPr="00F23704">
        <w:rPr>
          <w:rFonts w:asciiTheme="majorBidi" w:eastAsia="Calibri" w:hAnsiTheme="majorBidi" w:cstheme="majorBidi"/>
          <w:spacing w:val="-2"/>
          <w:sz w:val="24"/>
          <w:szCs w:val="24"/>
        </w:rPr>
        <w:t>the date of</w:t>
      </w:r>
      <w:r w:rsidRPr="00F23704">
        <w:rPr>
          <w:rFonts w:asciiTheme="majorBidi" w:eastAsia="Calibri" w:hAnsiTheme="majorBidi" w:cstheme="majorBidi"/>
          <w:spacing w:val="-2"/>
          <w:sz w:val="24"/>
          <w:szCs w:val="24"/>
        </w:rPr>
        <w:t xml:space="preserve"> </w:t>
      </w:r>
      <w:r w:rsidR="00D11DD9" w:rsidRPr="00D11DD9">
        <w:rPr>
          <w:rFonts w:asciiTheme="majorBidi" w:eastAsia="Calibri" w:hAnsiTheme="majorBidi" w:cstheme="majorBidi"/>
          <w:b/>
          <w:bCs/>
          <w:spacing w:val="-2"/>
          <w:sz w:val="24"/>
          <w:szCs w:val="24"/>
          <w:u w:val="single"/>
        </w:rPr>
        <w:t>9 March 2026</w:t>
      </w:r>
      <w:r w:rsidR="00541E3A" w:rsidRPr="00F23704">
        <w:rPr>
          <w:rFonts w:asciiTheme="majorBidi" w:eastAsia="Calibri" w:hAnsiTheme="majorBidi" w:cstheme="majorBidi"/>
          <w:spacing w:val="-2"/>
          <w:sz w:val="24"/>
          <w:szCs w:val="24"/>
        </w:rPr>
        <w:t>.</w:t>
      </w:r>
      <w:r w:rsidR="009028A1" w:rsidRPr="00F23704">
        <w:rPr>
          <w:rFonts w:asciiTheme="majorBidi" w:eastAsia="Calibri" w:hAnsiTheme="majorBidi" w:cstheme="majorBidi"/>
          <w:spacing w:val="-2"/>
          <w:sz w:val="24"/>
          <w:szCs w:val="24"/>
        </w:rPr>
        <w:t xml:space="preserve"> </w:t>
      </w:r>
    </w:p>
    <w:p w14:paraId="0EE46041" w14:textId="77777777" w:rsidR="00E95475" w:rsidRPr="00F23704" w:rsidRDefault="00E95475" w:rsidP="00E95475">
      <w:pPr>
        <w:suppressAutoHyphens/>
        <w:spacing w:after="0" w:line="240" w:lineRule="auto"/>
        <w:jc w:val="both"/>
        <w:rPr>
          <w:rFonts w:asciiTheme="majorBidi" w:eastAsia="Calibri" w:hAnsiTheme="majorBidi" w:cstheme="majorBidi"/>
          <w:spacing w:val="-2"/>
          <w:sz w:val="24"/>
          <w:szCs w:val="24"/>
        </w:rPr>
      </w:pPr>
    </w:p>
    <w:p w14:paraId="67CB765D" w14:textId="77777777" w:rsidR="004C6D32" w:rsidRPr="00313A6E" w:rsidRDefault="004C6D32" w:rsidP="004C6D32">
      <w:pPr>
        <w:spacing w:after="0" w:line="240" w:lineRule="auto"/>
        <w:ind w:right="202"/>
        <w:jc w:val="both"/>
        <w:rPr>
          <w:rFonts w:ascii="Times New Roman" w:hAnsi="Times New Roman"/>
          <w:spacing w:val="-2"/>
          <w:sz w:val="24"/>
        </w:rPr>
      </w:pPr>
      <w:r w:rsidRPr="00313A6E">
        <w:rPr>
          <w:rFonts w:ascii="Times New Roman" w:hAnsi="Times New Roman"/>
          <w:spacing w:val="-2"/>
          <w:sz w:val="24"/>
        </w:rPr>
        <w:t>THE ISLAMIC DEVELOPMENT BANK INSTITUTE</w:t>
      </w:r>
      <w:r>
        <w:rPr>
          <w:rFonts w:ascii="Times New Roman" w:hAnsi="Times New Roman"/>
          <w:spacing w:val="-2"/>
          <w:sz w:val="24"/>
        </w:rPr>
        <w:t xml:space="preserve"> </w:t>
      </w:r>
    </w:p>
    <w:p w14:paraId="0388C23A" w14:textId="77777777" w:rsidR="004C6D32" w:rsidRPr="00313A6E" w:rsidRDefault="004C6D32" w:rsidP="004C6D32">
      <w:pPr>
        <w:suppressAutoHyphens/>
        <w:spacing w:after="0" w:line="240" w:lineRule="auto"/>
        <w:jc w:val="both"/>
        <w:rPr>
          <w:rFonts w:asciiTheme="majorBidi" w:eastAsia="Calibri" w:hAnsiTheme="majorBidi" w:cstheme="majorBidi"/>
          <w:spacing w:val="-2"/>
          <w:sz w:val="24"/>
        </w:rPr>
      </w:pPr>
      <w:r w:rsidRPr="00F81A3C">
        <w:rPr>
          <w:rFonts w:asciiTheme="majorBidi" w:eastAsia="Calibri" w:hAnsiTheme="majorBidi" w:cstheme="majorBidi"/>
          <w:b/>
          <w:bCs/>
          <w:spacing w:val="-2"/>
          <w:sz w:val="24"/>
        </w:rPr>
        <w:t>Attention:</w:t>
      </w:r>
      <w:r w:rsidRPr="00313A6E">
        <w:rPr>
          <w:rFonts w:asciiTheme="majorBidi" w:eastAsia="Calibri" w:hAnsiTheme="majorBidi" w:cstheme="majorBidi"/>
          <w:spacing w:val="-2"/>
          <w:sz w:val="24"/>
        </w:rPr>
        <w:t xml:space="preserve">       The Islamic Development Bank Institute</w:t>
      </w:r>
    </w:p>
    <w:p w14:paraId="5CE71246" w14:textId="308FE8E3" w:rsidR="00021946" w:rsidRPr="00021946" w:rsidRDefault="004C6D32" w:rsidP="004C6D32">
      <w:pPr>
        <w:suppressAutoHyphens/>
        <w:spacing w:after="0" w:line="240" w:lineRule="auto"/>
        <w:jc w:val="both"/>
        <w:rPr>
          <w:rFonts w:asciiTheme="majorBidi" w:eastAsia="Calibri" w:hAnsiTheme="majorBidi" w:cstheme="majorBidi"/>
          <w:spacing w:val="-2"/>
          <w:sz w:val="24"/>
          <w:szCs w:val="24"/>
        </w:rPr>
      </w:pPr>
      <w:r w:rsidRPr="00F81A3C">
        <w:rPr>
          <w:rFonts w:asciiTheme="majorBidi" w:eastAsia="Calibri" w:hAnsiTheme="majorBidi" w:cstheme="majorBidi"/>
          <w:b/>
          <w:bCs/>
          <w:spacing w:val="-2"/>
          <w:sz w:val="24"/>
        </w:rPr>
        <w:t>Email:</w:t>
      </w:r>
      <w:r w:rsidRPr="00313A6E">
        <w:rPr>
          <w:rFonts w:asciiTheme="majorBidi" w:eastAsia="Calibri" w:hAnsiTheme="majorBidi" w:cstheme="majorBidi"/>
          <w:spacing w:val="-2"/>
          <w:sz w:val="24"/>
        </w:rPr>
        <w:tab/>
      </w:r>
      <w:r w:rsidRPr="00313A6E">
        <w:rPr>
          <w:rFonts w:asciiTheme="majorBidi" w:eastAsia="Calibri" w:hAnsiTheme="majorBidi" w:cstheme="majorBidi"/>
          <w:spacing w:val="-2"/>
          <w:sz w:val="24"/>
        </w:rPr>
        <w:tab/>
      </w:r>
      <w:hyperlink r:id="rId9" w:history="1">
        <w:r w:rsidRPr="003A27DE">
          <w:rPr>
            <w:rStyle w:val="Hyperlink"/>
            <w:rFonts w:ascii="Times New Roman" w:hAnsi="Times New Roman"/>
            <w:spacing w:val="-2"/>
            <w:sz w:val="24"/>
          </w:rPr>
          <w:t>cp.isdbi@isdb.org</w:t>
        </w:r>
      </w:hyperlink>
    </w:p>
    <w:sectPr w:rsidR="00021946" w:rsidRPr="00021946" w:rsidSect="001F414A">
      <w:headerReference w:type="even" r:id="rId10"/>
      <w:headerReference w:type="default" r:id="rId11"/>
      <w:footerReference w:type="default" r:id="rId12"/>
      <w:headerReference w:type="first" r:id="rId13"/>
      <w:pgSz w:w="12240" w:h="15840"/>
      <w:pgMar w:top="900" w:right="1440" w:bottom="16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9F33E" w14:textId="77777777" w:rsidR="002617A5" w:rsidRDefault="002617A5" w:rsidP="009028A1">
      <w:pPr>
        <w:spacing w:after="0" w:line="240" w:lineRule="auto"/>
      </w:pPr>
      <w:r>
        <w:separator/>
      </w:r>
    </w:p>
  </w:endnote>
  <w:endnote w:type="continuationSeparator" w:id="0">
    <w:p w14:paraId="75DD9716" w14:textId="77777777" w:rsidR="002617A5" w:rsidRDefault="002617A5" w:rsidP="00902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4A7AC" w14:textId="77777777" w:rsidR="00B5167A" w:rsidRDefault="00B5167A">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6A31E6CD" w14:textId="77777777" w:rsidR="00B5167A" w:rsidRDefault="00B51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F0D02" w14:textId="77777777" w:rsidR="002617A5" w:rsidRDefault="002617A5" w:rsidP="009028A1">
      <w:pPr>
        <w:spacing w:after="0" w:line="240" w:lineRule="auto"/>
      </w:pPr>
      <w:r>
        <w:separator/>
      </w:r>
    </w:p>
  </w:footnote>
  <w:footnote w:type="continuationSeparator" w:id="0">
    <w:p w14:paraId="031E5868" w14:textId="77777777" w:rsidR="002617A5" w:rsidRDefault="002617A5" w:rsidP="00902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0F7F" w14:textId="0046469A" w:rsidR="0005487F" w:rsidRDefault="0005487F">
    <w:pPr>
      <w:pStyle w:val="Header"/>
    </w:pPr>
    <w:r>
      <w:rPr>
        <w:noProof/>
      </w:rPr>
      <mc:AlternateContent>
        <mc:Choice Requires="wps">
          <w:drawing>
            <wp:anchor distT="0" distB="0" distL="0" distR="0" simplePos="0" relativeHeight="251659264" behindDoc="0" locked="0" layoutInCell="1" allowOverlap="1" wp14:anchorId="230F2996" wp14:editId="3152B95E">
              <wp:simplePos x="635" y="635"/>
              <wp:positionH relativeFrom="page">
                <wp:align>left</wp:align>
              </wp:positionH>
              <wp:positionV relativeFrom="page">
                <wp:align>top</wp:align>
              </wp:positionV>
              <wp:extent cx="763270" cy="368935"/>
              <wp:effectExtent l="0" t="0" r="17780" b="12065"/>
              <wp:wrapNone/>
              <wp:docPr id="1763246416"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78480DD7" w14:textId="7F47DEB9" w:rsidR="0005487F" w:rsidRPr="0005487F" w:rsidRDefault="0005487F" w:rsidP="0005487F">
                          <w:pPr>
                            <w:spacing w:after="0"/>
                            <w:rPr>
                              <w:rFonts w:ascii="Calibri" w:eastAsia="Calibri" w:hAnsi="Calibri" w:cs="Calibri"/>
                              <w:noProof/>
                              <w:color w:val="000000"/>
                              <w:sz w:val="20"/>
                              <w:szCs w:val="20"/>
                            </w:rPr>
                          </w:pPr>
                          <w:r w:rsidRPr="0005487F">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30F2996" id="_x0000_t202" coordsize="21600,21600" o:spt="202" path="m,l,21600r21600,l21600,xe">
              <v:stroke joinstyle="miter"/>
              <v:path gradientshapeok="t" o:connecttype="rect"/>
            </v:shapetype>
            <v:shape id="Text Box 2" o:spid="_x0000_s1026" type="#_x0000_t202" alt="Protected" style="position:absolute;margin-left:0;margin-top:0;width:60.1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" filled="f" stroked="f">
              <v:textbox style="mso-fit-shape-to-text:t" inset="20pt,15pt,0,0">
                <w:txbxContent>
                  <w:p w14:paraId="78480DD7" w14:textId="7F47DEB9" w:rsidR="0005487F" w:rsidRPr="0005487F" w:rsidRDefault="0005487F" w:rsidP="0005487F">
                    <w:pPr>
                      <w:spacing w:after="0"/>
                      <w:rPr>
                        <w:rFonts w:ascii="Calibri" w:eastAsia="Calibri" w:hAnsi="Calibri" w:cs="Calibri"/>
                        <w:noProof/>
                        <w:color w:val="000000"/>
                        <w:sz w:val="20"/>
                        <w:szCs w:val="20"/>
                      </w:rPr>
                    </w:pPr>
                    <w:r w:rsidRPr="0005487F">
                      <w:rPr>
                        <w:rFonts w:ascii="Calibri" w:eastAsia="Calibri" w:hAnsi="Calibri" w:cs="Calibri"/>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6B6A7" w14:textId="4263449B" w:rsidR="0005487F" w:rsidRDefault="0005487F">
    <w:pPr>
      <w:pStyle w:val="Header"/>
    </w:pPr>
    <w:r>
      <w:rPr>
        <w:noProof/>
      </w:rPr>
      <mc:AlternateContent>
        <mc:Choice Requires="wps">
          <w:drawing>
            <wp:anchor distT="0" distB="0" distL="0" distR="0" simplePos="0" relativeHeight="251660288" behindDoc="0" locked="0" layoutInCell="1" allowOverlap="1" wp14:anchorId="754BC958" wp14:editId="57437D0A">
              <wp:simplePos x="915035" y="457835"/>
              <wp:positionH relativeFrom="page">
                <wp:align>left</wp:align>
              </wp:positionH>
              <wp:positionV relativeFrom="page">
                <wp:align>top</wp:align>
              </wp:positionV>
              <wp:extent cx="763270" cy="368935"/>
              <wp:effectExtent l="0" t="0" r="17780" b="12065"/>
              <wp:wrapNone/>
              <wp:docPr id="2132722570"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49229767" w14:textId="4F172947" w:rsidR="0005487F" w:rsidRPr="0005487F" w:rsidRDefault="0005487F" w:rsidP="0005487F">
                          <w:pPr>
                            <w:spacing w:after="0"/>
                            <w:rPr>
                              <w:rFonts w:ascii="Calibri" w:eastAsia="Calibri" w:hAnsi="Calibri" w:cs="Calibri"/>
                              <w:noProof/>
                              <w:color w:val="000000"/>
                              <w:sz w:val="20"/>
                              <w:szCs w:val="20"/>
                            </w:rPr>
                          </w:pPr>
                          <w:r w:rsidRPr="0005487F">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54BC958" id="_x0000_t202" coordsize="21600,21600" o:spt="202" path="m,l,21600r21600,l21600,xe">
              <v:stroke joinstyle="miter"/>
              <v:path gradientshapeok="t" o:connecttype="rect"/>
            </v:shapetype>
            <v:shape id="Text Box 3" o:spid="_x0000_s1027" type="#_x0000_t202" alt="Protected" style="position:absolute;margin-left:0;margin-top:0;width:60.1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" filled="f" stroked="f">
              <v:textbox style="mso-fit-shape-to-text:t" inset="20pt,15pt,0,0">
                <w:txbxContent>
                  <w:p w14:paraId="49229767" w14:textId="4F172947" w:rsidR="0005487F" w:rsidRPr="0005487F" w:rsidRDefault="0005487F" w:rsidP="0005487F">
                    <w:pPr>
                      <w:spacing w:after="0"/>
                      <w:rPr>
                        <w:rFonts w:ascii="Calibri" w:eastAsia="Calibri" w:hAnsi="Calibri" w:cs="Calibri"/>
                        <w:noProof/>
                        <w:color w:val="000000"/>
                        <w:sz w:val="20"/>
                        <w:szCs w:val="20"/>
                      </w:rPr>
                    </w:pPr>
                    <w:r w:rsidRPr="0005487F">
                      <w:rPr>
                        <w:rFonts w:ascii="Calibri" w:eastAsia="Calibri" w:hAnsi="Calibri" w:cs="Calibri"/>
                        <w:noProof/>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5D32C" w14:textId="6E1B0281" w:rsidR="0005487F" w:rsidRDefault="0005487F">
    <w:pPr>
      <w:pStyle w:val="Header"/>
    </w:pPr>
    <w:r>
      <w:rPr>
        <w:noProof/>
      </w:rPr>
      <mc:AlternateContent>
        <mc:Choice Requires="wps">
          <w:drawing>
            <wp:anchor distT="0" distB="0" distL="0" distR="0" simplePos="0" relativeHeight="251658240" behindDoc="0" locked="0" layoutInCell="1" allowOverlap="1" wp14:anchorId="1D3C04F4" wp14:editId="4996AC0E">
              <wp:simplePos x="914400" y="457200"/>
              <wp:positionH relativeFrom="page">
                <wp:align>left</wp:align>
              </wp:positionH>
              <wp:positionV relativeFrom="page">
                <wp:align>top</wp:align>
              </wp:positionV>
              <wp:extent cx="763270" cy="368935"/>
              <wp:effectExtent l="0" t="0" r="17780" b="12065"/>
              <wp:wrapNone/>
              <wp:docPr id="1047514448"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4DE3838F" w14:textId="2C3ADFC4" w:rsidR="0005487F" w:rsidRPr="0005487F" w:rsidRDefault="0005487F" w:rsidP="0005487F">
                          <w:pPr>
                            <w:spacing w:after="0"/>
                            <w:rPr>
                              <w:rFonts w:ascii="Calibri" w:eastAsia="Calibri" w:hAnsi="Calibri" w:cs="Calibri"/>
                              <w:noProof/>
                              <w:color w:val="000000"/>
                              <w:sz w:val="20"/>
                              <w:szCs w:val="20"/>
                            </w:rPr>
                          </w:pPr>
                          <w:r w:rsidRPr="0005487F">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D3C04F4" id="_x0000_t202" coordsize="21600,21600" o:spt="202" path="m,l,21600r21600,l21600,xe">
              <v:stroke joinstyle="miter"/>
              <v:path gradientshapeok="t" o:connecttype="rect"/>
            </v:shapetype>
            <v:shape id="Text Box 1" o:spid="_x0000_s1028" type="#_x0000_t202" alt="Protected" style="position:absolute;margin-left:0;margin-top:0;width:60.1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" filled="f" stroked="f">
              <v:textbox style="mso-fit-shape-to-text:t" inset="20pt,15pt,0,0">
                <w:txbxContent>
                  <w:p w14:paraId="4DE3838F" w14:textId="2C3ADFC4" w:rsidR="0005487F" w:rsidRPr="0005487F" w:rsidRDefault="0005487F" w:rsidP="0005487F">
                    <w:pPr>
                      <w:spacing w:after="0"/>
                      <w:rPr>
                        <w:rFonts w:ascii="Calibri" w:eastAsia="Calibri" w:hAnsi="Calibri" w:cs="Calibri"/>
                        <w:noProof/>
                        <w:color w:val="000000"/>
                        <w:sz w:val="20"/>
                        <w:szCs w:val="20"/>
                      </w:rPr>
                    </w:pPr>
                    <w:r w:rsidRPr="0005487F">
                      <w:rPr>
                        <w:rFonts w:ascii="Calibri" w:eastAsia="Calibri" w:hAnsi="Calibri" w:cs="Calibri"/>
                        <w:noProof/>
                        <w:color w:val="000000"/>
                        <w:sz w:val="20"/>
                        <w:szCs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588E"/>
    <w:multiLevelType w:val="hybridMultilevel"/>
    <w:tmpl w:val="D86ADD32"/>
    <w:lvl w:ilvl="0" w:tplc="73B4613C">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D14A43"/>
    <w:multiLevelType w:val="hybridMultilevel"/>
    <w:tmpl w:val="E25A334E"/>
    <w:lvl w:ilvl="0" w:tplc="8C6811E6">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3D0E8F"/>
    <w:multiLevelType w:val="hybridMultilevel"/>
    <w:tmpl w:val="75FCD7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D8459D"/>
    <w:multiLevelType w:val="hybridMultilevel"/>
    <w:tmpl w:val="7728AA3A"/>
    <w:lvl w:ilvl="0" w:tplc="87065F7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1E48EE"/>
    <w:multiLevelType w:val="hybridMultilevel"/>
    <w:tmpl w:val="4EF0A2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781B2D"/>
    <w:multiLevelType w:val="hybridMultilevel"/>
    <w:tmpl w:val="8C701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B474BF"/>
    <w:multiLevelType w:val="multilevel"/>
    <w:tmpl w:val="5C208C1A"/>
    <w:lvl w:ilvl="0">
      <w:start w:val="1"/>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6B34B0D"/>
    <w:multiLevelType w:val="hybridMultilevel"/>
    <w:tmpl w:val="37703C48"/>
    <w:lvl w:ilvl="0" w:tplc="FFFFFFFF">
      <w:start w:val="1"/>
      <w:numFmt w:val="lowerRoman"/>
      <w:lvlText w:val="%1."/>
      <w:lvlJc w:val="righ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8311712"/>
    <w:multiLevelType w:val="hybridMultilevel"/>
    <w:tmpl w:val="37703C48"/>
    <w:lvl w:ilvl="0" w:tplc="19262804">
      <w:start w:val="1"/>
      <w:numFmt w:val="lowerRoman"/>
      <w:lvlText w:val="%1."/>
      <w:lvlJc w:val="righ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454BB8"/>
    <w:multiLevelType w:val="hybridMultilevel"/>
    <w:tmpl w:val="2D905CC8"/>
    <w:lvl w:ilvl="0" w:tplc="C824A1C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F015C7"/>
    <w:multiLevelType w:val="hybridMultilevel"/>
    <w:tmpl w:val="72104EEE"/>
    <w:lvl w:ilvl="0" w:tplc="5F4A0CE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4B5503"/>
    <w:multiLevelType w:val="hybridMultilevel"/>
    <w:tmpl w:val="4B6E4AE8"/>
    <w:lvl w:ilvl="0" w:tplc="637296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9C0167"/>
    <w:multiLevelType w:val="hybridMultilevel"/>
    <w:tmpl w:val="C28AA3FE"/>
    <w:lvl w:ilvl="0" w:tplc="C5A286CA">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E84623B"/>
    <w:multiLevelType w:val="multilevel"/>
    <w:tmpl w:val="8FC61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594A55"/>
    <w:multiLevelType w:val="hybridMultilevel"/>
    <w:tmpl w:val="BBFAF680"/>
    <w:lvl w:ilvl="0" w:tplc="19262804">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6B0472"/>
    <w:multiLevelType w:val="hybridMultilevel"/>
    <w:tmpl w:val="750A8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A21A3B"/>
    <w:multiLevelType w:val="hybridMultilevel"/>
    <w:tmpl w:val="F7AAFD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20425F"/>
    <w:multiLevelType w:val="hybridMultilevel"/>
    <w:tmpl w:val="C1A8F7E2"/>
    <w:lvl w:ilvl="0" w:tplc="635C3FFA">
      <w:start w:val="202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9857F1"/>
    <w:multiLevelType w:val="hybridMultilevel"/>
    <w:tmpl w:val="B0CAECCC"/>
    <w:lvl w:ilvl="0" w:tplc="19262804">
      <w:start w:val="1"/>
      <w:numFmt w:val="lowerRoman"/>
      <w:lvlText w:val="%1."/>
      <w:lvlJc w:val="righ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3071834"/>
    <w:multiLevelType w:val="hybridMultilevel"/>
    <w:tmpl w:val="37703C48"/>
    <w:lvl w:ilvl="0" w:tplc="19262804">
      <w:start w:val="1"/>
      <w:numFmt w:val="lowerRoman"/>
      <w:lvlText w:val="%1."/>
      <w:lvlJc w:val="righ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E43690"/>
    <w:multiLevelType w:val="hybridMultilevel"/>
    <w:tmpl w:val="C85AB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865E17"/>
    <w:multiLevelType w:val="hybridMultilevel"/>
    <w:tmpl w:val="2AAC807E"/>
    <w:lvl w:ilvl="0" w:tplc="B5F886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491417"/>
    <w:multiLevelType w:val="multilevel"/>
    <w:tmpl w:val="BEF44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8741799">
    <w:abstractNumId w:val="2"/>
  </w:num>
  <w:num w:numId="2" w16cid:durableId="1106269992">
    <w:abstractNumId w:val="20"/>
  </w:num>
  <w:num w:numId="3" w16cid:durableId="113256760">
    <w:abstractNumId w:val="10"/>
  </w:num>
  <w:num w:numId="4" w16cid:durableId="894043223">
    <w:abstractNumId w:val="6"/>
  </w:num>
  <w:num w:numId="5" w16cid:durableId="1815412972">
    <w:abstractNumId w:val="18"/>
  </w:num>
  <w:num w:numId="6" w16cid:durableId="1690256797">
    <w:abstractNumId w:val="12"/>
  </w:num>
  <w:num w:numId="7" w16cid:durableId="131600041">
    <w:abstractNumId w:val="0"/>
  </w:num>
  <w:num w:numId="8" w16cid:durableId="1865166170">
    <w:abstractNumId w:val="1"/>
  </w:num>
  <w:num w:numId="9" w16cid:durableId="1623459367">
    <w:abstractNumId w:val="19"/>
  </w:num>
  <w:num w:numId="10" w16cid:durableId="874655860">
    <w:abstractNumId w:val="9"/>
  </w:num>
  <w:num w:numId="11" w16cid:durableId="1836190896">
    <w:abstractNumId w:val="5"/>
  </w:num>
  <w:num w:numId="12" w16cid:durableId="1393115799">
    <w:abstractNumId w:val="16"/>
  </w:num>
  <w:num w:numId="13" w16cid:durableId="299382288">
    <w:abstractNumId w:val="4"/>
  </w:num>
  <w:num w:numId="14" w16cid:durableId="2140414656">
    <w:abstractNumId w:val="22"/>
  </w:num>
  <w:num w:numId="15" w16cid:durableId="1782408723">
    <w:abstractNumId w:val="8"/>
  </w:num>
  <w:num w:numId="16" w16cid:durableId="1529175966">
    <w:abstractNumId w:val="14"/>
  </w:num>
  <w:num w:numId="17" w16cid:durableId="1502039729">
    <w:abstractNumId w:val="21"/>
  </w:num>
  <w:num w:numId="18" w16cid:durableId="1375739704">
    <w:abstractNumId w:val="7"/>
  </w:num>
  <w:num w:numId="19" w16cid:durableId="1808083778">
    <w:abstractNumId w:val="3"/>
  </w:num>
  <w:num w:numId="20" w16cid:durableId="111168525">
    <w:abstractNumId w:val="15"/>
  </w:num>
  <w:num w:numId="21" w16cid:durableId="1106971626">
    <w:abstractNumId w:val="17"/>
  </w:num>
  <w:num w:numId="22" w16cid:durableId="2137789615">
    <w:abstractNumId w:val="11"/>
  </w:num>
  <w:num w:numId="23" w16cid:durableId="5949473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c0MTIxNDcyMTc3szBT0lEKTi0uzszPAykwrQUA+Wbr3ywAAAA="/>
  </w:docVars>
  <w:rsids>
    <w:rsidRoot w:val="0002164D"/>
    <w:rsid w:val="0002164D"/>
    <w:rsid w:val="00021946"/>
    <w:rsid w:val="00023E6D"/>
    <w:rsid w:val="000261CF"/>
    <w:rsid w:val="0005487F"/>
    <w:rsid w:val="00054CCE"/>
    <w:rsid w:val="00075990"/>
    <w:rsid w:val="0008314E"/>
    <w:rsid w:val="000E1094"/>
    <w:rsid w:val="00105E78"/>
    <w:rsid w:val="0011515F"/>
    <w:rsid w:val="0013296D"/>
    <w:rsid w:val="00145C30"/>
    <w:rsid w:val="00186C9B"/>
    <w:rsid w:val="001A7997"/>
    <w:rsid w:val="001B32F4"/>
    <w:rsid w:val="001B5D10"/>
    <w:rsid w:val="001C6A63"/>
    <w:rsid w:val="001E39E5"/>
    <w:rsid w:val="001F414A"/>
    <w:rsid w:val="00200893"/>
    <w:rsid w:val="00234B32"/>
    <w:rsid w:val="00236989"/>
    <w:rsid w:val="00237CDD"/>
    <w:rsid w:val="00240E42"/>
    <w:rsid w:val="002617A5"/>
    <w:rsid w:val="002918B8"/>
    <w:rsid w:val="002A15E3"/>
    <w:rsid w:val="002A6172"/>
    <w:rsid w:val="003079E3"/>
    <w:rsid w:val="00322BF5"/>
    <w:rsid w:val="00332679"/>
    <w:rsid w:val="00335ED5"/>
    <w:rsid w:val="00355504"/>
    <w:rsid w:val="0037498A"/>
    <w:rsid w:val="00375860"/>
    <w:rsid w:val="00376084"/>
    <w:rsid w:val="0038432F"/>
    <w:rsid w:val="00385AE8"/>
    <w:rsid w:val="003871BD"/>
    <w:rsid w:val="0039321B"/>
    <w:rsid w:val="003A773E"/>
    <w:rsid w:val="003B6277"/>
    <w:rsid w:val="003C7FBB"/>
    <w:rsid w:val="003D239F"/>
    <w:rsid w:val="003D78CE"/>
    <w:rsid w:val="003F25C6"/>
    <w:rsid w:val="004421BC"/>
    <w:rsid w:val="00446A04"/>
    <w:rsid w:val="00447164"/>
    <w:rsid w:val="0049771A"/>
    <w:rsid w:val="00497808"/>
    <w:rsid w:val="004C6D32"/>
    <w:rsid w:val="004D3718"/>
    <w:rsid w:val="004F56B6"/>
    <w:rsid w:val="00511110"/>
    <w:rsid w:val="0051623E"/>
    <w:rsid w:val="00516BC7"/>
    <w:rsid w:val="00531407"/>
    <w:rsid w:val="00541E3A"/>
    <w:rsid w:val="00544921"/>
    <w:rsid w:val="0055353B"/>
    <w:rsid w:val="00554F18"/>
    <w:rsid w:val="00560552"/>
    <w:rsid w:val="00565D92"/>
    <w:rsid w:val="00566FAB"/>
    <w:rsid w:val="0057428B"/>
    <w:rsid w:val="00597665"/>
    <w:rsid w:val="005B4842"/>
    <w:rsid w:val="005C34A0"/>
    <w:rsid w:val="005C3847"/>
    <w:rsid w:val="005D0584"/>
    <w:rsid w:val="005E21C5"/>
    <w:rsid w:val="00602201"/>
    <w:rsid w:val="00602BA3"/>
    <w:rsid w:val="00606B53"/>
    <w:rsid w:val="00630F05"/>
    <w:rsid w:val="006321C5"/>
    <w:rsid w:val="006927F1"/>
    <w:rsid w:val="006A2750"/>
    <w:rsid w:val="006A3C71"/>
    <w:rsid w:val="006A6611"/>
    <w:rsid w:val="006C15BB"/>
    <w:rsid w:val="006C6387"/>
    <w:rsid w:val="006F641B"/>
    <w:rsid w:val="00720041"/>
    <w:rsid w:val="00737A6D"/>
    <w:rsid w:val="007454E7"/>
    <w:rsid w:val="00757902"/>
    <w:rsid w:val="00760BC1"/>
    <w:rsid w:val="007637A9"/>
    <w:rsid w:val="00777B18"/>
    <w:rsid w:val="00783790"/>
    <w:rsid w:val="00795C41"/>
    <w:rsid w:val="007B68F5"/>
    <w:rsid w:val="007C202A"/>
    <w:rsid w:val="00804F34"/>
    <w:rsid w:val="00815468"/>
    <w:rsid w:val="008165C0"/>
    <w:rsid w:val="0083099F"/>
    <w:rsid w:val="0085719F"/>
    <w:rsid w:val="00865A51"/>
    <w:rsid w:val="00882AFA"/>
    <w:rsid w:val="00895BBD"/>
    <w:rsid w:val="0089622E"/>
    <w:rsid w:val="008A008B"/>
    <w:rsid w:val="008A38DC"/>
    <w:rsid w:val="008A43DD"/>
    <w:rsid w:val="008B029D"/>
    <w:rsid w:val="008B5164"/>
    <w:rsid w:val="009028A1"/>
    <w:rsid w:val="00910966"/>
    <w:rsid w:val="00914ADD"/>
    <w:rsid w:val="00927E74"/>
    <w:rsid w:val="0095047E"/>
    <w:rsid w:val="009623FD"/>
    <w:rsid w:val="00963F06"/>
    <w:rsid w:val="0099501E"/>
    <w:rsid w:val="009A4687"/>
    <w:rsid w:val="009E0879"/>
    <w:rsid w:val="009E1F08"/>
    <w:rsid w:val="009E6726"/>
    <w:rsid w:val="00A01795"/>
    <w:rsid w:val="00A37021"/>
    <w:rsid w:val="00A42A5E"/>
    <w:rsid w:val="00A54278"/>
    <w:rsid w:val="00A609C2"/>
    <w:rsid w:val="00A657F1"/>
    <w:rsid w:val="00A76EB2"/>
    <w:rsid w:val="00A80CC4"/>
    <w:rsid w:val="00A9157F"/>
    <w:rsid w:val="00AB2F3B"/>
    <w:rsid w:val="00AB633B"/>
    <w:rsid w:val="00AC4A48"/>
    <w:rsid w:val="00AD3A53"/>
    <w:rsid w:val="00B30092"/>
    <w:rsid w:val="00B46F4E"/>
    <w:rsid w:val="00B5167A"/>
    <w:rsid w:val="00B61B30"/>
    <w:rsid w:val="00B70F77"/>
    <w:rsid w:val="00B83012"/>
    <w:rsid w:val="00B905BF"/>
    <w:rsid w:val="00B926D6"/>
    <w:rsid w:val="00B94C14"/>
    <w:rsid w:val="00B96761"/>
    <w:rsid w:val="00B97C27"/>
    <w:rsid w:val="00BA0CC9"/>
    <w:rsid w:val="00BA5D2B"/>
    <w:rsid w:val="00BA7A4A"/>
    <w:rsid w:val="00BC6BA6"/>
    <w:rsid w:val="00BD1148"/>
    <w:rsid w:val="00BE2F6B"/>
    <w:rsid w:val="00C00EAA"/>
    <w:rsid w:val="00C02076"/>
    <w:rsid w:val="00C04643"/>
    <w:rsid w:val="00C15752"/>
    <w:rsid w:val="00C329AE"/>
    <w:rsid w:val="00C32F18"/>
    <w:rsid w:val="00C34090"/>
    <w:rsid w:val="00C54E1C"/>
    <w:rsid w:val="00C57368"/>
    <w:rsid w:val="00C6111F"/>
    <w:rsid w:val="00C62669"/>
    <w:rsid w:val="00C81759"/>
    <w:rsid w:val="00C93E2D"/>
    <w:rsid w:val="00CA093D"/>
    <w:rsid w:val="00CA22DD"/>
    <w:rsid w:val="00CA3FD6"/>
    <w:rsid w:val="00CA5217"/>
    <w:rsid w:val="00CB0EC2"/>
    <w:rsid w:val="00CB73A8"/>
    <w:rsid w:val="00CC0040"/>
    <w:rsid w:val="00CC0F45"/>
    <w:rsid w:val="00CD4E01"/>
    <w:rsid w:val="00CD4E9D"/>
    <w:rsid w:val="00CD7403"/>
    <w:rsid w:val="00CE2B83"/>
    <w:rsid w:val="00CF4D2B"/>
    <w:rsid w:val="00D05512"/>
    <w:rsid w:val="00D11DD9"/>
    <w:rsid w:val="00D166F7"/>
    <w:rsid w:val="00D22A13"/>
    <w:rsid w:val="00D55929"/>
    <w:rsid w:val="00D6104A"/>
    <w:rsid w:val="00D61443"/>
    <w:rsid w:val="00D85D4E"/>
    <w:rsid w:val="00D8616F"/>
    <w:rsid w:val="00DA04D5"/>
    <w:rsid w:val="00DA6176"/>
    <w:rsid w:val="00DF00D9"/>
    <w:rsid w:val="00DF4930"/>
    <w:rsid w:val="00E01198"/>
    <w:rsid w:val="00E13942"/>
    <w:rsid w:val="00E35648"/>
    <w:rsid w:val="00E45A71"/>
    <w:rsid w:val="00E51DDF"/>
    <w:rsid w:val="00E70082"/>
    <w:rsid w:val="00E738A5"/>
    <w:rsid w:val="00E80202"/>
    <w:rsid w:val="00E83AFB"/>
    <w:rsid w:val="00E92ABC"/>
    <w:rsid w:val="00E95475"/>
    <w:rsid w:val="00EA537C"/>
    <w:rsid w:val="00EB1422"/>
    <w:rsid w:val="00EB5B16"/>
    <w:rsid w:val="00ED0ADB"/>
    <w:rsid w:val="00EE2862"/>
    <w:rsid w:val="00F136F8"/>
    <w:rsid w:val="00F20806"/>
    <w:rsid w:val="00F23704"/>
    <w:rsid w:val="00F25571"/>
    <w:rsid w:val="00F30279"/>
    <w:rsid w:val="00F31BC5"/>
    <w:rsid w:val="00F35C62"/>
    <w:rsid w:val="00F3752E"/>
    <w:rsid w:val="00F4749B"/>
    <w:rsid w:val="00F561B6"/>
    <w:rsid w:val="00F60E0B"/>
    <w:rsid w:val="00F62198"/>
    <w:rsid w:val="00F9541C"/>
    <w:rsid w:val="00FA1409"/>
    <w:rsid w:val="00FA302F"/>
    <w:rsid w:val="00FE0311"/>
    <w:rsid w:val="00FE3BA6"/>
    <w:rsid w:val="00FE3FB2"/>
    <w:rsid w:val="00FE65FE"/>
    <w:rsid w:val="00FF1B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6F2C45"/>
  <w15:docId w15:val="{F88724C9-3367-41E9-BD87-D0D1A04C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A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A4A"/>
    <w:rPr>
      <w:rFonts w:ascii="Tahoma" w:hAnsi="Tahoma" w:cs="Tahoma"/>
      <w:sz w:val="16"/>
      <w:szCs w:val="16"/>
    </w:rPr>
  </w:style>
  <w:style w:type="paragraph" w:styleId="ListParagraph">
    <w:name w:val="List Paragraph"/>
    <w:aliases w:val="List Paragraph2,Bullets,List Paragraph nowy,References,Text,Citation List,سرد الفقرات,List Paragraph (numbered (a)),Use Case List Paragraph,본문(내용),Colorful List - Accent 11,List_Paragraph,Multilevel para_II,ADB Normal,List Paragraph1,lp1"/>
    <w:basedOn w:val="Normal"/>
    <w:link w:val="ListParagraphChar"/>
    <w:uiPriority w:val="34"/>
    <w:qFormat/>
    <w:rsid w:val="00FF1B21"/>
    <w:pPr>
      <w:ind w:left="720"/>
      <w:contextualSpacing/>
    </w:pPr>
  </w:style>
  <w:style w:type="character" w:styleId="Hyperlink">
    <w:name w:val="Hyperlink"/>
    <w:basedOn w:val="DefaultParagraphFont"/>
    <w:uiPriority w:val="99"/>
    <w:unhideWhenUsed/>
    <w:rsid w:val="004F56B6"/>
    <w:rPr>
      <w:color w:val="0000FF" w:themeColor="hyperlink"/>
      <w:u w:val="single"/>
    </w:rPr>
  </w:style>
  <w:style w:type="character" w:styleId="UnresolvedMention">
    <w:name w:val="Unresolved Mention"/>
    <w:basedOn w:val="DefaultParagraphFont"/>
    <w:uiPriority w:val="99"/>
    <w:semiHidden/>
    <w:unhideWhenUsed/>
    <w:rsid w:val="00E95475"/>
    <w:rPr>
      <w:color w:val="605E5C"/>
      <w:shd w:val="clear" w:color="auto" w:fill="E1DFDD"/>
    </w:rPr>
  </w:style>
  <w:style w:type="character" w:styleId="CommentReference">
    <w:name w:val="annotation reference"/>
    <w:basedOn w:val="DefaultParagraphFont"/>
    <w:uiPriority w:val="99"/>
    <w:semiHidden/>
    <w:unhideWhenUsed/>
    <w:rsid w:val="00865A51"/>
    <w:rPr>
      <w:sz w:val="16"/>
      <w:szCs w:val="16"/>
    </w:rPr>
  </w:style>
  <w:style w:type="paragraph" w:styleId="CommentText">
    <w:name w:val="annotation text"/>
    <w:basedOn w:val="Normal"/>
    <w:link w:val="CommentTextChar"/>
    <w:uiPriority w:val="99"/>
    <w:unhideWhenUsed/>
    <w:rsid w:val="00865A51"/>
    <w:pPr>
      <w:spacing w:line="240" w:lineRule="auto"/>
    </w:pPr>
    <w:rPr>
      <w:sz w:val="20"/>
      <w:szCs w:val="20"/>
    </w:rPr>
  </w:style>
  <w:style w:type="character" w:customStyle="1" w:styleId="CommentTextChar">
    <w:name w:val="Comment Text Char"/>
    <w:basedOn w:val="DefaultParagraphFont"/>
    <w:link w:val="CommentText"/>
    <w:uiPriority w:val="99"/>
    <w:rsid w:val="00865A51"/>
    <w:rPr>
      <w:sz w:val="20"/>
      <w:szCs w:val="20"/>
    </w:rPr>
  </w:style>
  <w:style w:type="paragraph" w:styleId="CommentSubject">
    <w:name w:val="annotation subject"/>
    <w:basedOn w:val="CommentText"/>
    <w:next w:val="CommentText"/>
    <w:link w:val="CommentSubjectChar"/>
    <w:uiPriority w:val="99"/>
    <w:semiHidden/>
    <w:unhideWhenUsed/>
    <w:rsid w:val="00865A51"/>
    <w:rPr>
      <w:b/>
      <w:bCs/>
    </w:rPr>
  </w:style>
  <w:style w:type="character" w:customStyle="1" w:styleId="CommentSubjectChar">
    <w:name w:val="Comment Subject Char"/>
    <w:basedOn w:val="CommentTextChar"/>
    <w:link w:val="CommentSubject"/>
    <w:uiPriority w:val="99"/>
    <w:semiHidden/>
    <w:rsid w:val="00865A51"/>
    <w:rPr>
      <w:b/>
      <w:bCs/>
      <w:sz w:val="20"/>
      <w:szCs w:val="20"/>
    </w:rPr>
  </w:style>
  <w:style w:type="character" w:customStyle="1" w:styleId="ListParagraphChar">
    <w:name w:val="List Paragraph Char"/>
    <w:aliases w:val="List Paragraph2 Char,Bullets Char,List Paragraph nowy Char,References Char,Text Char,Citation List Char,سرد الفقرات Char,List Paragraph (numbered (a)) Char,Use Case List Paragraph Char,본문(내용) Char,Colorful List - Accent 11 Char"/>
    <w:link w:val="ListParagraph"/>
    <w:uiPriority w:val="34"/>
    <w:qFormat/>
    <w:locked/>
    <w:rsid w:val="00F60E0B"/>
  </w:style>
  <w:style w:type="paragraph" w:styleId="Revision">
    <w:name w:val="Revision"/>
    <w:hidden/>
    <w:uiPriority w:val="99"/>
    <w:semiHidden/>
    <w:rsid w:val="009A4687"/>
    <w:pPr>
      <w:spacing w:after="0" w:line="240" w:lineRule="auto"/>
    </w:pPr>
  </w:style>
  <w:style w:type="paragraph" w:styleId="BodyText">
    <w:name w:val="Body Text"/>
    <w:basedOn w:val="Normal"/>
    <w:link w:val="BodyTextChar"/>
    <w:rsid w:val="0095047E"/>
    <w:pPr>
      <w:suppressAutoHyphens/>
      <w:spacing w:after="0" w:line="240" w:lineRule="auto"/>
    </w:pPr>
    <w:rPr>
      <w:rFonts w:ascii="CG Times" w:eastAsia="Times New Roman" w:hAnsi="CG Times" w:cs="Times New Roman"/>
      <w:spacing w:val="-2"/>
      <w:sz w:val="24"/>
      <w:szCs w:val="20"/>
    </w:rPr>
  </w:style>
  <w:style w:type="character" w:customStyle="1" w:styleId="BodyTextChar">
    <w:name w:val="Body Text Char"/>
    <w:basedOn w:val="DefaultParagraphFont"/>
    <w:link w:val="BodyText"/>
    <w:rsid w:val="0095047E"/>
    <w:rPr>
      <w:rFonts w:ascii="CG Times" w:eastAsia="Times New Roman" w:hAnsi="CG Times" w:cs="Times New Roman"/>
      <w:spacing w:val="-2"/>
      <w:sz w:val="24"/>
      <w:szCs w:val="20"/>
    </w:rPr>
  </w:style>
  <w:style w:type="paragraph" w:styleId="Header">
    <w:name w:val="header"/>
    <w:basedOn w:val="Normal"/>
    <w:link w:val="HeaderChar"/>
    <w:uiPriority w:val="99"/>
    <w:unhideWhenUsed/>
    <w:rsid w:val="00B51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67A"/>
  </w:style>
  <w:style w:type="paragraph" w:styleId="Footer">
    <w:name w:val="footer"/>
    <w:basedOn w:val="Normal"/>
    <w:link w:val="FooterChar"/>
    <w:uiPriority w:val="99"/>
    <w:unhideWhenUsed/>
    <w:rsid w:val="00B516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67A"/>
  </w:style>
  <w:style w:type="paragraph" w:styleId="NormalWeb">
    <w:name w:val="Normal (Web)"/>
    <w:basedOn w:val="Normal"/>
    <w:uiPriority w:val="99"/>
    <w:unhideWhenUsed/>
    <w:rsid w:val="00021946"/>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21946"/>
    <w:rPr>
      <w:color w:val="800080" w:themeColor="followedHyperlink"/>
      <w:u w:val="single"/>
    </w:rPr>
  </w:style>
  <w:style w:type="paragraph" w:customStyle="1" w:styleId="ChapterNumber">
    <w:name w:val="ChapterNumber"/>
    <w:rsid w:val="00C34090"/>
    <w:pPr>
      <w:tabs>
        <w:tab w:val="left" w:pos="-720"/>
      </w:tabs>
      <w:suppressAutoHyphens/>
      <w:spacing w:after="0" w:line="240" w:lineRule="auto"/>
    </w:pPr>
    <w:rPr>
      <w:rFonts w:ascii="CG Times" w:eastAsia="Times New Roman" w:hAnsi="CG 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99640">
      <w:bodyDiv w:val="1"/>
      <w:marLeft w:val="0"/>
      <w:marRight w:val="0"/>
      <w:marTop w:val="0"/>
      <w:marBottom w:val="0"/>
      <w:divBdr>
        <w:top w:val="none" w:sz="0" w:space="0" w:color="auto"/>
        <w:left w:val="none" w:sz="0" w:space="0" w:color="auto"/>
        <w:bottom w:val="none" w:sz="0" w:space="0" w:color="auto"/>
        <w:right w:val="none" w:sz="0" w:space="0" w:color="auto"/>
      </w:divBdr>
    </w:div>
    <w:div w:id="789788990">
      <w:bodyDiv w:val="1"/>
      <w:marLeft w:val="0"/>
      <w:marRight w:val="0"/>
      <w:marTop w:val="0"/>
      <w:marBottom w:val="0"/>
      <w:divBdr>
        <w:top w:val="none" w:sz="0" w:space="0" w:color="auto"/>
        <w:left w:val="none" w:sz="0" w:space="0" w:color="auto"/>
        <w:bottom w:val="none" w:sz="0" w:space="0" w:color="auto"/>
        <w:right w:val="none" w:sz="0" w:space="0" w:color="auto"/>
      </w:divBdr>
    </w:div>
    <w:div w:id="944264433">
      <w:bodyDiv w:val="1"/>
      <w:marLeft w:val="0"/>
      <w:marRight w:val="0"/>
      <w:marTop w:val="0"/>
      <w:marBottom w:val="0"/>
      <w:divBdr>
        <w:top w:val="none" w:sz="0" w:space="0" w:color="auto"/>
        <w:left w:val="none" w:sz="0" w:space="0" w:color="auto"/>
        <w:bottom w:val="none" w:sz="0" w:space="0" w:color="auto"/>
        <w:right w:val="none" w:sz="0" w:space="0" w:color="auto"/>
      </w:divBdr>
    </w:div>
    <w:div w:id="198030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db.org/project-procurement/document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p.isdbi@isdb.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3FFF0-0AA3-4DD7-92C7-0105F5F2C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3</Pages>
  <Words>988</Words>
  <Characters>6260</Characters>
  <Application>Microsoft Office Word</Application>
  <DocSecurity>0</DocSecurity>
  <Lines>103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 Fehmi Eken</dc:creator>
  <cp:lastModifiedBy>Mehmet Fehmi Eken</cp:lastModifiedBy>
  <cp:revision>46</cp:revision>
  <cp:lastPrinted>2019-03-25T05:15:00Z</cp:lastPrinted>
  <dcterms:created xsi:type="dcterms:W3CDTF">2024-05-06T07:53:00Z</dcterms:created>
  <dcterms:modified xsi:type="dcterms:W3CDTF">2026-02-18T12:14:00Z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da54c685becdcd1577d35b3a5156bdcf80e69105a83e7c70a2ffedae2688ea25</vt:lpwstr>
  </property>
  <property fmtid="{D5CDD505-2E9C-101B-9397-08002B2CF9AE}" pid="3" name="ClassificationContentMarkingHeaderShapeIds">
    <vt:lpwstr>3e6fcd50,69190150,7f1ec38a</vt:lpwstr>
  </property>
  <property fmtid="{D5CDD505-2E9C-101B-9397-08002B2CF9AE}" pid="4" name="ClassificationContentMarkingHeaderFontProps">
    <vt:lpwstr>#000000,10,Calibri</vt:lpwstr>
  </property>
  <property fmtid="{D5CDD505-2E9C-101B-9397-08002B2CF9AE}" pid="5" name="ClassificationContentMarkingHeaderText">
    <vt:lpwstr>Protected</vt:lpwstr>
  </property>
  <property fmtid="{D5CDD505-2E9C-101B-9397-08002B2CF9AE}" pid="6" name="MSIP_Label_9ef4adf7-25a7-4f52-a61a-df7190f1d881_Enabled">
    <vt:lpwstr>true</vt:lpwstr>
  </property>
  <property fmtid="{D5CDD505-2E9C-101B-9397-08002B2CF9AE}" pid="7" name="MSIP_Label_9ef4adf7-25a7-4f52-a61a-df7190f1d881_SetDate">
    <vt:lpwstr>2024-10-14T06:56:01Z</vt:lpwstr>
  </property>
  <property fmtid="{D5CDD505-2E9C-101B-9397-08002B2CF9AE}" pid="8" name="MSIP_Label_9ef4adf7-25a7-4f52-a61a-df7190f1d881_Method">
    <vt:lpwstr>Standard</vt:lpwstr>
  </property>
  <property fmtid="{D5CDD505-2E9C-101B-9397-08002B2CF9AE}" pid="9" name="MSIP_Label_9ef4adf7-25a7-4f52-a61a-df7190f1d881_Name">
    <vt:lpwstr>Category C - Protected</vt:lpwstr>
  </property>
  <property fmtid="{D5CDD505-2E9C-101B-9397-08002B2CF9AE}" pid="10" name="MSIP_Label_9ef4adf7-25a7-4f52-a61a-df7190f1d881_SiteId">
    <vt:lpwstr>8fa69c26-409d-43e5-973c-17a8be1a7f35</vt:lpwstr>
  </property>
  <property fmtid="{D5CDD505-2E9C-101B-9397-08002B2CF9AE}" pid="11" name="MSIP_Label_9ef4adf7-25a7-4f52-a61a-df7190f1d881_ActionId">
    <vt:lpwstr>35cf57ad-2a0f-4d0d-8687-d342564d25fa</vt:lpwstr>
  </property>
  <property fmtid="{D5CDD505-2E9C-101B-9397-08002B2CF9AE}" pid="12" name="MSIP_Label_9ef4adf7-25a7-4f52-a61a-df7190f1d881_ContentBits">
    <vt:lpwstr>1</vt:lpwstr>
  </property>
</Properties>
</file>