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F374F" w14:textId="77777777" w:rsidR="005130C3" w:rsidRDefault="005130C3">
      <w:pPr>
        <w:pStyle w:val="Heading1a"/>
        <w:keepNext w:val="0"/>
        <w:keepLines w:val="0"/>
        <w:tabs>
          <w:tab w:val="clear" w:pos="-720"/>
        </w:tabs>
        <w:suppressAutoHyphens w:val="0"/>
        <w:rPr>
          <w:bCs/>
          <w:smallCaps w:val="0"/>
        </w:rPr>
      </w:pPr>
      <w:r>
        <w:rPr>
          <w:bCs/>
          <w:smallCaps w:val="0"/>
        </w:rPr>
        <w:t>GENERAL PROCUREMENT NOTICE</w:t>
      </w:r>
    </w:p>
    <w:p w14:paraId="08B9D640" w14:textId="77777777" w:rsidR="005130C3" w:rsidRDefault="005130C3">
      <w:pPr>
        <w:suppressAutoHyphens/>
        <w:rPr>
          <w:rFonts w:ascii="Times New Roman" w:hAnsi="Times New Roman"/>
          <w:spacing w:val="-2"/>
        </w:rPr>
      </w:pPr>
    </w:p>
    <w:p w14:paraId="5C5D152A" w14:textId="48F80887" w:rsidR="005F40FB" w:rsidRPr="0055476E" w:rsidRDefault="00F50C13" w:rsidP="003818BD">
      <w:pPr>
        <w:suppressAutoHyphens/>
        <w:rPr>
          <w:rFonts w:ascii="Times New Roman" w:hAnsi="Times New Roman"/>
          <w:spacing w:val="-2"/>
          <w:sz w:val="24"/>
          <w:szCs w:val="24"/>
        </w:rPr>
      </w:pPr>
      <w:r w:rsidRPr="0055476E">
        <w:rPr>
          <w:rFonts w:ascii="Times New Roman" w:hAnsi="Times New Roman"/>
          <w:b/>
          <w:bCs/>
          <w:spacing w:val="-2"/>
          <w:sz w:val="24"/>
          <w:szCs w:val="24"/>
        </w:rPr>
        <w:t>Country:</w:t>
      </w:r>
      <w:r w:rsidRPr="0055476E">
        <w:rPr>
          <w:rFonts w:ascii="Times New Roman" w:hAnsi="Times New Roman"/>
          <w:spacing w:val="-2"/>
          <w:sz w:val="24"/>
          <w:szCs w:val="24"/>
        </w:rPr>
        <w:t xml:space="preserve"> </w:t>
      </w:r>
      <w:r w:rsidR="00A11A76">
        <w:rPr>
          <w:rFonts w:ascii="Times New Roman" w:hAnsi="Times New Roman"/>
          <w:spacing w:val="-2"/>
          <w:sz w:val="24"/>
          <w:szCs w:val="24"/>
        </w:rPr>
        <w:t>Oman</w:t>
      </w:r>
    </w:p>
    <w:p w14:paraId="1B29475D" w14:textId="1438EA80" w:rsidR="002378BD" w:rsidRPr="0055476E" w:rsidRDefault="00790458" w:rsidP="002378BD">
      <w:pPr>
        <w:suppressAutoHyphens/>
        <w:rPr>
          <w:rFonts w:ascii="Times New Roman" w:hAnsi="Times New Roman"/>
          <w:spacing w:val="-2"/>
          <w:sz w:val="24"/>
          <w:szCs w:val="24"/>
        </w:rPr>
      </w:pPr>
      <w:r w:rsidRPr="0055476E">
        <w:rPr>
          <w:rFonts w:ascii="Times New Roman" w:hAnsi="Times New Roman"/>
          <w:b/>
          <w:bCs/>
          <w:spacing w:val="-2"/>
          <w:sz w:val="24"/>
          <w:szCs w:val="24"/>
        </w:rPr>
        <w:t>Project Name:</w:t>
      </w:r>
      <w:r w:rsidRPr="0055476E">
        <w:rPr>
          <w:rFonts w:ascii="Times New Roman" w:hAnsi="Times New Roman"/>
          <w:spacing w:val="-2"/>
          <w:sz w:val="24"/>
          <w:szCs w:val="24"/>
        </w:rPr>
        <w:t xml:space="preserve"> </w:t>
      </w:r>
      <w:r w:rsidR="007327C9" w:rsidRPr="007327C9">
        <w:rPr>
          <w:rFonts w:ascii="Times New Roman" w:hAnsi="Times New Roman"/>
          <w:spacing w:val="-2"/>
          <w:sz w:val="24"/>
          <w:szCs w:val="24"/>
        </w:rPr>
        <w:t>Islamic Finance Grant to the Development Bank</w:t>
      </w:r>
      <w:r w:rsidR="00D15A24">
        <w:rPr>
          <w:rFonts w:ascii="Times New Roman" w:hAnsi="Times New Roman"/>
          <w:spacing w:val="-2"/>
          <w:sz w:val="24"/>
          <w:szCs w:val="24"/>
        </w:rPr>
        <w:t xml:space="preserve"> (</w:t>
      </w:r>
      <w:r w:rsidR="00D15A24" w:rsidRPr="007327C9">
        <w:rPr>
          <w:rFonts w:ascii="Times New Roman" w:hAnsi="Times New Roman"/>
          <w:spacing w:val="-2"/>
          <w:sz w:val="24"/>
          <w:szCs w:val="24"/>
        </w:rPr>
        <w:t>Oman</w:t>
      </w:r>
      <w:r w:rsidR="00D15A24">
        <w:rPr>
          <w:rFonts w:ascii="Times New Roman" w:hAnsi="Times New Roman"/>
          <w:spacing w:val="-2"/>
          <w:sz w:val="24"/>
          <w:szCs w:val="24"/>
        </w:rPr>
        <w:t>)</w:t>
      </w:r>
      <w:r w:rsidR="007327C9" w:rsidRPr="007327C9">
        <w:rPr>
          <w:rFonts w:ascii="Times New Roman" w:hAnsi="Times New Roman"/>
          <w:spacing w:val="-2"/>
          <w:sz w:val="24"/>
          <w:szCs w:val="24"/>
        </w:rPr>
        <w:t xml:space="preserve"> to Develop Islamic Finance Operation</w:t>
      </w:r>
    </w:p>
    <w:p w14:paraId="2D288E12" w14:textId="768E0754" w:rsidR="00E531CB" w:rsidRPr="0055476E" w:rsidRDefault="007279C8" w:rsidP="00E531CB">
      <w:pPr>
        <w:suppressAutoHyphens/>
        <w:rPr>
          <w:rFonts w:ascii="Times New Roman" w:hAnsi="Times New Roman"/>
          <w:spacing w:val="-2"/>
          <w:sz w:val="24"/>
          <w:szCs w:val="24"/>
        </w:rPr>
      </w:pPr>
      <w:r w:rsidRPr="0055476E">
        <w:rPr>
          <w:rFonts w:ascii="Times New Roman" w:hAnsi="Times New Roman"/>
          <w:b/>
          <w:bCs/>
          <w:spacing w:val="-2"/>
          <w:sz w:val="24"/>
          <w:szCs w:val="24"/>
        </w:rPr>
        <w:t>Sector:</w:t>
      </w:r>
      <w:r w:rsidRPr="0055476E">
        <w:rPr>
          <w:rFonts w:ascii="Times New Roman" w:hAnsi="Times New Roman"/>
          <w:spacing w:val="-2"/>
          <w:sz w:val="24"/>
          <w:szCs w:val="24"/>
        </w:rPr>
        <w:t xml:space="preserve"> </w:t>
      </w:r>
      <w:r w:rsidR="0055476E" w:rsidRPr="0055476E">
        <w:rPr>
          <w:rFonts w:ascii="Times New Roman" w:hAnsi="Times New Roman"/>
          <w:spacing w:val="-2"/>
          <w:sz w:val="24"/>
          <w:szCs w:val="24"/>
        </w:rPr>
        <w:t xml:space="preserve">Islamic </w:t>
      </w:r>
      <w:r w:rsidR="007327C9">
        <w:rPr>
          <w:rFonts w:ascii="Times New Roman" w:hAnsi="Times New Roman"/>
          <w:spacing w:val="-2"/>
          <w:sz w:val="24"/>
          <w:szCs w:val="24"/>
        </w:rPr>
        <w:t xml:space="preserve">Banking and </w:t>
      </w:r>
      <w:r w:rsidR="0055476E" w:rsidRPr="0055476E">
        <w:rPr>
          <w:rFonts w:ascii="Times New Roman" w:hAnsi="Times New Roman"/>
          <w:spacing w:val="-2"/>
          <w:sz w:val="24"/>
          <w:szCs w:val="24"/>
        </w:rPr>
        <w:t>Finance</w:t>
      </w:r>
      <w:r w:rsidR="00BE58D4">
        <w:rPr>
          <w:rFonts w:ascii="Times New Roman" w:hAnsi="Times New Roman"/>
          <w:spacing w:val="-2"/>
          <w:sz w:val="24"/>
          <w:szCs w:val="24"/>
        </w:rPr>
        <w:t xml:space="preserve"> </w:t>
      </w:r>
    </w:p>
    <w:p w14:paraId="46D44CD7" w14:textId="3562E2E4" w:rsidR="00591E90" w:rsidRPr="0055476E" w:rsidRDefault="00A07D64" w:rsidP="00920788">
      <w:pPr>
        <w:suppressAutoHyphens/>
        <w:rPr>
          <w:rFonts w:ascii="Times New Roman" w:hAnsi="Times New Roman"/>
          <w:sz w:val="24"/>
          <w:szCs w:val="24"/>
        </w:rPr>
      </w:pPr>
      <w:r w:rsidRPr="00BE58D4">
        <w:rPr>
          <w:rFonts w:ascii="Times New Roman" w:hAnsi="Times New Roman"/>
          <w:b/>
          <w:bCs/>
          <w:sz w:val="24"/>
          <w:szCs w:val="24"/>
        </w:rPr>
        <w:t>Mode of Financing:</w:t>
      </w:r>
      <w:r w:rsidRPr="0055476E">
        <w:rPr>
          <w:rFonts w:ascii="Times New Roman" w:hAnsi="Times New Roman"/>
          <w:sz w:val="24"/>
          <w:szCs w:val="24"/>
        </w:rPr>
        <w:t xml:space="preserve"> </w:t>
      </w:r>
      <w:r w:rsidR="00322FC3" w:rsidRPr="0055476E">
        <w:rPr>
          <w:rFonts w:ascii="Times New Roman" w:hAnsi="Times New Roman"/>
          <w:sz w:val="24"/>
          <w:szCs w:val="24"/>
        </w:rPr>
        <w:t>Islamic Finance</w:t>
      </w:r>
      <w:r w:rsidRPr="0055476E">
        <w:rPr>
          <w:rFonts w:ascii="Times New Roman" w:hAnsi="Times New Roman"/>
          <w:sz w:val="24"/>
          <w:szCs w:val="24"/>
        </w:rPr>
        <w:t xml:space="preserve"> Grant </w:t>
      </w:r>
    </w:p>
    <w:p w14:paraId="3AE76D8F" w14:textId="5994DE71" w:rsidR="005F40FB" w:rsidRPr="0055476E" w:rsidRDefault="005F40FB" w:rsidP="003818BD">
      <w:pPr>
        <w:pStyle w:val="BodyText"/>
        <w:rPr>
          <w:rFonts w:ascii="Times New Roman" w:hAnsi="Times New Roman"/>
          <w:szCs w:val="24"/>
        </w:rPr>
      </w:pPr>
      <w:r w:rsidRPr="00EB4709">
        <w:rPr>
          <w:rFonts w:ascii="Times New Roman" w:hAnsi="Times New Roman"/>
          <w:b/>
          <w:bCs/>
          <w:szCs w:val="24"/>
        </w:rPr>
        <w:t>Financing No</w:t>
      </w:r>
      <w:r w:rsidR="00EB4709">
        <w:rPr>
          <w:rFonts w:ascii="Times New Roman" w:hAnsi="Times New Roman"/>
          <w:b/>
          <w:bCs/>
          <w:szCs w:val="24"/>
        </w:rPr>
        <w:t>:</w:t>
      </w:r>
      <w:r w:rsidR="00EB4709">
        <w:rPr>
          <w:rFonts w:ascii="Times New Roman" w:hAnsi="Times New Roman"/>
          <w:szCs w:val="24"/>
        </w:rPr>
        <w:t xml:space="preserve"> </w:t>
      </w:r>
      <w:r w:rsidR="007327C9">
        <w:rPr>
          <w:rFonts w:ascii="Times New Roman" w:hAnsi="Times New Roman"/>
          <w:szCs w:val="24"/>
        </w:rPr>
        <w:t>OMN1032</w:t>
      </w:r>
    </w:p>
    <w:p w14:paraId="5B62EC40" w14:textId="77777777" w:rsidR="005130C3" w:rsidRPr="00B96F14" w:rsidRDefault="005130C3">
      <w:pPr>
        <w:pStyle w:val="ChapterNumber"/>
        <w:tabs>
          <w:tab w:val="clear" w:pos="-720"/>
        </w:tabs>
        <w:rPr>
          <w:rFonts w:ascii="Times New Roman" w:hAnsi="Times New Roman"/>
          <w:spacing w:val="-2"/>
        </w:rPr>
      </w:pPr>
    </w:p>
    <w:p w14:paraId="7D0E4344" w14:textId="2BCFC8CE" w:rsidR="005130C3" w:rsidRPr="00DE017B" w:rsidRDefault="005130C3" w:rsidP="00E531CB">
      <w:pPr>
        <w:suppressAutoHyphens/>
        <w:jc w:val="both"/>
        <w:rPr>
          <w:rFonts w:ascii="Times New Roman" w:hAnsi="Times New Roman"/>
          <w:i/>
          <w:iCs/>
          <w:spacing w:val="-2"/>
          <w:sz w:val="24"/>
          <w:szCs w:val="24"/>
        </w:rPr>
      </w:pPr>
      <w:r w:rsidRPr="7257D6DB">
        <w:rPr>
          <w:rFonts w:ascii="Times New Roman" w:hAnsi="Times New Roman"/>
          <w:spacing w:val="-2"/>
          <w:sz w:val="24"/>
          <w:szCs w:val="24"/>
        </w:rPr>
        <w:t xml:space="preserve">The </w:t>
      </w:r>
      <w:r w:rsidR="001D5A25" w:rsidRPr="7257D6DB">
        <w:rPr>
          <w:rFonts w:ascii="Times New Roman" w:hAnsi="Times New Roman"/>
          <w:i/>
          <w:iCs/>
          <w:spacing w:val="-2"/>
          <w:sz w:val="24"/>
          <w:szCs w:val="24"/>
        </w:rPr>
        <w:t xml:space="preserve">Islamic Development Bank Institute </w:t>
      </w:r>
      <w:r w:rsidR="001D5A25" w:rsidRPr="7257D6DB">
        <w:rPr>
          <w:rFonts w:ascii="Times New Roman" w:hAnsi="Times New Roman"/>
          <w:spacing w:val="-2"/>
          <w:sz w:val="24"/>
          <w:szCs w:val="24"/>
        </w:rPr>
        <w:t xml:space="preserve">has approved grant </w:t>
      </w:r>
      <w:r w:rsidR="00216103" w:rsidRPr="00216103">
        <w:rPr>
          <w:rFonts w:ascii="Times New Roman" w:hAnsi="Times New Roman"/>
          <w:spacing w:val="-2"/>
          <w:sz w:val="24"/>
          <w:szCs w:val="24"/>
        </w:rPr>
        <w:t xml:space="preserve">ID </w:t>
      </w:r>
      <w:r w:rsidR="00103958">
        <w:rPr>
          <w:rFonts w:ascii="Times New Roman" w:hAnsi="Times New Roman"/>
          <w:spacing w:val="-2"/>
          <w:sz w:val="24"/>
          <w:szCs w:val="24"/>
        </w:rPr>
        <w:t xml:space="preserve">183,824 </w:t>
      </w:r>
      <w:r w:rsidR="00216103" w:rsidRPr="00216103">
        <w:rPr>
          <w:rFonts w:ascii="Times New Roman" w:hAnsi="Times New Roman"/>
          <w:spacing w:val="-2"/>
          <w:sz w:val="24"/>
          <w:szCs w:val="24"/>
        </w:rPr>
        <w:t xml:space="preserve">(Islamic Dinar One Hundred and </w:t>
      </w:r>
      <w:r w:rsidR="00103958">
        <w:rPr>
          <w:rFonts w:ascii="Times New Roman" w:hAnsi="Times New Roman"/>
          <w:spacing w:val="-2"/>
          <w:sz w:val="24"/>
          <w:szCs w:val="24"/>
        </w:rPr>
        <w:t xml:space="preserve">Eighty-Three </w:t>
      </w:r>
      <w:r w:rsidR="00216103" w:rsidRPr="00216103">
        <w:rPr>
          <w:rFonts w:ascii="Times New Roman" w:hAnsi="Times New Roman"/>
          <w:spacing w:val="-2"/>
          <w:sz w:val="24"/>
          <w:szCs w:val="24"/>
        </w:rPr>
        <w:t xml:space="preserve">Thousand </w:t>
      </w:r>
      <w:r w:rsidR="00103958">
        <w:rPr>
          <w:rFonts w:ascii="Times New Roman" w:hAnsi="Times New Roman"/>
          <w:spacing w:val="-2"/>
          <w:sz w:val="24"/>
          <w:szCs w:val="24"/>
        </w:rPr>
        <w:t xml:space="preserve">Eight </w:t>
      </w:r>
      <w:r w:rsidR="00216103" w:rsidRPr="00216103">
        <w:rPr>
          <w:rFonts w:ascii="Times New Roman" w:hAnsi="Times New Roman"/>
          <w:spacing w:val="-2"/>
          <w:sz w:val="24"/>
          <w:szCs w:val="24"/>
        </w:rPr>
        <w:t xml:space="preserve">Hundred and </w:t>
      </w:r>
      <w:r w:rsidR="00103958">
        <w:rPr>
          <w:rFonts w:ascii="Times New Roman" w:hAnsi="Times New Roman"/>
          <w:spacing w:val="-2"/>
          <w:sz w:val="24"/>
          <w:szCs w:val="24"/>
        </w:rPr>
        <w:t>Twenty</w:t>
      </w:r>
      <w:r w:rsidR="00E531CB">
        <w:rPr>
          <w:rFonts w:ascii="Times New Roman" w:hAnsi="Times New Roman"/>
          <w:spacing w:val="-2"/>
          <w:sz w:val="24"/>
          <w:szCs w:val="24"/>
        </w:rPr>
        <w:t>-Four</w:t>
      </w:r>
      <w:r w:rsidR="00216103" w:rsidRPr="00216103">
        <w:rPr>
          <w:rFonts w:ascii="Times New Roman" w:hAnsi="Times New Roman"/>
          <w:spacing w:val="-2"/>
          <w:sz w:val="24"/>
          <w:szCs w:val="24"/>
        </w:rPr>
        <w:t xml:space="preserve">), approximately USD </w:t>
      </w:r>
      <w:r w:rsidR="00E531CB" w:rsidRPr="00E531CB">
        <w:rPr>
          <w:rFonts w:ascii="Times New Roman" w:hAnsi="Times New Roman"/>
          <w:spacing w:val="-2"/>
          <w:sz w:val="24"/>
          <w:szCs w:val="24"/>
        </w:rPr>
        <w:t>2</w:t>
      </w:r>
      <w:r w:rsidR="00103958">
        <w:rPr>
          <w:rFonts w:ascii="Times New Roman" w:hAnsi="Times New Roman"/>
          <w:spacing w:val="-2"/>
          <w:sz w:val="24"/>
          <w:szCs w:val="24"/>
        </w:rPr>
        <w:t>5</w:t>
      </w:r>
      <w:r w:rsidR="00E531CB" w:rsidRPr="00E531CB">
        <w:rPr>
          <w:rFonts w:ascii="Times New Roman" w:hAnsi="Times New Roman"/>
          <w:spacing w:val="-2"/>
          <w:sz w:val="24"/>
          <w:szCs w:val="24"/>
        </w:rPr>
        <w:t xml:space="preserve">0,000 </w:t>
      </w:r>
      <w:r w:rsidR="00216103" w:rsidRPr="00216103">
        <w:rPr>
          <w:rFonts w:ascii="Times New Roman" w:hAnsi="Times New Roman"/>
          <w:spacing w:val="-2"/>
          <w:sz w:val="24"/>
          <w:szCs w:val="24"/>
        </w:rPr>
        <w:t xml:space="preserve">(United States Dollar Two Hundred </w:t>
      </w:r>
      <w:r w:rsidR="00103958">
        <w:rPr>
          <w:rFonts w:ascii="Times New Roman" w:hAnsi="Times New Roman"/>
          <w:spacing w:val="-2"/>
          <w:sz w:val="24"/>
          <w:szCs w:val="24"/>
        </w:rPr>
        <w:t xml:space="preserve">Fifty </w:t>
      </w:r>
      <w:r w:rsidR="00216103" w:rsidRPr="00216103">
        <w:rPr>
          <w:rFonts w:ascii="Times New Roman" w:hAnsi="Times New Roman"/>
          <w:spacing w:val="-2"/>
          <w:sz w:val="24"/>
          <w:szCs w:val="24"/>
        </w:rPr>
        <w:t xml:space="preserve">Thousand equivalent) </w:t>
      </w:r>
      <w:r w:rsidR="001D5A25" w:rsidRPr="7257D6DB">
        <w:rPr>
          <w:rFonts w:ascii="Times New Roman" w:hAnsi="Times New Roman"/>
          <w:spacing w:val="-2"/>
          <w:sz w:val="24"/>
          <w:szCs w:val="24"/>
        </w:rPr>
        <w:t>financing</w:t>
      </w:r>
      <w:r w:rsidRPr="7257D6DB">
        <w:rPr>
          <w:rFonts w:ascii="Times New Roman" w:hAnsi="Times New Roman"/>
          <w:spacing w:val="-2"/>
          <w:sz w:val="24"/>
          <w:szCs w:val="24"/>
        </w:rPr>
        <w:t xml:space="preserve"> </w:t>
      </w:r>
      <w:r w:rsidR="00D15A24">
        <w:rPr>
          <w:rFonts w:ascii="Times New Roman" w:hAnsi="Times New Roman"/>
          <w:spacing w:val="-2"/>
          <w:sz w:val="24"/>
          <w:szCs w:val="24"/>
        </w:rPr>
        <w:t xml:space="preserve">for Development Bank (Oman) </w:t>
      </w:r>
      <w:r w:rsidR="00B31590" w:rsidRPr="00B31590">
        <w:rPr>
          <w:rFonts w:ascii="Times New Roman" w:hAnsi="Times New Roman"/>
          <w:spacing w:val="-2"/>
          <w:sz w:val="24"/>
          <w:szCs w:val="24"/>
        </w:rPr>
        <w:t>to integrate a sustainable Islamic finance division aimed at boosting the country's socioeconomic development. The initiative focuses on strategic capacity building for management and staff, the development of robust regulatory and operational frameworks, and the creation of comprehensive policies and roadmaps to ensure the effective delivery of Shariah-compliant products</w:t>
      </w:r>
      <w:r w:rsidR="00B37961">
        <w:rPr>
          <w:rFonts w:ascii="Times New Roman" w:hAnsi="Times New Roman"/>
          <w:spacing w:val="-2"/>
          <w:sz w:val="24"/>
          <w:szCs w:val="24"/>
        </w:rPr>
        <w:t>.</w:t>
      </w:r>
      <w:r w:rsidRPr="7257D6DB">
        <w:rPr>
          <w:rFonts w:ascii="Times New Roman" w:hAnsi="Times New Roman"/>
          <w:spacing w:val="-2"/>
          <w:sz w:val="24"/>
          <w:szCs w:val="24"/>
        </w:rPr>
        <w:t xml:space="preserve"> </w:t>
      </w:r>
    </w:p>
    <w:p w14:paraId="273776C0" w14:textId="77777777" w:rsidR="005130C3" w:rsidRPr="00B96F14" w:rsidRDefault="005130C3" w:rsidP="0065085F">
      <w:pPr>
        <w:suppressAutoHyphens/>
        <w:jc w:val="both"/>
        <w:rPr>
          <w:rFonts w:ascii="Times New Roman" w:hAnsi="Times New Roman"/>
          <w:spacing w:val="-2"/>
          <w:sz w:val="24"/>
        </w:rPr>
      </w:pPr>
    </w:p>
    <w:p w14:paraId="15D35EB9" w14:textId="62929C10" w:rsidR="005130C3" w:rsidRDefault="005130C3" w:rsidP="00E315D8">
      <w:pPr>
        <w:suppressAutoHyphens/>
        <w:spacing w:before="120" w:after="120"/>
        <w:jc w:val="both"/>
        <w:rPr>
          <w:rFonts w:ascii="Times New Roman" w:hAnsi="Times New Roman"/>
          <w:spacing w:val="-2"/>
          <w:sz w:val="24"/>
        </w:rPr>
      </w:pPr>
      <w:r w:rsidRPr="00B96F14">
        <w:rPr>
          <w:rFonts w:ascii="Times New Roman" w:hAnsi="Times New Roman"/>
          <w:spacing w:val="-2"/>
          <w:sz w:val="24"/>
        </w:rPr>
        <w:t xml:space="preserve">The </w:t>
      </w:r>
      <w:r w:rsidR="00F0555B">
        <w:rPr>
          <w:rFonts w:ascii="Times New Roman" w:hAnsi="Times New Roman"/>
          <w:spacing w:val="-2"/>
          <w:sz w:val="24"/>
        </w:rPr>
        <w:t xml:space="preserve">project has </w:t>
      </w:r>
      <w:r w:rsidRPr="00B96F14">
        <w:rPr>
          <w:rFonts w:ascii="Times New Roman" w:hAnsi="Times New Roman"/>
          <w:spacing w:val="-2"/>
          <w:sz w:val="24"/>
        </w:rPr>
        <w:t>the following</w:t>
      </w:r>
      <w:r w:rsidR="001D5A25">
        <w:rPr>
          <w:rFonts w:ascii="Times New Roman" w:hAnsi="Times New Roman"/>
          <w:spacing w:val="-2"/>
          <w:sz w:val="24"/>
        </w:rPr>
        <w:t xml:space="preserve"> </w:t>
      </w:r>
      <w:r w:rsidR="00D52227">
        <w:rPr>
          <w:rFonts w:ascii="Times New Roman" w:hAnsi="Times New Roman"/>
          <w:spacing w:val="-2"/>
          <w:sz w:val="24"/>
        </w:rPr>
        <w:t>deliverables</w:t>
      </w:r>
      <w:r w:rsidR="001D5A25">
        <w:rPr>
          <w:rFonts w:ascii="Times New Roman" w:hAnsi="Times New Roman"/>
          <w:spacing w:val="-2"/>
          <w:sz w:val="24"/>
        </w:rPr>
        <w:t>:</w:t>
      </w:r>
      <w:r w:rsidRPr="00B96F14">
        <w:rPr>
          <w:rFonts w:ascii="Times New Roman" w:hAnsi="Times New Roman"/>
          <w:spacing w:val="-2"/>
          <w:sz w:val="24"/>
        </w:rPr>
        <w:t xml:space="preserve"> </w:t>
      </w:r>
    </w:p>
    <w:p w14:paraId="21859F81" w14:textId="4F3DD37F" w:rsidR="00E531CB" w:rsidRPr="003B7563" w:rsidRDefault="003B7563" w:rsidP="00E315D8">
      <w:pPr>
        <w:pStyle w:val="ListParagraph"/>
        <w:numPr>
          <w:ilvl w:val="0"/>
          <w:numId w:val="12"/>
        </w:numPr>
        <w:spacing w:before="240"/>
        <w:contextualSpacing w:val="0"/>
        <w:jc w:val="both"/>
        <w:rPr>
          <w:rFonts w:asciiTheme="majorBidi" w:hAnsiTheme="majorBidi" w:cstheme="majorBidi"/>
          <w:b/>
          <w:bCs/>
          <w:sz w:val="24"/>
          <w:szCs w:val="24"/>
        </w:rPr>
      </w:pPr>
      <w:r w:rsidRPr="003B7563">
        <w:rPr>
          <w:rFonts w:asciiTheme="majorBidi" w:hAnsiTheme="majorBidi" w:cstheme="majorBidi"/>
          <w:b/>
          <w:bCs/>
          <w:sz w:val="24"/>
          <w:szCs w:val="24"/>
        </w:rPr>
        <w:t>Feasibility study covering three strategic options which are:</w:t>
      </w:r>
    </w:p>
    <w:p w14:paraId="054E5F20" w14:textId="77777777" w:rsidR="003B7563" w:rsidRPr="003B7563" w:rsidRDefault="003B7563" w:rsidP="00E315D8">
      <w:pPr>
        <w:pStyle w:val="ListParagraph"/>
        <w:numPr>
          <w:ilvl w:val="0"/>
          <w:numId w:val="11"/>
        </w:numPr>
        <w:spacing w:before="120"/>
        <w:ind w:left="450" w:hanging="270"/>
        <w:contextualSpacing w:val="0"/>
        <w:jc w:val="both"/>
        <w:rPr>
          <w:rFonts w:asciiTheme="majorBidi" w:hAnsiTheme="majorBidi" w:cstheme="majorBidi"/>
          <w:sz w:val="24"/>
          <w:szCs w:val="24"/>
        </w:rPr>
      </w:pPr>
      <w:r w:rsidRPr="003B7563">
        <w:rPr>
          <w:rFonts w:asciiTheme="majorBidi" w:hAnsiTheme="majorBidi" w:cstheme="majorBidi"/>
          <w:sz w:val="24"/>
          <w:szCs w:val="24"/>
        </w:rPr>
        <w:t>A Full Conversion into a Fully-Fledged Islamic Bank</w:t>
      </w:r>
    </w:p>
    <w:p w14:paraId="2AA3F9A3" w14:textId="1A305E72" w:rsidR="003B7563" w:rsidRPr="003B7563" w:rsidRDefault="003B7563" w:rsidP="00E315D8">
      <w:pPr>
        <w:pStyle w:val="ListParagraph"/>
        <w:numPr>
          <w:ilvl w:val="0"/>
          <w:numId w:val="11"/>
        </w:numPr>
        <w:spacing w:before="120"/>
        <w:ind w:left="450" w:hanging="270"/>
        <w:contextualSpacing w:val="0"/>
        <w:jc w:val="both"/>
        <w:rPr>
          <w:rFonts w:asciiTheme="majorBidi" w:hAnsiTheme="majorBidi" w:cstheme="majorBidi"/>
          <w:sz w:val="24"/>
          <w:szCs w:val="24"/>
        </w:rPr>
      </w:pPr>
      <w:r w:rsidRPr="003B7563">
        <w:rPr>
          <w:rFonts w:asciiTheme="majorBidi" w:hAnsiTheme="majorBidi" w:cstheme="majorBidi"/>
          <w:sz w:val="24"/>
          <w:szCs w:val="24"/>
        </w:rPr>
        <w:t>Establishing an Islamic subsidiary Banking/ Window within the Development Bank</w:t>
      </w:r>
    </w:p>
    <w:p w14:paraId="2E704AA9" w14:textId="13F0B2F8" w:rsidR="005E3E0B" w:rsidRDefault="003B7563" w:rsidP="00E315D8">
      <w:pPr>
        <w:pStyle w:val="ListParagraph"/>
        <w:numPr>
          <w:ilvl w:val="0"/>
          <w:numId w:val="11"/>
        </w:numPr>
        <w:spacing w:before="120"/>
        <w:ind w:left="450" w:hanging="270"/>
        <w:contextualSpacing w:val="0"/>
        <w:jc w:val="both"/>
        <w:rPr>
          <w:rFonts w:asciiTheme="majorBidi" w:hAnsiTheme="majorBidi" w:cstheme="majorBidi"/>
          <w:sz w:val="24"/>
          <w:szCs w:val="24"/>
        </w:rPr>
      </w:pPr>
      <w:r w:rsidRPr="003B7563">
        <w:rPr>
          <w:rFonts w:asciiTheme="majorBidi" w:hAnsiTheme="majorBidi" w:cstheme="majorBidi"/>
          <w:sz w:val="24"/>
          <w:szCs w:val="24"/>
        </w:rPr>
        <w:t>Partnering with a Third-Party Provider to Offer Islamic Financial Products</w:t>
      </w:r>
    </w:p>
    <w:p w14:paraId="0016DEBF" w14:textId="77777777" w:rsidR="00E315D8" w:rsidRPr="00E315D8" w:rsidRDefault="00E315D8" w:rsidP="00E315D8">
      <w:pPr>
        <w:pStyle w:val="ListParagraph"/>
        <w:numPr>
          <w:ilvl w:val="0"/>
          <w:numId w:val="12"/>
        </w:numPr>
        <w:spacing w:before="240"/>
        <w:contextualSpacing w:val="0"/>
        <w:jc w:val="both"/>
        <w:rPr>
          <w:rFonts w:asciiTheme="majorBidi" w:hAnsiTheme="majorBidi" w:cstheme="majorBidi"/>
          <w:b/>
          <w:bCs/>
          <w:sz w:val="24"/>
          <w:szCs w:val="24"/>
        </w:rPr>
      </w:pPr>
      <w:r w:rsidRPr="00E315D8">
        <w:rPr>
          <w:rFonts w:asciiTheme="majorBidi" w:hAnsiTheme="majorBidi" w:cstheme="majorBidi"/>
          <w:b/>
          <w:bCs/>
          <w:sz w:val="24"/>
          <w:szCs w:val="24"/>
        </w:rPr>
        <w:t xml:space="preserve">Training and capacity building </w:t>
      </w:r>
    </w:p>
    <w:p w14:paraId="22AC73EB" w14:textId="13F9669A" w:rsidR="00E531CB" w:rsidRPr="00E531CB" w:rsidRDefault="00F81A3C" w:rsidP="00F81A3C">
      <w:pPr>
        <w:pStyle w:val="ListParagraph"/>
        <w:numPr>
          <w:ilvl w:val="0"/>
          <w:numId w:val="11"/>
        </w:numPr>
        <w:spacing w:before="120"/>
        <w:ind w:left="450" w:hanging="270"/>
        <w:contextualSpacing w:val="0"/>
        <w:jc w:val="both"/>
        <w:rPr>
          <w:rFonts w:asciiTheme="majorBidi" w:hAnsiTheme="majorBidi" w:cstheme="majorBidi"/>
          <w:sz w:val="24"/>
          <w:szCs w:val="24"/>
        </w:rPr>
      </w:pPr>
      <w:r w:rsidRPr="00F81A3C">
        <w:rPr>
          <w:rFonts w:asciiTheme="majorBidi" w:hAnsiTheme="majorBidi" w:cstheme="majorBidi"/>
          <w:sz w:val="24"/>
          <w:szCs w:val="24"/>
        </w:rPr>
        <w:t>Develop and provide 4 Capacity Development workshops for Islamic banking knowledge, covering product delivery, customer engagement, and regulatory compliance.</w:t>
      </w:r>
    </w:p>
    <w:p w14:paraId="050AFBF4" w14:textId="54096CE0" w:rsidR="005130C3" w:rsidRPr="00B96F14" w:rsidRDefault="003B360E" w:rsidP="0065085F">
      <w:pPr>
        <w:suppressAutoHyphens/>
        <w:jc w:val="both"/>
        <w:rPr>
          <w:rFonts w:ascii="Times New Roman" w:hAnsi="Times New Roman"/>
          <w:iCs/>
          <w:spacing w:val="-2"/>
          <w:sz w:val="24"/>
        </w:rPr>
      </w:pPr>
      <w:r w:rsidRPr="003B360E">
        <w:rPr>
          <w:rFonts w:ascii="Times New Roman" w:hAnsi="Times New Roman"/>
          <w:spacing w:val="-2"/>
          <w:sz w:val="24"/>
        </w:rPr>
        <w:t xml:space="preserve">Procurement of contracts financed by the Islamic Development Bank will be conducted through the procedures specified under the Guidelines for the Procurement of Consultant Services under Islamic Development Bank Project Financing (April 2019, </w:t>
      </w:r>
      <w:r w:rsidR="005E3E0B" w:rsidRPr="003B360E">
        <w:rPr>
          <w:rFonts w:ascii="Times New Roman" w:hAnsi="Times New Roman"/>
          <w:spacing w:val="-2"/>
          <w:sz w:val="24"/>
        </w:rPr>
        <w:t>revised</w:t>
      </w:r>
      <w:r w:rsidRPr="003B360E">
        <w:rPr>
          <w:rFonts w:ascii="Times New Roman" w:hAnsi="Times New Roman"/>
          <w:spacing w:val="-2"/>
          <w:sz w:val="24"/>
        </w:rPr>
        <w:t xml:space="preserve"> in February 2023) and is open to all eligible bidders as defined in the guidelines.</w:t>
      </w:r>
      <w:r w:rsidR="00DF62EB" w:rsidRPr="00B96F14">
        <w:rPr>
          <w:rFonts w:ascii="Times New Roman" w:hAnsi="Times New Roman"/>
          <w:spacing w:val="-2"/>
          <w:sz w:val="24"/>
        </w:rPr>
        <w:t xml:space="preserve"> </w:t>
      </w:r>
    </w:p>
    <w:p w14:paraId="2D9B0BC7" w14:textId="264ADF7D" w:rsidR="00E574FD" w:rsidRPr="00F81A3C" w:rsidRDefault="005D5F34" w:rsidP="00DB5377">
      <w:pPr>
        <w:spacing w:before="400" w:after="200"/>
        <w:ind w:right="200"/>
        <w:jc w:val="both"/>
        <w:rPr>
          <w:rFonts w:ascii="Times New Roman" w:hAnsi="Times New Roman"/>
          <w:spacing w:val="-2"/>
          <w:sz w:val="24"/>
          <w:u w:val="single"/>
        </w:rPr>
      </w:pPr>
      <w:r w:rsidRPr="00F81A3C">
        <w:rPr>
          <w:rFonts w:ascii="Times New Roman" w:hAnsi="Times New Roman"/>
          <w:spacing w:val="-2"/>
          <w:sz w:val="24"/>
          <w:u w:val="single"/>
        </w:rPr>
        <w:t xml:space="preserve">Requests for Expression of Interest for contracts for consultancy services will be announced as they become available on </w:t>
      </w:r>
      <w:r w:rsidR="003A3B2B" w:rsidRPr="00F81A3C">
        <w:rPr>
          <w:rFonts w:ascii="Times New Roman" w:hAnsi="Times New Roman"/>
          <w:spacing w:val="-2"/>
          <w:sz w:val="24"/>
          <w:u w:val="single"/>
        </w:rPr>
        <w:t xml:space="preserve">the </w:t>
      </w:r>
      <w:r w:rsidRPr="00F81A3C">
        <w:rPr>
          <w:rFonts w:ascii="Times New Roman" w:hAnsi="Times New Roman"/>
          <w:spacing w:val="-2"/>
          <w:sz w:val="24"/>
          <w:u w:val="single"/>
        </w:rPr>
        <w:t xml:space="preserve">IsDB Website and DG Market. </w:t>
      </w:r>
    </w:p>
    <w:p w14:paraId="1550C77A" w14:textId="6F8A7442" w:rsidR="00DB5377" w:rsidRDefault="00DB5377" w:rsidP="00F81A3C">
      <w:pPr>
        <w:spacing w:before="360" w:after="200"/>
        <w:ind w:right="202"/>
        <w:jc w:val="both"/>
        <w:rPr>
          <w:rFonts w:ascii="Times New Roman" w:hAnsi="Times New Roman"/>
          <w:spacing w:val="-2"/>
          <w:sz w:val="24"/>
        </w:rPr>
      </w:pPr>
      <w:r w:rsidRPr="00B96F14">
        <w:rPr>
          <w:rFonts w:ascii="Times New Roman" w:hAnsi="Times New Roman"/>
          <w:spacing w:val="-2"/>
          <w:sz w:val="24"/>
        </w:rPr>
        <w:t xml:space="preserve">Interested eligible firms and individuals </w:t>
      </w:r>
      <w:proofErr w:type="gramStart"/>
      <w:r w:rsidRPr="00B96F14">
        <w:rPr>
          <w:rFonts w:ascii="Times New Roman" w:hAnsi="Times New Roman"/>
          <w:spacing w:val="-2"/>
          <w:sz w:val="24"/>
        </w:rPr>
        <w:t>who would</w:t>
      </w:r>
      <w:proofErr w:type="gramEnd"/>
      <w:r w:rsidRPr="00B96F14">
        <w:rPr>
          <w:rFonts w:ascii="Times New Roman" w:hAnsi="Times New Roman"/>
          <w:spacing w:val="-2"/>
          <w:sz w:val="24"/>
        </w:rPr>
        <w:t xml:space="preserve"> wish to be considered for the provision of consulting services for the </w:t>
      </w:r>
      <w:r w:rsidR="001D5A25" w:rsidRPr="00B96F14">
        <w:rPr>
          <w:rFonts w:ascii="Times New Roman" w:hAnsi="Times New Roman"/>
          <w:spacing w:val="-2"/>
          <w:sz w:val="24"/>
        </w:rPr>
        <w:t>above-mentioned</w:t>
      </w:r>
      <w:r w:rsidRPr="00B96F14">
        <w:rPr>
          <w:rFonts w:ascii="Times New Roman" w:hAnsi="Times New Roman"/>
          <w:spacing w:val="-2"/>
          <w:sz w:val="24"/>
        </w:rPr>
        <w:t xml:space="preserve"> project, or those requiring additional information, should contact the Beneficiary at the address below:</w:t>
      </w:r>
    </w:p>
    <w:p w14:paraId="485012BE" w14:textId="6994779E" w:rsidR="00313A6E" w:rsidRPr="00313A6E" w:rsidRDefault="00313A6E" w:rsidP="00F81A3C">
      <w:pPr>
        <w:spacing w:before="240" w:after="120"/>
        <w:ind w:right="202"/>
        <w:jc w:val="both"/>
        <w:rPr>
          <w:rFonts w:ascii="Times New Roman" w:hAnsi="Times New Roman"/>
          <w:spacing w:val="-2"/>
          <w:sz w:val="24"/>
        </w:rPr>
      </w:pPr>
      <w:r w:rsidRPr="00313A6E">
        <w:rPr>
          <w:rFonts w:ascii="Times New Roman" w:hAnsi="Times New Roman"/>
          <w:spacing w:val="-2"/>
          <w:sz w:val="24"/>
        </w:rPr>
        <w:t>THE ISLAMIC DEVELOPMENT BANK INSTITUTE</w:t>
      </w:r>
      <w:r w:rsidR="00F81A3C">
        <w:rPr>
          <w:rFonts w:ascii="Times New Roman" w:hAnsi="Times New Roman"/>
          <w:spacing w:val="-2"/>
          <w:sz w:val="24"/>
        </w:rPr>
        <w:t xml:space="preserve"> </w:t>
      </w:r>
    </w:p>
    <w:p w14:paraId="42EBD79E" w14:textId="0B8ACD19" w:rsidR="00313A6E" w:rsidRPr="00313A6E" w:rsidRDefault="00313A6E" w:rsidP="00F81A3C">
      <w:pPr>
        <w:suppressAutoHyphens/>
        <w:spacing w:before="120" w:after="120"/>
        <w:jc w:val="both"/>
        <w:rPr>
          <w:rFonts w:asciiTheme="majorBidi" w:eastAsia="Calibri" w:hAnsiTheme="majorBidi" w:cstheme="majorBidi"/>
          <w:spacing w:val="-2"/>
          <w:sz w:val="24"/>
          <w:szCs w:val="22"/>
        </w:rPr>
      </w:pPr>
      <w:r w:rsidRPr="00F81A3C">
        <w:rPr>
          <w:rFonts w:asciiTheme="majorBidi" w:eastAsia="Calibri" w:hAnsiTheme="majorBidi" w:cstheme="majorBidi"/>
          <w:b/>
          <w:bCs/>
          <w:spacing w:val="-2"/>
          <w:sz w:val="24"/>
          <w:szCs w:val="22"/>
        </w:rPr>
        <w:t>Attention:</w:t>
      </w:r>
      <w:r w:rsidRPr="00313A6E">
        <w:rPr>
          <w:rFonts w:asciiTheme="majorBidi" w:eastAsia="Calibri" w:hAnsiTheme="majorBidi" w:cstheme="majorBidi"/>
          <w:spacing w:val="-2"/>
          <w:sz w:val="24"/>
          <w:szCs w:val="22"/>
        </w:rPr>
        <w:t xml:space="preserve">       The Islamic Development Bank Institute</w:t>
      </w:r>
    </w:p>
    <w:p w14:paraId="5D9859E6" w14:textId="38DA0824" w:rsidR="00EF369A" w:rsidRPr="00A37740" w:rsidRDefault="00313A6E" w:rsidP="00F81A3C">
      <w:pPr>
        <w:spacing w:before="120" w:after="120"/>
        <w:ind w:right="202"/>
        <w:jc w:val="both"/>
        <w:rPr>
          <w:rFonts w:ascii="Times New Roman" w:hAnsi="Times New Roman"/>
          <w:spacing w:val="-2"/>
          <w:sz w:val="24"/>
        </w:rPr>
      </w:pPr>
      <w:r w:rsidRPr="00F81A3C">
        <w:rPr>
          <w:rFonts w:asciiTheme="majorBidi" w:eastAsia="Calibri" w:hAnsiTheme="majorBidi" w:cstheme="majorBidi"/>
          <w:b/>
          <w:bCs/>
          <w:spacing w:val="-2"/>
          <w:sz w:val="24"/>
          <w:szCs w:val="22"/>
        </w:rPr>
        <w:t>Email:</w:t>
      </w:r>
      <w:r w:rsidRPr="00313A6E">
        <w:rPr>
          <w:rFonts w:asciiTheme="majorBidi" w:eastAsia="Calibri" w:hAnsiTheme="majorBidi" w:cstheme="majorBidi"/>
          <w:spacing w:val="-2"/>
          <w:sz w:val="24"/>
          <w:szCs w:val="22"/>
        </w:rPr>
        <w:tab/>
      </w:r>
      <w:r w:rsidRPr="00313A6E">
        <w:rPr>
          <w:rFonts w:asciiTheme="majorBidi" w:eastAsia="Calibri" w:hAnsiTheme="majorBidi" w:cstheme="majorBidi"/>
          <w:spacing w:val="-2"/>
          <w:sz w:val="24"/>
          <w:szCs w:val="22"/>
        </w:rPr>
        <w:tab/>
      </w:r>
      <w:hyperlink r:id="rId8" w:history="1">
        <w:r w:rsidR="00685429" w:rsidRPr="003A27DE">
          <w:rPr>
            <w:rStyle w:val="Hyperlink"/>
            <w:rFonts w:ascii="Times New Roman" w:hAnsi="Times New Roman"/>
            <w:spacing w:val="-2"/>
            <w:sz w:val="24"/>
          </w:rPr>
          <w:t>cp.isdbi@isdb.org</w:t>
        </w:r>
      </w:hyperlink>
      <w:r w:rsidR="00685429">
        <w:rPr>
          <w:rFonts w:ascii="Times New Roman" w:hAnsi="Times New Roman"/>
          <w:spacing w:val="-2"/>
          <w:sz w:val="24"/>
        </w:rPr>
        <w:t xml:space="preserve"> </w:t>
      </w:r>
    </w:p>
    <w:sectPr w:rsidR="00EF369A" w:rsidRPr="00A37740" w:rsidSect="000672E7">
      <w:headerReference w:type="even" r:id="rId9"/>
      <w:endnotePr>
        <w:numFmt w:val="decimal"/>
      </w:endnotePr>
      <w:pgSz w:w="11907" w:h="16839" w:code="9"/>
      <w:pgMar w:top="1104" w:right="1467" w:bottom="1440" w:left="1260" w:header="426"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14AAE" w14:textId="77777777" w:rsidR="00414433" w:rsidRDefault="00414433">
      <w:r>
        <w:separator/>
      </w:r>
    </w:p>
  </w:endnote>
  <w:endnote w:type="continuationSeparator" w:id="0">
    <w:p w14:paraId="36E4B205" w14:textId="77777777" w:rsidR="00414433" w:rsidRDefault="00414433">
      <w:r>
        <w:rPr>
          <w:sz w:val="24"/>
        </w:rPr>
        <w:t xml:space="preserve"> </w:t>
      </w:r>
    </w:p>
  </w:endnote>
  <w:endnote w:type="continuationNotice" w:id="1">
    <w:p w14:paraId="3272F974" w14:textId="77777777" w:rsidR="00414433" w:rsidRDefault="0041443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light">
    <w:panose1 w:val="020B0400000000000000"/>
    <w:charset w:val="80"/>
    <w:family w:val="swiss"/>
    <w:pitch w:val="variable"/>
    <w:sig w:usb0="E00002FF" w:usb1="2AC7FDFF" w:usb2="00000016"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99753" w14:textId="77777777" w:rsidR="00414433" w:rsidRDefault="00414433">
      <w:r>
        <w:rPr>
          <w:sz w:val="24"/>
        </w:rPr>
        <w:separator/>
      </w:r>
    </w:p>
  </w:footnote>
  <w:footnote w:type="continuationSeparator" w:id="0">
    <w:p w14:paraId="782B067F" w14:textId="77777777" w:rsidR="00414433" w:rsidRDefault="00414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2E54" w14:textId="07DAD703" w:rsidR="00BC7634" w:rsidRDefault="00BC7634">
    <w:pPr>
      <w:pStyle w:val="Header"/>
    </w:pPr>
    <w:r>
      <w:rPr>
        <w:noProof/>
      </w:rPr>
      <mc:AlternateContent>
        <mc:Choice Requires="wps">
          <w:drawing>
            <wp:anchor distT="0" distB="0" distL="114300" distR="114300" simplePos="0" relativeHeight="251660288" behindDoc="0" locked="0" layoutInCell="0" allowOverlap="1" wp14:anchorId="717744A3" wp14:editId="2E13B8FA">
              <wp:simplePos x="0" y="0"/>
              <wp:positionH relativeFrom="page">
                <wp:posOffset>0</wp:posOffset>
              </wp:positionH>
              <wp:positionV relativeFrom="page">
                <wp:posOffset>190500</wp:posOffset>
              </wp:positionV>
              <wp:extent cx="7560945" cy="273050"/>
              <wp:effectExtent l="0" t="0" r="0" b="12700"/>
              <wp:wrapNone/>
              <wp:docPr id="2" name="MSIPCM4ee3484dbc0faa3324c6fafa" descr="{&quot;HashCode&quot;:-1813103172,&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37EBC" w14:textId="49CCC560" w:rsidR="00BC7634" w:rsidRPr="00BC7634" w:rsidRDefault="00BC7634" w:rsidP="00BC7634">
                          <w:pPr>
                            <w:rPr>
                              <w:rFonts w:ascii="Calibri" w:hAnsi="Calibri" w:cs="Calibri"/>
                              <w:color w:val="000000"/>
                              <w:sz w:val="20"/>
                            </w:rPr>
                          </w:pPr>
                          <w:r w:rsidRPr="00BC7634">
                            <w:rPr>
                              <w:rFonts w:ascii="Calibri" w:hAnsi="Calibri" w:cs="Calibri"/>
                              <w:color w:val="000000"/>
                              <w:sz w:val="20"/>
                            </w:rPr>
                            <w:t>Protected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17744A3" id="_x0000_t202" coordsize="21600,21600" o:spt="202" path="m,l,21600r21600,l21600,xe">
              <v:stroke joinstyle="miter"/>
              <v:path gradientshapeok="t" o:connecttype="rect"/>
            </v:shapetype>
            <v:shape id="MSIPCM4ee3484dbc0faa3324c6fafa" o:spid="_x0000_s1026" type="#_x0000_t202" alt="{&quot;HashCode&quot;:-1813103172,&quot;Height&quot;:841.0,&quot;Width&quot;:595.0,&quot;Placement&quot;:&quot;Header&quot;,&quot;Index&quot;:&quot;OddAndEven&quot;,&quot;Section&quot;:1,&quot;Top&quot;:0.0,&quot;Left&quot;:0.0}" style="position:absolute;margin-left:0;margin-top:1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ErGA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" o:allowincell="f" filled="f" stroked="f" strokeweight=".5pt">
              <v:textbox inset="20pt,0,,0">
                <w:txbxContent>
                  <w:p w14:paraId="47237EBC" w14:textId="49CCC560" w:rsidR="00BC7634" w:rsidRPr="00BC7634" w:rsidRDefault="00BC7634" w:rsidP="00BC7634">
                    <w:pPr>
                      <w:rPr>
                        <w:rFonts w:ascii="Calibri" w:hAnsi="Calibri" w:cs="Calibri"/>
                        <w:color w:val="000000"/>
                        <w:sz w:val="20"/>
                      </w:rPr>
                    </w:pPr>
                    <w:r w:rsidRPr="00BC7634">
                      <w:rPr>
                        <w:rFonts w:ascii="Calibri" w:hAnsi="Calibri" w:cs="Calibri"/>
                        <w:color w:val="000000"/>
                        <w:sz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3B0"/>
    <w:multiLevelType w:val="hybridMultilevel"/>
    <w:tmpl w:val="CF08217A"/>
    <w:lvl w:ilvl="0" w:tplc="0409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0F719A8"/>
    <w:multiLevelType w:val="hybridMultilevel"/>
    <w:tmpl w:val="DBBC44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13C347C"/>
    <w:multiLevelType w:val="hybridMultilevel"/>
    <w:tmpl w:val="62D86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8E4147"/>
    <w:multiLevelType w:val="hybridMultilevel"/>
    <w:tmpl w:val="13BC90C0"/>
    <w:lvl w:ilvl="0" w:tplc="837CB63C">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8A6EA1"/>
    <w:multiLevelType w:val="hybridMultilevel"/>
    <w:tmpl w:val="D4928FB8"/>
    <w:lvl w:ilvl="0" w:tplc="5DA63C80">
      <w:numFmt w:val="bullet"/>
      <w:lvlText w:val="‑"/>
      <w:lvlJc w:val="left"/>
      <w:pPr>
        <w:ind w:left="1800" w:hanging="360"/>
      </w:pPr>
      <w:rPr>
        <w:rFonts w:ascii="Yu Gothic UI Semilight" w:eastAsia="Yu Gothic UI Semilight" w:hAnsi="Yu Gothic UI Semilight" w:hint="eastAsi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1620A01"/>
    <w:multiLevelType w:val="hybridMultilevel"/>
    <w:tmpl w:val="9DA8CD3A"/>
    <w:lvl w:ilvl="0" w:tplc="04090017">
      <w:start w:val="1"/>
      <w:numFmt w:val="lowerLetter"/>
      <w:lvlText w:val="%1)"/>
      <w:lvlJc w:val="left"/>
      <w:pPr>
        <w:ind w:left="720" w:hanging="360"/>
      </w:pPr>
    </w:lvl>
    <w:lvl w:ilvl="1" w:tplc="CD2EFC9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D717FD"/>
    <w:multiLevelType w:val="hybridMultilevel"/>
    <w:tmpl w:val="16540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1B12"/>
    <w:multiLevelType w:val="hybridMultilevel"/>
    <w:tmpl w:val="4C26A9B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4B5503"/>
    <w:multiLevelType w:val="hybridMultilevel"/>
    <w:tmpl w:val="4B6E4AE8"/>
    <w:lvl w:ilvl="0" w:tplc="637296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C100A5"/>
    <w:multiLevelType w:val="hybridMultilevel"/>
    <w:tmpl w:val="E7BEF076"/>
    <w:lvl w:ilvl="0" w:tplc="5DA63C80">
      <w:numFmt w:val="bullet"/>
      <w:lvlText w:val="‑"/>
      <w:lvlJc w:val="left"/>
      <w:pPr>
        <w:ind w:left="1800" w:hanging="360"/>
      </w:pPr>
      <w:rPr>
        <w:rFonts w:ascii="Yu Gothic UI Semilight" w:eastAsia="Yu Gothic UI Semilight" w:hAnsi="Yu Gothic UI Semilight" w:hint="eastAsi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D8E0527"/>
    <w:multiLevelType w:val="hybridMultilevel"/>
    <w:tmpl w:val="A10C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E8477C"/>
    <w:multiLevelType w:val="hybridMultilevel"/>
    <w:tmpl w:val="FF8664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2319149">
    <w:abstractNumId w:val="5"/>
  </w:num>
  <w:num w:numId="2" w16cid:durableId="793406557">
    <w:abstractNumId w:val="7"/>
  </w:num>
  <w:num w:numId="3" w16cid:durableId="55981859">
    <w:abstractNumId w:val="3"/>
  </w:num>
  <w:num w:numId="4" w16cid:durableId="1549754977">
    <w:abstractNumId w:val="9"/>
  </w:num>
  <w:num w:numId="5" w16cid:durableId="529493172">
    <w:abstractNumId w:val="4"/>
  </w:num>
  <w:num w:numId="6" w16cid:durableId="1665014975">
    <w:abstractNumId w:val="0"/>
  </w:num>
  <w:num w:numId="7" w16cid:durableId="1569682505">
    <w:abstractNumId w:val="1"/>
  </w:num>
  <w:num w:numId="8" w16cid:durableId="1203244881">
    <w:abstractNumId w:val="6"/>
  </w:num>
  <w:num w:numId="9" w16cid:durableId="141893788">
    <w:abstractNumId w:val="2"/>
  </w:num>
  <w:num w:numId="10" w16cid:durableId="814949958">
    <w:abstractNumId w:val="10"/>
  </w:num>
  <w:num w:numId="11" w16cid:durableId="2137789615">
    <w:abstractNumId w:val="8"/>
  </w:num>
  <w:num w:numId="12" w16cid:durableId="15237820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10"/>
  <w:displayHorizontalDrawingGridEvery w:val="0"/>
  <w:displayVerticalDrawingGridEvery w:val="0"/>
  <w:doNotShadeFormData/>
  <w:noPunctuationKerning/>
  <w:characterSpacingControl w:val="doNotCompress"/>
  <w:savePreviewPicture/>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WxMDEwNjc0sTQ2NTRS0lEKTi0uzszPAykwrAUAW23AKiwAAAA="/>
  </w:docVars>
  <w:rsids>
    <w:rsidRoot w:val="005130C3"/>
    <w:rsid w:val="00004C01"/>
    <w:rsid w:val="0001394F"/>
    <w:rsid w:val="00024B25"/>
    <w:rsid w:val="00037F1C"/>
    <w:rsid w:val="000672E7"/>
    <w:rsid w:val="00073C60"/>
    <w:rsid w:val="0008270C"/>
    <w:rsid w:val="0008577E"/>
    <w:rsid w:val="00087A5D"/>
    <w:rsid w:val="0009213A"/>
    <w:rsid w:val="000B3C65"/>
    <w:rsid w:val="000D0B4C"/>
    <w:rsid w:val="000F4D9A"/>
    <w:rsid w:val="0010171D"/>
    <w:rsid w:val="00103958"/>
    <w:rsid w:val="001744B5"/>
    <w:rsid w:val="00190C88"/>
    <w:rsid w:val="001942C9"/>
    <w:rsid w:val="001B38AC"/>
    <w:rsid w:val="001B53B8"/>
    <w:rsid w:val="001D5A25"/>
    <w:rsid w:val="001F4D12"/>
    <w:rsid w:val="001F65C4"/>
    <w:rsid w:val="00216103"/>
    <w:rsid w:val="00233A25"/>
    <w:rsid w:val="002378BD"/>
    <w:rsid w:val="00240380"/>
    <w:rsid w:val="00244F20"/>
    <w:rsid w:val="002C5423"/>
    <w:rsid w:val="00313A6E"/>
    <w:rsid w:val="00322FC3"/>
    <w:rsid w:val="0033717F"/>
    <w:rsid w:val="00343FB8"/>
    <w:rsid w:val="00347B31"/>
    <w:rsid w:val="003818BD"/>
    <w:rsid w:val="003A3B2B"/>
    <w:rsid w:val="003B360E"/>
    <w:rsid w:val="003B7563"/>
    <w:rsid w:val="003E42BF"/>
    <w:rsid w:val="003F5CF1"/>
    <w:rsid w:val="00410A67"/>
    <w:rsid w:val="00411482"/>
    <w:rsid w:val="00414433"/>
    <w:rsid w:val="0042166F"/>
    <w:rsid w:val="00440F14"/>
    <w:rsid w:val="00446758"/>
    <w:rsid w:val="00456400"/>
    <w:rsid w:val="00457B5D"/>
    <w:rsid w:val="00472074"/>
    <w:rsid w:val="00493725"/>
    <w:rsid w:val="004A5F59"/>
    <w:rsid w:val="004C417A"/>
    <w:rsid w:val="004F2409"/>
    <w:rsid w:val="005130C3"/>
    <w:rsid w:val="00514999"/>
    <w:rsid w:val="00515A19"/>
    <w:rsid w:val="0055476E"/>
    <w:rsid w:val="00557532"/>
    <w:rsid w:val="0058450F"/>
    <w:rsid w:val="00591E90"/>
    <w:rsid w:val="00596C54"/>
    <w:rsid w:val="005C4E63"/>
    <w:rsid w:val="005C7504"/>
    <w:rsid w:val="005D1F6B"/>
    <w:rsid w:val="005D5F34"/>
    <w:rsid w:val="005E0060"/>
    <w:rsid w:val="005E3E0B"/>
    <w:rsid w:val="005F40FB"/>
    <w:rsid w:val="0060370A"/>
    <w:rsid w:val="00606DA8"/>
    <w:rsid w:val="00623851"/>
    <w:rsid w:val="00633BF6"/>
    <w:rsid w:val="00645A79"/>
    <w:rsid w:val="0065085F"/>
    <w:rsid w:val="00677A84"/>
    <w:rsid w:val="00685429"/>
    <w:rsid w:val="00693295"/>
    <w:rsid w:val="0069701F"/>
    <w:rsid w:val="006C61FF"/>
    <w:rsid w:val="006C780E"/>
    <w:rsid w:val="006D1046"/>
    <w:rsid w:val="006E2CD0"/>
    <w:rsid w:val="006E45CD"/>
    <w:rsid w:val="006F77EA"/>
    <w:rsid w:val="0071170D"/>
    <w:rsid w:val="007279C8"/>
    <w:rsid w:val="007327C9"/>
    <w:rsid w:val="007360B0"/>
    <w:rsid w:val="00737AC3"/>
    <w:rsid w:val="00772158"/>
    <w:rsid w:val="007757C0"/>
    <w:rsid w:val="00784716"/>
    <w:rsid w:val="00790458"/>
    <w:rsid w:val="007A56B0"/>
    <w:rsid w:val="007B2DE3"/>
    <w:rsid w:val="007B7103"/>
    <w:rsid w:val="007C347A"/>
    <w:rsid w:val="007D23F5"/>
    <w:rsid w:val="007F2386"/>
    <w:rsid w:val="00811900"/>
    <w:rsid w:val="0081297F"/>
    <w:rsid w:val="008136F4"/>
    <w:rsid w:val="008268E8"/>
    <w:rsid w:val="00837EB4"/>
    <w:rsid w:val="00846B37"/>
    <w:rsid w:val="008B6149"/>
    <w:rsid w:val="008C6246"/>
    <w:rsid w:val="008D3D96"/>
    <w:rsid w:val="008E47FB"/>
    <w:rsid w:val="008F7EA6"/>
    <w:rsid w:val="009063C5"/>
    <w:rsid w:val="00920788"/>
    <w:rsid w:val="00924F5F"/>
    <w:rsid w:val="00944DFB"/>
    <w:rsid w:val="009462BF"/>
    <w:rsid w:val="009865B1"/>
    <w:rsid w:val="009E3989"/>
    <w:rsid w:val="009E4E88"/>
    <w:rsid w:val="009E7C2D"/>
    <w:rsid w:val="009F23EC"/>
    <w:rsid w:val="00A07D64"/>
    <w:rsid w:val="00A11A76"/>
    <w:rsid w:val="00A2771A"/>
    <w:rsid w:val="00A35CA3"/>
    <w:rsid w:val="00A37740"/>
    <w:rsid w:val="00A54B9D"/>
    <w:rsid w:val="00A903DD"/>
    <w:rsid w:val="00A92C92"/>
    <w:rsid w:val="00A93FAE"/>
    <w:rsid w:val="00A94FE4"/>
    <w:rsid w:val="00AB6B93"/>
    <w:rsid w:val="00AC3470"/>
    <w:rsid w:val="00AD6056"/>
    <w:rsid w:val="00B058DD"/>
    <w:rsid w:val="00B31590"/>
    <w:rsid w:val="00B37961"/>
    <w:rsid w:val="00B575C1"/>
    <w:rsid w:val="00B96F14"/>
    <w:rsid w:val="00BB518E"/>
    <w:rsid w:val="00BC7634"/>
    <w:rsid w:val="00BD33E3"/>
    <w:rsid w:val="00BE58D4"/>
    <w:rsid w:val="00BF37E5"/>
    <w:rsid w:val="00C12FE6"/>
    <w:rsid w:val="00C87D46"/>
    <w:rsid w:val="00CC78F9"/>
    <w:rsid w:val="00CF1A04"/>
    <w:rsid w:val="00D04375"/>
    <w:rsid w:val="00D15A24"/>
    <w:rsid w:val="00D40631"/>
    <w:rsid w:val="00D52227"/>
    <w:rsid w:val="00D628D6"/>
    <w:rsid w:val="00D879CE"/>
    <w:rsid w:val="00D9176D"/>
    <w:rsid w:val="00D95C2C"/>
    <w:rsid w:val="00D96FC4"/>
    <w:rsid w:val="00DB4804"/>
    <w:rsid w:val="00DB5377"/>
    <w:rsid w:val="00DB62EA"/>
    <w:rsid w:val="00DB78F4"/>
    <w:rsid w:val="00DE017B"/>
    <w:rsid w:val="00DF62EB"/>
    <w:rsid w:val="00E03FA9"/>
    <w:rsid w:val="00E1795B"/>
    <w:rsid w:val="00E315D8"/>
    <w:rsid w:val="00E327FB"/>
    <w:rsid w:val="00E531CB"/>
    <w:rsid w:val="00E5358B"/>
    <w:rsid w:val="00E574FD"/>
    <w:rsid w:val="00E57BF2"/>
    <w:rsid w:val="00E612DE"/>
    <w:rsid w:val="00E706F3"/>
    <w:rsid w:val="00EA3994"/>
    <w:rsid w:val="00EB4709"/>
    <w:rsid w:val="00EC4BD3"/>
    <w:rsid w:val="00EC7758"/>
    <w:rsid w:val="00EF369A"/>
    <w:rsid w:val="00F0555B"/>
    <w:rsid w:val="00F26132"/>
    <w:rsid w:val="00F46D60"/>
    <w:rsid w:val="00F50C13"/>
    <w:rsid w:val="00F5133B"/>
    <w:rsid w:val="00F57864"/>
    <w:rsid w:val="00F646EA"/>
    <w:rsid w:val="00F81A3C"/>
    <w:rsid w:val="00F822DF"/>
    <w:rsid w:val="00F83572"/>
    <w:rsid w:val="00FC6C8B"/>
    <w:rsid w:val="00FE439A"/>
    <w:rsid w:val="7257D6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E48545"/>
  <w15:docId w15:val="{F88724C9-3367-41E9-BD87-D0D1A04C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2"/>
    </w:rPr>
  </w:style>
  <w:style w:type="paragraph" w:styleId="Heading1">
    <w:name w:val="heading 1"/>
    <w:basedOn w:val="Normal"/>
    <w:next w:val="Normal"/>
    <w:qFormat/>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pPr>
      <w:keepNext/>
      <w:keepLines/>
      <w:tabs>
        <w:tab w:val="left" w:pos="-720"/>
      </w:tabs>
      <w:suppressAutoHyphens/>
      <w:jc w:val="center"/>
      <w:outlineLvl w:val="1"/>
    </w:pPr>
    <w:rPr>
      <w:b/>
      <w:smallCaps/>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b/>
      <w:i/>
    </w:r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paragraph" w:styleId="Heading9">
    <w:name w:val="heading 9"/>
    <w:basedOn w:val="Normal"/>
    <w:next w:val="Normal"/>
    <w:qFormat/>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style>
  <w:style w:type="paragraph" w:customStyle="1" w:styleId="ChapterNumber">
    <w:name w:val="ChapterNumber"/>
    <w:pPr>
      <w:tabs>
        <w:tab w:val="left" w:pos="-720"/>
      </w:tabs>
      <w:suppressAutoHyphens/>
    </w:pPr>
    <w:rPr>
      <w:rFonts w:ascii="CG Times" w:hAnsi="CG Times"/>
      <w:sz w:val="22"/>
    </w:rPr>
  </w:style>
  <w:style w:type="paragraph" w:styleId="Footer">
    <w:name w:val="footer"/>
    <w:basedOn w:val="Normal"/>
    <w:pPr>
      <w:tabs>
        <w:tab w:val="left" w:pos="360"/>
        <w:tab w:val="right" w:pos="9000"/>
      </w:tabs>
      <w:suppressAutoHyphens/>
    </w:pPr>
  </w:style>
  <w:style w:type="character" w:styleId="FootnoteReference">
    <w:name w:val="footnote reference"/>
    <w:semiHidden/>
    <w:rPr>
      <w:rFonts w:ascii="CG Times" w:hAnsi="CG Times"/>
      <w:noProof w:val="0"/>
      <w:sz w:val="22"/>
      <w:vertAlign w:val="superscript"/>
      <w:lang w:val="en-US"/>
    </w:rPr>
  </w:style>
  <w:style w:type="paragraph" w:styleId="FootnoteText">
    <w:name w:val="footnote text"/>
    <w:basedOn w:val="Normal"/>
    <w:semiHidden/>
    <w:pPr>
      <w:tabs>
        <w:tab w:val="left" w:pos="-720"/>
      </w:tabs>
      <w:suppressAutoHyphens/>
    </w:pPr>
    <w:rPr>
      <w:rFonts w:ascii="Times New Roman" w:hAnsi="Times New Roman"/>
      <w:sz w:val="20"/>
    </w:rPr>
  </w:style>
  <w:style w:type="paragraph" w:styleId="Header">
    <w:name w:val="header"/>
    <w:basedOn w:val="Normal"/>
    <w:pPr>
      <w:tabs>
        <w:tab w:val="left" w:pos="360"/>
        <w:tab w:val="left" w:pos="7560"/>
        <w:tab w:val="left" w:pos="8280"/>
        <w:tab w:val="left" w:pos="9000"/>
      </w:tabs>
      <w:suppressAutoHyphens/>
    </w:pPr>
  </w:style>
  <w:style w:type="paragraph" w:styleId="NormalIndent">
    <w:name w:val="Normal Indent"/>
    <w:basedOn w:val="Normal"/>
    <w:pPr>
      <w:tabs>
        <w:tab w:val="left" w:pos="-720"/>
      </w:tabs>
      <w:suppressAutoHyphens/>
    </w:pPr>
  </w:style>
  <w:style w:type="paragraph" w:customStyle="1" w:styleId="TextBox">
    <w:name w:val="Text Box"/>
    <w:pPr>
      <w:keepNext/>
      <w:keepLines/>
      <w:tabs>
        <w:tab w:val="left" w:pos="-720"/>
      </w:tabs>
      <w:suppressAutoHyphens/>
      <w:jc w:val="both"/>
    </w:pPr>
    <w:rPr>
      <w:spacing w:val="-2"/>
      <w:sz w:val="22"/>
    </w:rPr>
  </w:style>
  <w:style w:type="paragraph" w:customStyle="1" w:styleId="TextBoxdots">
    <w:name w:val="Text Box (dots)"/>
    <w:pPr>
      <w:keepNext/>
      <w:keepLines/>
      <w:tabs>
        <w:tab w:val="left" w:pos="-720"/>
      </w:tabs>
      <w:suppressAutoHyphens/>
      <w:jc w:val="both"/>
    </w:pPr>
    <w:rPr>
      <w:spacing w:val="-2"/>
      <w:sz w:val="22"/>
    </w:rPr>
  </w:style>
  <w:style w:type="paragraph" w:customStyle="1" w:styleId="TextBoxFramed">
    <w:name w:val="Text Box Framed"/>
    <w:pPr>
      <w:keepNext/>
      <w:keepLines/>
      <w:tabs>
        <w:tab w:val="left" w:pos="-720"/>
      </w:tabs>
      <w:suppressAutoHyphens/>
    </w:pPr>
    <w:rPr>
      <w:sz w:val="22"/>
    </w:rPr>
  </w:style>
  <w:style w:type="paragraph" w:customStyle="1" w:styleId="TextBoxUnframed">
    <w:name w:val="Text Box Unframed"/>
    <w:pPr>
      <w:keepNext/>
      <w:keepLines/>
      <w:tabs>
        <w:tab w:val="left" w:pos="-720"/>
      </w:tabs>
      <w:suppressAutoHyphens/>
    </w:pPr>
    <w:rPr>
      <w:sz w:val="22"/>
    </w:rPr>
  </w:style>
  <w:style w:type="paragraph" w:customStyle="1" w:styleId="TOC11">
    <w:name w:val="TOC 11"/>
    <w:pPr>
      <w:tabs>
        <w:tab w:val="left" w:pos="360"/>
      </w:tabs>
      <w:suppressAutoHyphens/>
    </w:pPr>
    <w:rPr>
      <w:rFonts w:ascii="CG Times" w:hAnsi="CG Times"/>
      <w:smallCaps/>
      <w:sz w:val="22"/>
    </w:r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customStyle="1" w:styleId="BankNormal">
    <w:name w:val="BankNormal"/>
    <w:pPr>
      <w:tabs>
        <w:tab w:val="left" w:pos="-720"/>
      </w:tabs>
      <w:suppressAutoHyphens/>
    </w:pPr>
    <w:rPr>
      <w:rFonts w:ascii="CG Times" w:hAnsi="CG Times"/>
      <w:sz w:val="22"/>
    </w:rPr>
  </w:style>
  <w:style w:type="paragraph" w:customStyle="1" w:styleId="Heading1a">
    <w:name w:val="Heading 1a"/>
    <w:pPr>
      <w:keepNext/>
      <w:keepLines/>
      <w:tabs>
        <w:tab w:val="left" w:pos="-720"/>
      </w:tabs>
      <w:suppressAutoHyphens/>
      <w:jc w:val="center"/>
    </w:pPr>
    <w:rPr>
      <w:b/>
      <w:smallCaps/>
      <w:sz w:val="32"/>
    </w:r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EndnoteText">
    <w:name w:val="endnote text"/>
    <w:basedOn w:val="Normal"/>
    <w:semiHidden/>
    <w:pPr>
      <w:tabs>
        <w:tab w:val="left" w:pos="-720"/>
      </w:tabs>
      <w:suppressAutoHyphens/>
    </w:pPr>
    <w:rPr>
      <w:rFonts w:ascii="Times New Roman" w:hAnsi="Times New Roman"/>
      <w:sz w:val="20"/>
    </w:rPr>
  </w:style>
  <w:style w:type="character" w:styleId="EndnoteReference">
    <w:name w:val="endnote reference"/>
    <w:semiHidden/>
    <w:rPr>
      <w:rFonts w:ascii="CG Times" w:hAnsi="CG Times"/>
      <w:noProof w:val="0"/>
      <w:sz w:val="22"/>
      <w:vertAlign w:val="superscript"/>
      <w:lang w:val="en-US"/>
    </w:r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suppressAutoHyphens/>
    </w:pPr>
    <w:rPr>
      <w:spacing w:val="-2"/>
      <w:sz w:val="24"/>
    </w:rPr>
  </w:style>
  <w:style w:type="character" w:styleId="Hyperlink">
    <w:name w:val="Hyperlink"/>
    <w:rPr>
      <w:color w:val="0000FF"/>
      <w:u w:val="single"/>
    </w:rPr>
  </w:style>
  <w:style w:type="paragraph" w:styleId="BalloonText">
    <w:name w:val="Balloon Text"/>
    <w:basedOn w:val="Normal"/>
    <w:semiHidden/>
    <w:rsid w:val="005130C3"/>
    <w:rPr>
      <w:rFonts w:ascii="Tahoma" w:hAnsi="Tahoma" w:cs="Tahoma"/>
      <w:sz w:val="16"/>
      <w:szCs w:val="16"/>
    </w:rPr>
  </w:style>
  <w:style w:type="character" w:customStyle="1" w:styleId="BodyTextChar">
    <w:name w:val="Body Text Char"/>
    <w:link w:val="BodyText"/>
    <w:rsid w:val="005F40FB"/>
    <w:rPr>
      <w:rFonts w:ascii="CG Times" w:hAnsi="CG Times"/>
      <w:spacing w:val="-2"/>
      <w:sz w:val="24"/>
    </w:rPr>
  </w:style>
  <w:style w:type="paragraph" w:styleId="ListParagraph">
    <w:name w:val="List Paragraph"/>
    <w:aliases w:val="Citation List,본문(내용),List Paragraph (numbered (a)),List Paragraph2,Text,References,سرد الفقرات,Bullets,Liste 1,Numbered List Paragraph,ReferencesCxSpLast,Medium Grid 1 - Accent 21,List Paragraph nowy,Paragraphe  revu,Paragraphe de liste1"/>
    <w:basedOn w:val="Normal"/>
    <w:link w:val="ListParagraphChar"/>
    <w:uiPriority w:val="34"/>
    <w:qFormat/>
    <w:rsid w:val="009865B1"/>
    <w:pPr>
      <w:spacing w:after="120" w:line="264" w:lineRule="auto"/>
      <w:ind w:left="720"/>
      <w:contextualSpacing/>
    </w:pPr>
    <w:rPr>
      <w:rFonts w:asciiTheme="minorHAnsi" w:eastAsiaTheme="minorEastAsia" w:hAnsiTheme="minorHAnsi" w:cstheme="minorBidi"/>
      <w:sz w:val="20"/>
      <w:lang w:val="en-GB"/>
    </w:rPr>
  </w:style>
  <w:style w:type="character" w:customStyle="1" w:styleId="ListParagraphChar">
    <w:name w:val="List Paragraph Char"/>
    <w:aliases w:val="Citation List Char,본문(내용) Char,List Paragraph (numbered (a)) Char,List Paragraph2 Char,Text Char,References Char,سرد الفقرات Char,Bullets Char,Liste 1 Char,Numbered List Paragraph Char,ReferencesCxSpLast Char,List Paragraph nowy Char"/>
    <w:basedOn w:val="DefaultParagraphFont"/>
    <w:link w:val="ListParagraph"/>
    <w:uiPriority w:val="34"/>
    <w:qFormat/>
    <w:rsid w:val="009865B1"/>
    <w:rPr>
      <w:rFonts w:asciiTheme="minorHAnsi" w:eastAsiaTheme="minorEastAsia" w:hAnsiTheme="minorHAnsi" w:cstheme="minorBidi"/>
      <w:lang w:val="en-GB"/>
    </w:rPr>
  </w:style>
  <w:style w:type="character" w:styleId="UnresolvedMention">
    <w:name w:val="Unresolved Mention"/>
    <w:basedOn w:val="DefaultParagraphFont"/>
    <w:uiPriority w:val="99"/>
    <w:semiHidden/>
    <w:unhideWhenUsed/>
    <w:rsid w:val="00AD6056"/>
    <w:rPr>
      <w:color w:val="605E5C"/>
      <w:shd w:val="clear" w:color="auto" w:fill="E1DFDD"/>
    </w:rPr>
  </w:style>
  <w:style w:type="character" w:styleId="CommentReference">
    <w:name w:val="annotation reference"/>
    <w:basedOn w:val="DefaultParagraphFont"/>
    <w:semiHidden/>
    <w:unhideWhenUsed/>
    <w:rsid w:val="00F26132"/>
    <w:rPr>
      <w:sz w:val="16"/>
      <w:szCs w:val="16"/>
    </w:rPr>
  </w:style>
  <w:style w:type="paragraph" w:styleId="CommentText">
    <w:name w:val="annotation text"/>
    <w:basedOn w:val="Normal"/>
    <w:link w:val="CommentTextChar"/>
    <w:unhideWhenUsed/>
    <w:rsid w:val="00F26132"/>
    <w:rPr>
      <w:sz w:val="20"/>
    </w:rPr>
  </w:style>
  <w:style w:type="character" w:customStyle="1" w:styleId="CommentTextChar">
    <w:name w:val="Comment Text Char"/>
    <w:basedOn w:val="DefaultParagraphFont"/>
    <w:link w:val="CommentText"/>
    <w:rsid w:val="00F26132"/>
    <w:rPr>
      <w:rFonts w:ascii="CG Times" w:hAnsi="CG Times"/>
    </w:rPr>
  </w:style>
  <w:style w:type="paragraph" w:styleId="CommentSubject">
    <w:name w:val="annotation subject"/>
    <w:basedOn w:val="CommentText"/>
    <w:next w:val="CommentText"/>
    <w:link w:val="CommentSubjectChar"/>
    <w:semiHidden/>
    <w:unhideWhenUsed/>
    <w:rsid w:val="00F26132"/>
    <w:rPr>
      <w:b/>
      <w:bCs/>
    </w:rPr>
  </w:style>
  <w:style w:type="character" w:customStyle="1" w:styleId="CommentSubjectChar">
    <w:name w:val="Comment Subject Char"/>
    <w:basedOn w:val="CommentTextChar"/>
    <w:link w:val="CommentSubject"/>
    <w:semiHidden/>
    <w:rsid w:val="00F26132"/>
    <w:rPr>
      <w:rFonts w:ascii="CG Times" w:hAnsi="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isdbi@isdb.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FB88C14-9115-4AE5-B46D-326BCBDB9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307</Words>
  <Characters>1950</Characters>
  <Application>Microsoft Office Word</Application>
  <DocSecurity>0</DocSecurity>
  <Lines>38</Lines>
  <Paragraphs>20</Paragraphs>
  <ScaleCrop>false</ScaleCrop>
  <HeadingPairs>
    <vt:vector size="2" baseType="variant">
      <vt:variant>
        <vt:lpstr>Title</vt:lpstr>
      </vt:variant>
      <vt:variant>
        <vt:i4>1</vt:i4>
      </vt:variant>
    </vt:vector>
  </HeadingPairs>
  <TitlesOfParts>
    <vt:vector size="1" baseType="lpstr">
      <vt:lpstr>GPN</vt:lpstr>
    </vt:vector>
  </TitlesOfParts>
  <Company>The World Bank</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GPN</dc:title>
  <dc:creator>meken</dc:creator>
  <cp:keywords>procurement, GPN, IDB</cp:keywords>
  <cp:lastModifiedBy>Mehmet Fehmi Eken</cp:lastModifiedBy>
  <cp:revision>19</cp:revision>
  <cp:lastPrinted>2009-03-05T06:40:00Z</cp:lastPrinted>
  <dcterms:created xsi:type="dcterms:W3CDTF">2024-08-14T04:57:00Z</dcterms:created>
  <dcterms:modified xsi:type="dcterms:W3CDTF">2026-02-02T05:20:00Z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f4adf7-25a7-4f52-a61a-df7190f1d881_Enabled">
    <vt:lpwstr>true</vt:lpwstr>
  </property>
  <property fmtid="{D5CDD505-2E9C-101B-9397-08002B2CF9AE}" pid="3" name="MSIP_Label_9ef4adf7-25a7-4f52-a61a-df7190f1d881_SetDate">
    <vt:lpwstr>2023-05-02T08:04:49Z</vt:lpwstr>
  </property>
  <property fmtid="{D5CDD505-2E9C-101B-9397-08002B2CF9AE}" pid="4" name="MSIP_Label_9ef4adf7-25a7-4f52-a61a-df7190f1d881_Method">
    <vt:lpwstr>Standard</vt:lpwstr>
  </property>
  <property fmtid="{D5CDD505-2E9C-101B-9397-08002B2CF9AE}" pid="5" name="MSIP_Label_9ef4adf7-25a7-4f52-a61a-df7190f1d881_Name">
    <vt:lpwstr>Category C - Protected</vt:lpwstr>
  </property>
  <property fmtid="{D5CDD505-2E9C-101B-9397-08002B2CF9AE}" pid="6" name="MSIP_Label_9ef4adf7-25a7-4f52-a61a-df7190f1d881_SiteId">
    <vt:lpwstr>8fa69c26-409d-43e5-973c-17a8be1a7f35</vt:lpwstr>
  </property>
  <property fmtid="{D5CDD505-2E9C-101B-9397-08002B2CF9AE}" pid="7" name="MSIP_Label_9ef4adf7-25a7-4f52-a61a-df7190f1d881_ActionId">
    <vt:lpwstr>83dda9f1-fb1f-43fe-99c4-137a66823b3e</vt:lpwstr>
  </property>
  <property fmtid="{D5CDD505-2E9C-101B-9397-08002B2CF9AE}" pid="8" name="MSIP_Label_9ef4adf7-25a7-4f52-a61a-df7190f1d881_ContentBits">
    <vt:lpwstr>1</vt:lpwstr>
  </property>
  <property fmtid="{D5CDD505-2E9C-101B-9397-08002B2CF9AE}" pid="9" name="GrammarlyDocumentId">
    <vt:lpwstr>9f5e949f8ed1ac25b002043970577e051d12d274550ae4fbf071c677038c3c37</vt:lpwstr>
  </property>
</Properties>
</file>