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374F" w14:textId="77777777" w:rsidR="005130C3" w:rsidRPr="0086536A" w:rsidRDefault="005130C3">
      <w:pPr>
        <w:pStyle w:val="Heading1a"/>
        <w:keepNext w:val="0"/>
        <w:keepLines w:val="0"/>
        <w:tabs>
          <w:tab w:val="clear" w:pos="-720"/>
        </w:tabs>
        <w:suppressAutoHyphens w:val="0"/>
        <w:rPr>
          <w:rFonts w:asciiTheme="majorBidi" w:hAnsiTheme="majorBidi" w:cstheme="majorBidi"/>
          <w:bCs/>
          <w:smallCaps w:val="0"/>
        </w:rPr>
      </w:pPr>
      <w:r w:rsidRPr="0086536A">
        <w:rPr>
          <w:rFonts w:asciiTheme="majorBidi" w:hAnsiTheme="majorBidi" w:cstheme="majorBidi"/>
          <w:bCs/>
          <w:smallCaps w:val="0"/>
        </w:rPr>
        <w:t>AVIS GÉNÉRAL DE PASSATION DE MARCHÉS</w:t>
      </w:r>
    </w:p>
    <w:p w14:paraId="08B9D640" w14:textId="77777777" w:rsidR="005130C3" w:rsidRPr="0086536A" w:rsidRDefault="005130C3">
      <w:pPr>
        <w:suppressAutoHyphens/>
        <w:rPr>
          <w:rFonts w:asciiTheme="majorBidi" w:hAnsiTheme="majorBidi" w:cstheme="majorBidi"/>
          <w:spacing w:val="-2"/>
        </w:rPr>
      </w:pPr>
    </w:p>
    <w:p w14:paraId="63A5B8DF" w14:textId="6BBDA539" w:rsidR="00044EC8" w:rsidRPr="0086536A" w:rsidRDefault="00044EC8" w:rsidP="00044EC8">
      <w:pPr>
        <w:rPr>
          <w:rFonts w:asciiTheme="majorBidi" w:hAnsiTheme="majorBidi" w:cstheme="majorBidi"/>
          <w:sz w:val="24"/>
          <w:szCs w:val="24"/>
          <w:lang w:val="fr-FR"/>
        </w:rPr>
      </w:pPr>
      <w:r w:rsidRPr="0086536A">
        <w:rPr>
          <w:rFonts w:asciiTheme="majorBidi" w:hAnsiTheme="majorBidi" w:cstheme="majorBidi"/>
          <w:b/>
          <w:bCs/>
          <w:sz w:val="24"/>
          <w:szCs w:val="24"/>
          <w:lang w:val="fr-FR"/>
        </w:rPr>
        <w:t xml:space="preserve">Pays : </w:t>
      </w:r>
      <w:r w:rsidR="00074584" w:rsidRPr="0086536A">
        <w:rPr>
          <w:rFonts w:asciiTheme="majorBidi" w:hAnsiTheme="majorBidi" w:cstheme="majorBidi"/>
          <w:sz w:val="24"/>
          <w:szCs w:val="24"/>
          <w:lang w:val="fr-FR"/>
        </w:rPr>
        <w:t>RÉPUBLIQUE DE DJIBOUTI</w:t>
      </w:r>
    </w:p>
    <w:p w14:paraId="67B22EE8" w14:textId="130B177D" w:rsidR="00044EC8" w:rsidRPr="0086536A" w:rsidRDefault="00044EC8" w:rsidP="00044EC8">
      <w:pPr>
        <w:rPr>
          <w:rFonts w:asciiTheme="majorBidi" w:hAnsiTheme="majorBidi" w:cstheme="majorBidi"/>
          <w:sz w:val="24"/>
          <w:szCs w:val="24"/>
          <w:lang w:val="fr-FR"/>
        </w:rPr>
      </w:pPr>
      <w:r w:rsidRPr="0086536A">
        <w:rPr>
          <w:rFonts w:asciiTheme="majorBidi" w:hAnsiTheme="majorBidi" w:cstheme="majorBidi"/>
          <w:b/>
          <w:bCs/>
          <w:sz w:val="24"/>
          <w:szCs w:val="24"/>
          <w:lang w:val="fr-FR"/>
        </w:rPr>
        <w:t xml:space="preserve">Nom du projet : </w:t>
      </w:r>
      <w:r w:rsidRPr="0086536A">
        <w:rPr>
          <w:rFonts w:asciiTheme="majorBidi" w:hAnsiTheme="majorBidi" w:cstheme="majorBidi"/>
          <w:sz w:val="24"/>
          <w:szCs w:val="24"/>
          <w:lang w:val="fr-FR"/>
        </w:rPr>
        <w:t>Élaboration d'une stratégie et d'une feuille de route financières islamiques pour DJIBOUTI</w:t>
      </w:r>
    </w:p>
    <w:p w14:paraId="39BE69B3" w14:textId="479538F0" w:rsidR="00044EC8" w:rsidRPr="0086536A" w:rsidRDefault="00044EC8" w:rsidP="00044EC8">
      <w:pPr>
        <w:rPr>
          <w:rFonts w:asciiTheme="majorBidi" w:hAnsiTheme="majorBidi" w:cstheme="majorBidi"/>
          <w:sz w:val="24"/>
          <w:szCs w:val="24"/>
          <w:lang w:val="fr-FR"/>
        </w:rPr>
      </w:pPr>
      <w:r w:rsidRPr="0086536A">
        <w:rPr>
          <w:rFonts w:asciiTheme="majorBidi" w:hAnsiTheme="majorBidi" w:cstheme="majorBidi"/>
          <w:b/>
          <w:bCs/>
          <w:sz w:val="24"/>
          <w:szCs w:val="24"/>
          <w:lang w:val="fr-FR"/>
        </w:rPr>
        <w:t xml:space="preserve">Secteur : </w:t>
      </w:r>
      <w:r w:rsidRPr="0086536A">
        <w:rPr>
          <w:rFonts w:asciiTheme="majorBidi" w:hAnsiTheme="majorBidi" w:cstheme="majorBidi"/>
          <w:sz w:val="24"/>
          <w:szCs w:val="24"/>
          <w:lang w:val="fr-FR"/>
        </w:rPr>
        <w:t>FINANCE ISLAMIQUE</w:t>
      </w:r>
    </w:p>
    <w:p w14:paraId="58E9D5B0" w14:textId="77777777" w:rsidR="00044EC8" w:rsidRPr="0086536A" w:rsidRDefault="00044EC8" w:rsidP="00044EC8">
      <w:pPr>
        <w:rPr>
          <w:rFonts w:asciiTheme="majorBidi" w:hAnsiTheme="majorBidi" w:cstheme="majorBidi"/>
          <w:sz w:val="24"/>
          <w:szCs w:val="24"/>
          <w:lang w:val="fr-FR"/>
        </w:rPr>
      </w:pPr>
      <w:r w:rsidRPr="0086536A">
        <w:rPr>
          <w:rFonts w:asciiTheme="majorBidi" w:hAnsiTheme="majorBidi" w:cstheme="majorBidi"/>
          <w:b/>
          <w:bCs/>
          <w:sz w:val="24"/>
          <w:szCs w:val="24"/>
          <w:lang w:val="fr-FR"/>
        </w:rPr>
        <w:t xml:space="preserve">Modalités de financement : </w:t>
      </w:r>
      <w:r w:rsidRPr="0086536A">
        <w:rPr>
          <w:rFonts w:asciiTheme="majorBidi" w:hAnsiTheme="majorBidi" w:cstheme="majorBidi"/>
          <w:sz w:val="24"/>
          <w:szCs w:val="24"/>
          <w:lang w:val="fr-FR"/>
        </w:rPr>
        <w:t>Subvention financière islamique</w:t>
      </w:r>
    </w:p>
    <w:p w14:paraId="5B62EC40" w14:textId="5D95FA29" w:rsidR="005130C3" w:rsidRPr="0086536A" w:rsidRDefault="00044EC8" w:rsidP="00FF65D2">
      <w:pPr>
        <w:rPr>
          <w:rFonts w:asciiTheme="majorBidi" w:hAnsiTheme="majorBidi" w:cstheme="majorBidi"/>
          <w:sz w:val="24"/>
          <w:szCs w:val="24"/>
          <w:lang w:val="fr-FR"/>
        </w:rPr>
      </w:pPr>
      <w:r w:rsidRPr="0086536A">
        <w:rPr>
          <w:rFonts w:asciiTheme="majorBidi" w:hAnsiTheme="majorBidi" w:cstheme="majorBidi"/>
          <w:b/>
          <w:bCs/>
          <w:sz w:val="24"/>
          <w:szCs w:val="24"/>
          <w:lang w:val="fr-FR"/>
        </w:rPr>
        <w:t xml:space="preserve">Numéro de financement : </w:t>
      </w:r>
      <w:r w:rsidRPr="0086536A">
        <w:rPr>
          <w:rFonts w:asciiTheme="majorBidi" w:hAnsiTheme="majorBidi" w:cstheme="majorBidi"/>
          <w:sz w:val="24"/>
          <w:szCs w:val="24"/>
          <w:lang w:val="fr-FR"/>
        </w:rPr>
        <w:t>DJI1032</w:t>
      </w:r>
    </w:p>
    <w:p w14:paraId="6C345A67" w14:textId="1D42FD2A" w:rsidR="001B15ED" w:rsidRPr="0086536A" w:rsidRDefault="005130C3" w:rsidP="007745D2">
      <w:pPr>
        <w:suppressAutoHyphens/>
        <w:spacing w:before="120" w:after="120"/>
        <w:jc w:val="both"/>
        <w:rPr>
          <w:rFonts w:asciiTheme="majorBidi" w:hAnsiTheme="majorBidi" w:cstheme="majorBidi"/>
          <w:spacing w:val="-2"/>
          <w:sz w:val="24"/>
          <w:szCs w:val="24"/>
        </w:rPr>
      </w:pPr>
      <w:r w:rsidRPr="0086536A">
        <w:rPr>
          <w:rFonts w:asciiTheme="majorBidi" w:hAnsiTheme="majorBidi" w:cstheme="majorBidi"/>
          <w:spacing w:val="-2"/>
          <w:sz w:val="24"/>
          <w:szCs w:val="24"/>
        </w:rPr>
        <w:t>L</w:t>
      </w:r>
      <w:r w:rsidR="007745D2" w:rsidRPr="0086536A">
        <w:rPr>
          <w:rFonts w:asciiTheme="majorBidi" w:hAnsiTheme="majorBidi" w:cstheme="majorBidi"/>
          <w:spacing w:val="-2"/>
          <w:sz w:val="24"/>
          <w:szCs w:val="24"/>
        </w:rPr>
        <w:t xml:space="preserve">e </w:t>
      </w:r>
      <w:proofErr w:type="gramStart"/>
      <w:r w:rsidR="007745D2" w:rsidRPr="0086536A">
        <w:rPr>
          <w:rFonts w:asciiTheme="majorBidi" w:hAnsiTheme="majorBidi" w:cstheme="majorBidi"/>
          <w:spacing w:val="-2"/>
          <w:sz w:val="24"/>
          <w:szCs w:val="24"/>
        </w:rPr>
        <w:t>Gouvernement  de</w:t>
      </w:r>
      <w:proofErr w:type="gramEnd"/>
      <w:r w:rsidR="007745D2" w:rsidRPr="0086536A">
        <w:rPr>
          <w:rFonts w:asciiTheme="majorBidi" w:hAnsiTheme="majorBidi" w:cstheme="majorBidi"/>
          <w:spacing w:val="-2"/>
          <w:sz w:val="24"/>
          <w:szCs w:val="24"/>
        </w:rPr>
        <w:t xml:space="preserve"> la République de Djibouti </w:t>
      </w:r>
      <w:r w:rsidR="001D5A25" w:rsidRPr="0086536A">
        <w:rPr>
          <w:rFonts w:asciiTheme="majorBidi" w:hAnsiTheme="majorBidi" w:cstheme="majorBidi"/>
          <w:i/>
          <w:iCs/>
          <w:spacing w:val="-2"/>
          <w:sz w:val="24"/>
          <w:szCs w:val="24"/>
        </w:rPr>
        <w:t xml:space="preserve">t </w:t>
      </w:r>
      <w:r w:rsidR="001D5A25" w:rsidRPr="0086536A">
        <w:rPr>
          <w:rFonts w:asciiTheme="majorBidi" w:hAnsiTheme="majorBidi" w:cstheme="majorBidi"/>
          <w:spacing w:val="-2"/>
          <w:sz w:val="24"/>
          <w:szCs w:val="24"/>
        </w:rPr>
        <w:t xml:space="preserve">a </w:t>
      </w:r>
      <w:proofErr w:type="gramStart"/>
      <w:r w:rsidR="007745D2" w:rsidRPr="0086536A">
        <w:rPr>
          <w:rFonts w:asciiTheme="majorBidi" w:hAnsiTheme="majorBidi" w:cstheme="majorBidi"/>
          <w:spacing w:val="-2"/>
          <w:sz w:val="24"/>
          <w:szCs w:val="24"/>
        </w:rPr>
        <w:t xml:space="preserve">obtenu </w:t>
      </w:r>
      <w:r w:rsidR="001D5A25" w:rsidRPr="0086536A">
        <w:rPr>
          <w:rFonts w:asciiTheme="majorBidi" w:hAnsiTheme="majorBidi" w:cstheme="majorBidi"/>
          <w:spacing w:val="-2"/>
          <w:sz w:val="24"/>
          <w:szCs w:val="24"/>
        </w:rPr>
        <w:t xml:space="preserve"> un</w:t>
      </w:r>
      <w:proofErr w:type="gramEnd"/>
      <w:r w:rsidR="001D5A25" w:rsidRPr="0086536A">
        <w:rPr>
          <w:rFonts w:asciiTheme="majorBidi" w:hAnsiTheme="majorBidi" w:cstheme="majorBidi"/>
          <w:spacing w:val="-2"/>
          <w:sz w:val="24"/>
          <w:szCs w:val="24"/>
        </w:rPr>
        <w:t xml:space="preserve"> financement de </w:t>
      </w:r>
      <w:r w:rsidR="007745D2" w:rsidRPr="0086536A">
        <w:rPr>
          <w:rFonts w:asciiTheme="majorBidi" w:hAnsiTheme="majorBidi" w:cstheme="majorBidi"/>
          <w:spacing w:val="-2"/>
          <w:sz w:val="24"/>
          <w:szCs w:val="24"/>
        </w:rPr>
        <w:t xml:space="preserve">de montant de </w:t>
      </w:r>
      <w:r w:rsidR="001D5A25" w:rsidRPr="0086536A">
        <w:rPr>
          <w:rFonts w:asciiTheme="majorBidi" w:hAnsiTheme="majorBidi" w:cstheme="majorBidi"/>
          <w:spacing w:val="-2"/>
          <w:sz w:val="24"/>
          <w:szCs w:val="24"/>
        </w:rPr>
        <w:t xml:space="preserve">260 000 USD (deux cent soixante mille dollars américains) </w:t>
      </w:r>
      <w:r w:rsidR="007745D2" w:rsidRPr="0086536A">
        <w:rPr>
          <w:rFonts w:asciiTheme="majorBidi" w:hAnsiTheme="majorBidi" w:cstheme="majorBidi"/>
          <w:lang w:val="fr-FR"/>
        </w:rPr>
        <w:t xml:space="preserve">de la Banque Islamique de Développement pour </w:t>
      </w:r>
      <w:proofErr w:type="gramStart"/>
      <w:r w:rsidR="007745D2" w:rsidRPr="0086536A">
        <w:rPr>
          <w:rFonts w:asciiTheme="majorBidi" w:hAnsiTheme="majorBidi" w:cstheme="majorBidi"/>
          <w:lang w:val="fr-FR"/>
        </w:rPr>
        <w:t xml:space="preserve">financer </w:t>
      </w:r>
      <w:r w:rsidR="001D5A25" w:rsidRPr="0086536A">
        <w:rPr>
          <w:rFonts w:asciiTheme="majorBidi" w:hAnsiTheme="majorBidi" w:cstheme="majorBidi"/>
          <w:spacing w:val="-2"/>
          <w:sz w:val="24"/>
          <w:szCs w:val="24"/>
        </w:rPr>
        <w:t xml:space="preserve"> projet</w:t>
      </w:r>
      <w:proofErr w:type="gramEnd"/>
      <w:r w:rsidR="001D5A25" w:rsidRPr="0086536A">
        <w:rPr>
          <w:rFonts w:asciiTheme="majorBidi" w:hAnsiTheme="majorBidi" w:cstheme="majorBidi"/>
          <w:spacing w:val="-2"/>
          <w:sz w:val="24"/>
          <w:szCs w:val="24"/>
        </w:rPr>
        <w:t xml:space="preserve"> intitulé « Subvention en finance islamique à la Banque centrale de Djibouti pour l’élaboration d’une stratégie et d’une feuille de route en matière de finance islamique », visant à développer un écosystème de finance islamique complet et robuste à Djibouti. </w:t>
      </w:r>
    </w:p>
    <w:p w14:paraId="523626D4" w14:textId="506639CA" w:rsidR="001D5A25" w:rsidRPr="0086536A" w:rsidRDefault="005130C3" w:rsidP="00C77F90">
      <w:pPr>
        <w:suppressAutoHyphens/>
        <w:jc w:val="both"/>
        <w:rPr>
          <w:rFonts w:asciiTheme="majorBidi" w:hAnsiTheme="majorBidi" w:cstheme="majorBidi"/>
          <w:spacing w:val="-2"/>
          <w:sz w:val="24"/>
          <w:szCs w:val="24"/>
        </w:rPr>
      </w:pPr>
      <w:r w:rsidRPr="0086536A">
        <w:rPr>
          <w:rFonts w:asciiTheme="majorBidi" w:hAnsiTheme="majorBidi" w:cstheme="majorBidi"/>
          <w:spacing w:val="-2"/>
          <w:sz w:val="24"/>
          <w:szCs w:val="24"/>
        </w:rPr>
        <w:t>Le projet comprendra les composantes suivantes :</w:t>
      </w:r>
    </w:p>
    <w:p w14:paraId="4E4ADA2F" w14:textId="77777777" w:rsidR="00F32B9B" w:rsidRPr="0086536A" w:rsidRDefault="00F32B9B" w:rsidP="00F32B9B">
      <w:pPr>
        <w:pStyle w:val="ListParagraph"/>
        <w:numPr>
          <w:ilvl w:val="0"/>
          <w:numId w:val="27"/>
        </w:numPr>
        <w:tabs>
          <w:tab w:val="left" w:pos="360"/>
        </w:tabs>
        <w:suppressAutoHyphens/>
        <w:spacing w:before="120"/>
        <w:ind w:left="0" w:firstLine="0"/>
        <w:jc w:val="both"/>
        <w:rPr>
          <w:rFonts w:asciiTheme="majorBidi" w:hAnsiTheme="majorBidi" w:cstheme="majorBidi"/>
          <w:spacing w:val="-2"/>
          <w:sz w:val="24"/>
        </w:rPr>
      </w:pPr>
      <w:r w:rsidRPr="0086536A">
        <w:rPr>
          <w:rFonts w:asciiTheme="majorBidi" w:hAnsiTheme="majorBidi" w:cstheme="majorBidi"/>
          <w:spacing w:val="-2"/>
          <w:sz w:val="24"/>
        </w:rPr>
        <w:t xml:space="preserve">Premièrement, le volet « Services de conseil pour la feuille de route et le cadre juridique de la finance islamique » comprendra une évaluation complète de l’écosystème actuel de Djibouti. Cette évaluation portera sur des piliers essentiels tels que la volonté politique, la stratégie nationale et les cadres juridiques, fiscaux et de gouvernance de la charia existants. Ce volet s’attachera spécifiquement à combler les lacunes critiques en matière d’infrastructures, notamment le manque d’outils de gestion des liquidités et d’instruments de fonds de roulement conformes à la charia, tout en explorant comment le Fonds de Garantie de Djibouti peut soutenir les PME et la microfinance islamique. Au-delà de l’évaluation initiale et de l’élaboration d’une feuille de route stratégique, ce volet se concentrera sur la révision de la réglementation bancaire afin de l’aligner sur les meilleures pratiques internationales et sur la mise en place d’un cadre réglementaire entièrement nouveau pour la microfinance islamique et les instruments de finance sociale tels que la zakat, le waqf et le </w:t>
      </w:r>
      <w:proofErr w:type="spellStart"/>
      <w:r w:rsidRPr="0086536A">
        <w:rPr>
          <w:rFonts w:asciiTheme="majorBidi" w:hAnsiTheme="majorBidi" w:cstheme="majorBidi"/>
          <w:spacing w:val="-2"/>
          <w:sz w:val="24"/>
        </w:rPr>
        <w:t>qard</w:t>
      </w:r>
      <w:proofErr w:type="spellEnd"/>
      <w:r w:rsidRPr="0086536A">
        <w:rPr>
          <w:rFonts w:asciiTheme="majorBidi" w:hAnsiTheme="majorBidi" w:cstheme="majorBidi"/>
          <w:spacing w:val="-2"/>
          <w:sz w:val="24"/>
        </w:rPr>
        <w:t xml:space="preserve"> </w:t>
      </w:r>
      <w:proofErr w:type="spellStart"/>
      <w:r w:rsidRPr="0086536A">
        <w:rPr>
          <w:rFonts w:asciiTheme="majorBidi" w:hAnsiTheme="majorBidi" w:cstheme="majorBidi"/>
          <w:spacing w:val="-2"/>
          <w:sz w:val="24"/>
        </w:rPr>
        <w:t>hasan</w:t>
      </w:r>
      <w:proofErr w:type="spellEnd"/>
      <w:r w:rsidRPr="0086536A">
        <w:rPr>
          <w:rFonts w:asciiTheme="majorBidi" w:hAnsiTheme="majorBidi" w:cstheme="majorBidi"/>
          <w:spacing w:val="-2"/>
          <w:sz w:val="24"/>
        </w:rPr>
        <w:t>.</w:t>
      </w:r>
    </w:p>
    <w:p w14:paraId="28A1108C" w14:textId="77777777" w:rsidR="00F32B9B" w:rsidRPr="0086536A" w:rsidRDefault="00F32B9B" w:rsidP="00F32B9B">
      <w:pPr>
        <w:pStyle w:val="ListParagraph"/>
        <w:numPr>
          <w:ilvl w:val="0"/>
          <w:numId w:val="27"/>
        </w:numPr>
        <w:tabs>
          <w:tab w:val="left" w:pos="360"/>
        </w:tabs>
        <w:suppressAutoHyphens/>
        <w:spacing w:before="120"/>
        <w:ind w:left="0" w:firstLine="0"/>
        <w:jc w:val="both"/>
        <w:rPr>
          <w:rFonts w:asciiTheme="majorBidi" w:hAnsiTheme="majorBidi" w:cstheme="majorBidi"/>
          <w:spacing w:val="-2"/>
          <w:sz w:val="24"/>
        </w:rPr>
      </w:pPr>
      <w:r w:rsidRPr="0086536A">
        <w:rPr>
          <w:rFonts w:asciiTheme="majorBidi" w:hAnsiTheme="majorBidi" w:cstheme="majorBidi"/>
          <w:spacing w:val="-2"/>
          <w:sz w:val="24"/>
        </w:rPr>
        <w:t>Deuxièmement, le volet « renforcement des capacités » vise à assurer la pérennité du secteur en améliorant l’expertise technique des professionnels locaux grâce à un modèle de formation de formateurs et à des programmes de perfectionnement spécialisés. Ces activités privilégieront la formation de haut niveau en matière de conformité à la charia, de gestion des risques et de comptabilité, avec une préférence pour les certifications et les normes d’organismes internationaux tels que l’AAOIFI et l’IFSB. Un aspect essentiel de ce volet est la sensibilisation de la communauté juridique, avec la mise en place de formations ciblées pour les avocats et les magistrats afin de garantir leur parfaite maîtrise des spécificités contractuelles et juridiques des instruments financiers islamiques.</w:t>
      </w:r>
    </w:p>
    <w:p w14:paraId="46048BAC" w14:textId="77777777" w:rsidR="00F32B9B" w:rsidRPr="0086536A" w:rsidRDefault="00F32B9B" w:rsidP="00F32B9B">
      <w:pPr>
        <w:pStyle w:val="ListParagraph"/>
        <w:numPr>
          <w:ilvl w:val="0"/>
          <w:numId w:val="27"/>
        </w:numPr>
        <w:tabs>
          <w:tab w:val="left" w:pos="360"/>
        </w:tabs>
        <w:suppressAutoHyphens/>
        <w:spacing w:before="120"/>
        <w:ind w:left="0" w:firstLine="0"/>
        <w:jc w:val="both"/>
        <w:rPr>
          <w:rFonts w:asciiTheme="majorBidi" w:hAnsiTheme="majorBidi" w:cstheme="majorBidi"/>
          <w:spacing w:val="-2"/>
          <w:sz w:val="24"/>
        </w:rPr>
      </w:pPr>
      <w:r w:rsidRPr="0086536A">
        <w:rPr>
          <w:rFonts w:asciiTheme="majorBidi" w:hAnsiTheme="majorBidi" w:cstheme="majorBidi"/>
          <w:spacing w:val="-2"/>
          <w:sz w:val="24"/>
        </w:rPr>
        <w:t xml:space="preserve">Troisièmement, le volet « visites d’étude » facilitera l’échange de connaissances en organisant des visites institutionnelles pour le personnel de la Banque centrale de Djibouti et d’autres acteurs clés auprès d’organismes de réglementation avancés dans des juridictions reconnues en matière de finance islamique. L’objectif de ces visites est d’acquérir une connaissance directe des pratiques de supervision efficaces, d’observer des solutions financières innovantes et de tisser des réseaux internationaux favorisant une collaboration à long terme. En s’appuyant sur les meilleures pratiques mondiales, les autorités réglementaires de Djibouti seront mieux à même de mettre en </w:t>
      </w:r>
      <w:r w:rsidRPr="0086536A">
        <w:rPr>
          <w:rFonts w:asciiTheme="majorBidi" w:hAnsiTheme="majorBidi" w:cstheme="majorBidi"/>
          <w:spacing w:val="-2"/>
          <w:sz w:val="24"/>
        </w:rPr>
        <w:lastRenderedPageBreak/>
        <w:t>œuvre les enseignements tirés et d’affiner le cadre de supervision national afin de soutenir un marché de la finance islamique robuste et compétitif.</w:t>
      </w:r>
    </w:p>
    <w:tbl>
      <w:tblPr>
        <w:tblStyle w:val="TableGrid"/>
        <w:tblW w:w="9209" w:type="dxa"/>
        <w:tblLook w:val="04A0" w:firstRow="1" w:lastRow="0" w:firstColumn="1" w:lastColumn="0" w:noHBand="0" w:noVBand="1"/>
      </w:tblPr>
      <w:tblGrid>
        <w:gridCol w:w="7792"/>
        <w:gridCol w:w="1417"/>
      </w:tblGrid>
      <w:tr w:rsidR="005C5239" w:rsidRPr="0086536A" w14:paraId="0D6500E9" w14:textId="77777777" w:rsidTr="0086536A">
        <w:tc>
          <w:tcPr>
            <w:tcW w:w="7792" w:type="dxa"/>
          </w:tcPr>
          <w:p w14:paraId="64C04B47" w14:textId="3E886A64" w:rsidR="005C5239" w:rsidRPr="0086536A" w:rsidRDefault="005C5239" w:rsidP="0086536A">
            <w:pPr>
              <w:pStyle w:val="Default"/>
              <w:jc w:val="center"/>
              <w:rPr>
                <w:rFonts w:asciiTheme="majorBidi" w:hAnsiTheme="majorBidi" w:cstheme="majorBidi"/>
                <w:szCs w:val="22"/>
              </w:rPr>
            </w:pPr>
            <w:r w:rsidRPr="0086536A">
              <w:rPr>
                <w:rFonts w:asciiTheme="majorBidi" w:hAnsiTheme="majorBidi" w:cstheme="majorBidi"/>
                <w:sz w:val="22"/>
                <w:szCs w:val="22"/>
              </w:rPr>
              <w:t>Activité de Passation des Marches</w:t>
            </w:r>
          </w:p>
        </w:tc>
        <w:tc>
          <w:tcPr>
            <w:tcW w:w="1417" w:type="dxa"/>
          </w:tcPr>
          <w:p w14:paraId="2CF6A6AD" w14:textId="0A19B313" w:rsidR="005C5239" w:rsidRPr="0086536A" w:rsidRDefault="005C5239" w:rsidP="0086536A">
            <w:pPr>
              <w:pStyle w:val="ListParagraph"/>
              <w:tabs>
                <w:tab w:val="left" w:pos="360"/>
              </w:tabs>
              <w:suppressAutoHyphens/>
              <w:spacing w:before="120"/>
              <w:ind w:left="0"/>
              <w:jc w:val="center"/>
              <w:rPr>
                <w:rFonts w:asciiTheme="majorBidi" w:hAnsiTheme="majorBidi" w:cstheme="majorBidi"/>
                <w:spacing w:val="-2"/>
                <w:sz w:val="24"/>
              </w:rPr>
            </w:pPr>
            <w:r w:rsidRPr="0086536A">
              <w:rPr>
                <w:rFonts w:asciiTheme="majorBidi" w:hAnsiTheme="majorBidi" w:cstheme="majorBidi"/>
                <w:spacing w:val="-2"/>
                <w:sz w:val="24"/>
              </w:rPr>
              <w:t>Méthode</w:t>
            </w:r>
          </w:p>
        </w:tc>
      </w:tr>
      <w:tr w:rsidR="005C5239" w:rsidRPr="0086536A" w14:paraId="079D0084" w14:textId="77777777" w:rsidTr="0086536A">
        <w:tc>
          <w:tcPr>
            <w:tcW w:w="7792" w:type="dxa"/>
          </w:tcPr>
          <w:p w14:paraId="20C9D685" w14:textId="02572012" w:rsidR="005C5239" w:rsidRPr="0086536A" w:rsidRDefault="005C5239" w:rsidP="0086536A">
            <w:pPr>
              <w:pStyle w:val="ListParagraph"/>
              <w:tabs>
                <w:tab w:val="left" w:pos="360"/>
              </w:tabs>
              <w:suppressAutoHyphens/>
              <w:spacing w:before="120"/>
              <w:ind w:left="0"/>
              <w:jc w:val="both"/>
              <w:rPr>
                <w:rFonts w:asciiTheme="majorBidi" w:hAnsiTheme="majorBidi" w:cstheme="majorBidi"/>
                <w:spacing w:val="-2"/>
                <w:sz w:val="24"/>
                <w:lang w:val="fr-FR"/>
              </w:rPr>
            </w:pPr>
            <w:r w:rsidRPr="0086536A">
              <w:rPr>
                <w:rFonts w:asciiTheme="majorBidi" w:hAnsiTheme="majorBidi" w:cstheme="majorBidi"/>
                <w:spacing w:val="-2"/>
                <w:sz w:val="24"/>
                <w:lang w:val="fr-FR"/>
              </w:rPr>
              <w:t>Services de Conseil pour la Feuille de Route de la Finance Islamique et le Cadre</w:t>
            </w:r>
          </w:p>
        </w:tc>
        <w:tc>
          <w:tcPr>
            <w:tcW w:w="1417" w:type="dxa"/>
          </w:tcPr>
          <w:p w14:paraId="73A121DD" w14:textId="06790795" w:rsidR="005C5239" w:rsidRPr="0086536A" w:rsidRDefault="002F399E" w:rsidP="0086536A">
            <w:pPr>
              <w:pStyle w:val="ListParagraph"/>
              <w:tabs>
                <w:tab w:val="left" w:pos="360"/>
              </w:tabs>
              <w:suppressAutoHyphens/>
              <w:spacing w:before="120"/>
              <w:ind w:left="0"/>
              <w:jc w:val="center"/>
              <w:rPr>
                <w:rFonts w:asciiTheme="majorBidi" w:hAnsiTheme="majorBidi" w:cstheme="majorBidi"/>
                <w:spacing w:val="-2"/>
                <w:sz w:val="24"/>
              </w:rPr>
            </w:pPr>
            <w:r w:rsidRPr="0086536A">
              <w:rPr>
                <w:rFonts w:asciiTheme="majorBidi" w:hAnsiTheme="majorBidi" w:cstheme="majorBidi"/>
                <w:spacing w:val="-2"/>
                <w:sz w:val="24"/>
                <w:lang w:val="en-US"/>
              </w:rPr>
              <w:t>SCBF</w:t>
            </w:r>
          </w:p>
        </w:tc>
      </w:tr>
    </w:tbl>
    <w:p w14:paraId="034D0DC4" w14:textId="77777777" w:rsidR="002F399E" w:rsidRPr="0086536A" w:rsidRDefault="002F399E" w:rsidP="002F399E">
      <w:pPr>
        <w:spacing w:after="120"/>
        <w:ind w:right="72"/>
        <w:jc w:val="both"/>
        <w:rPr>
          <w:rFonts w:asciiTheme="majorBidi" w:hAnsiTheme="majorBidi" w:cstheme="majorBidi"/>
          <w:b/>
          <w:u w:val="single"/>
          <w:lang w:val="fr-FR"/>
        </w:rPr>
      </w:pPr>
      <w:r w:rsidRPr="0086536A">
        <w:rPr>
          <w:rFonts w:asciiTheme="majorBidi" w:hAnsiTheme="majorBidi" w:cstheme="majorBidi"/>
          <w:b/>
          <w:u w:val="single"/>
          <w:lang w:val="fr-FR"/>
        </w:rPr>
        <w:t>Légende :</w:t>
      </w:r>
    </w:p>
    <w:p w14:paraId="736D20D4" w14:textId="60DB19EA" w:rsidR="002F399E" w:rsidRPr="0086536A" w:rsidRDefault="002F399E" w:rsidP="005C5239">
      <w:pPr>
        <w:ind w:right="72"/>
        <w:jc w:val="both"/>
        <w:rPr>
          <w:rFonts w:asciiTheme="majorBidi" w:hAnsiTheme="majorBidi" w:cstheme="majorBidi"/>
          <w:spacing w:val="-2"/>
          <w:sz w:val="24"/>
        </w:rPr>
      </w:pPr>
      <w:r w:rsidRPr="0086536A">
        <w:rPr>
          <w:rFonts w:asciiTheme="majorBidi" w:hAnsiTheme="majorBidi" w:cstheme="majorBidi"/>
          <w:lang w:val="fr-FR"/>
        </w:rPr>
        <w:t>SBF : Sélection dans le cadre d’un Budget Fixé</w:t>
      </w:r>
      <w:r w:rsidRPr="0086536A">
        <w:rPr>
          <w:rFonts w:asciiTheme="majorBidi" w:hAnsiTheme="majorBidi" w:cstheme="majorBidi"/>
          <w:spacing w:val="-2"/>
          <w:sz w:val="24"/>
        </w:rPr>
        <w:t xml:space="preserve"> /Limitée aux consultants des Pays Membre</w:t>
      </w:r>
    </w:p>
    <w:p w14:paraId="5579B9B2" w14:textId="77777777" w:rsidR="002F399E" w:rsidRPr="0086536A" w:rsidRDefault="002F399E" w:rsidP="005C5239">
      <w:pPr>
        <w:ind w:right="72"/>
        <w:jc w:val="both"/>
        <w:rPr>
          <w:rFonts w:asciiTheme="majorBidi" w:hAnsiTheme="majorBidi" w:cstheme="majorBidi"/>
          <w:lang w:val="fr-FR"/>
        </w:rPr>
      </w:pPr>
    </w:p>
    <w:p w14:paraId="34828EA3" w14:textId="52DDDA87" w:rsidR="00F32B9B" w:rsidRPr="0086536A" w:rsidRDefault="0046696E" w:rsidP="0086536A">
      <w:pPr>
        <w:pStyle w:val="ListParagraph"/>
        <w:numPr>
          <w:ilvl w:val="0"/>
          <w:numId w:val="27"/>
        </w:numPr>
        <w:tabs>
          <w:tab w:val="left" w:pos="360"/>
        </w:tabs>
        <w:suppressAutoHyphens/>
        <w:spacing w:before="120"/>
        <w:ind w:left="0" w:firstLine="0"/>
        <w:jc w:val="both"/>
        <w:rPr>
          <w:rFonts w:asciiTheme="majorBidi" w:hAnsiTheme="majorBidi" w:cstheme="majorBidi"/>
          <w:spacing w:val="-2"/>
          <w:sz w:val="24"/>
        </w:rPr>
      </w:pPr>
      <w:r w:rsidRPr="0086536A">
        <w:rPr>
          <w:rFonts w:asciiTheme="majorBidi" w:hAnsiTheme="majorBidi" w:cstheme="majorBidi"/>
          <w:spacing w:val="-2"/>
          <w:sz w:val="24"/>
        </w:rPr>
        <w:t>Les acquisitions financées par la Banque Islamique de Développement seront effectuées conformément aux Directives pour l’acquisition de Biens, Travaux et services connexes dans le cadre des Projets financés par la Banque Islamique de Développement (édition courante) et sont ouvertes à tous les soumissionnaires éligibles, tels que définis dans ces Directives. Les acquisitions de services de consultants seront effectuées conformément aux Directives pour l’acquisition de Services de Consultants dans le cadre des Projets financés par la Banque Islamique de Développement (édition courante).</w:t>
      </w:r>
      <w:r w:rsidRPr="0086536A">
        <w:rPr>
          <w:spacing w:val="-2"/>
          <w:sz w:val="24"/>
        </w:rPr>
        <w:footnoteReference w:id="1"/>
      </w:r>
      <w:r w:rsidRPr="0086536A">
        <w:rPr>
          <w:rFonts w:asciiTheme="majorBidi" w:hAnsiTheme="majorBidi" w:cstheme="majorBidi"/>
          <w:spacing w:val="-2"/>
          <w:sz w:val="24"/>
        </w:rPr>
        <w:t xml:space="preserve">Les avis spécifiques de passation des marchés pour les acquisitions à effectuer par Appel d’Offres International (AOI) ou Appel d’Offres International réservé aux pays membres (AOI/PM) et les appels à manifestations d’intérêt pour les services de consultants seront publiés au fur et à mesure qu’ils seront disponibles, sur le site internet de la </w:t>
      </w:r>
      <w:proofErr w:type="spellStart"/>
      <w:r w:rsidRPr="0086536A">
        <w:rPr>
          <w:rFonts w:asciiTheme="majorBidi" w:hAnsiTheme="majorBidi" w:cstheme="majorBidi"/>
          <w:spacing w:val="-2"/>
          <w:sz w:val="24"/>
        </w:rPr>
        <w:t>BIsD</w:t>
      </w:r>
      <w:proofErr w:type="spellEnd"/>
      <w:r w:rsidR="005C5239" w:rsidRPr="0086536A">
        <w:rPr>
          <w:rFonts w:asciiTheme="majorBidi" w:hAnsiTheme="majorBidi" w:cstheme="majorBidi"/>
          <w:spacing w:val="-2"/>
          <w:sz w:val="24"/>
        </w:rPr>
        <w:t>.</w:t>
      </w:r>
    </w:p>
    <w:p w14:paraId="5148904D" w14:textId="7B8E93FA" w:rsidR="00B90C4D" w:rsidRPr="0086536A" w:rsidRDefault="00B90C4D" w:rsidP="0086536A">
      <w:pPr>
        <w:pStyle w:val="ListParagraph"/>
        <w:numPr>
          <w:ilvl w:val="0"/>
          <w:numId w:val="27"/>
        </w:numPr>
        <w:tabs>
          <w:tab w:val="left" w:pos="360"/>
        </w:tabs>
        <w:suppressAutoHyphens/>
        <w:spacing w:before="120"/>
        <w:ind w:left="0" w:firstLine="0"/>
        <w:jc w:val="both"/>
        <w:rPr>
          <w:rFonts w:asciiTheme="majorBidi" w:hAnsiTheme="majorBidi" w:cstheme="majorBidi"/>
          <w:spacing w:val="-2"/>
          <w:sz w:val="24"/>
        </w:rPr>
      </w:pPr>
      <w:r w:rsidRPr="0086536A">
        <w:rPr>
          <w:rFonts w:asciiTheme="majorBidi" w:hAnsiTheme="majorBidi" w:cstheme="majorBidi"/>
          <w:spacing w:val="-2"/>
          <w:sz w:val="24"/>
        </w:rPr>
        <w:t>La préqualification de fournisseurs et d’entreprises est prévue pour les marchés ci-après : Sans Objet.</w:t>
      </w:r>
    </w:p>
    <w:p w14:paraId="67D4A87F" w14:textId="77777777" w:rsidR="00B90C4D" w:rsidRPr="0086536A" w:rsidRDefault="00B90C4D" w:rsidP="0086536A">
      <w:pPr>
        <w:pStyle w:val="ListParagraph"/>
        <w:numPr>
          <w:ilvl w:val="0"/>
          <w:numId w:val="27"/>
        </w:numPr>
        <w:tabs>
          <w:tab w:val="left" w:pos="360"/>
        </w:tabs>
        <w:suppressAutoHyphens/>
        <w:spacing w:before="120"/>
        <w:ind w:left="0" w:firstLine="0"/>
        <w:jc w:val="both"/>
        <w:rPr>
          <w:rFonts w:asciiTheme="majorBidi" w:hAnsiTheme="majorBidi" w:cstheme="majorBidi"/>
          <w:spacing w:val="-2"/>
          <w:sz w:val="24"/>
        </w:rPr>
      </w:pPr>
      <w:r w:rsidRPr="0086536A">
        <w:rPr>
          <w:rFonts w:asciiTheme="majorBidi" w:hAnsiTheme="majorBidi" w:cstheme="majorBidi"/>
          <w:spacing w:val="-2"/>
          <w:sz w:val="24"/>
        </w:rPr>
        <w:t>Les candidats intéressés et éligibles, qui souhaitent être considérés pour la fourniture de biens, travaux et services de consultants pour le projet, ou qui désirent obtenir des informations additionnelles, sont invités à contacter le Bénéficiaire à l’adresse ci-dessous:</w:t>
      </w:r>
    </w:p>
    <w:p w14:paraId="41BF9AA3" w14:textId="77777777" w:rsidR="00B90C4D" w:rsidRPr="0086536A" w:rsidRDefault="00B90C4D" w:rsidP="0072266F">
      <w:pPr>
        <w:suppressAutoHyphens/>
        <w:spacing w:before="120" w:after="120"/>
        <w:jc w:val="both"/>
        <w:rPr>
          <w:rFonts w:asciiTheme="majorBidi" w:hAnsiTheme="majorBidi" w:cstheme="majorBidi"/>
          <w:spacing w:val="-2"/>
          <w:sz w:val="24"/>
          <w:szCs w:val="24"/>
          <w:lang w:val="fr-FR"/>
        </w:rPr>
      </w:pPr>
    </w:p>
    <w:p w14:paraId="658590FB" w14:textId="77777777" w:rsidR="0072266F" w:rsidRPr="0086536A" w:rsidRDefault="0072266F" w:rsidP="0072266F">
      <w:pPr>
        <w:spacing w:before="360"/>
        <w:ind w:right="202"/>
        <w:jc w:val="both"/>
        <w:rPr>
          <w:rFonts w:asciiTheme="majorBidi" w:hAnsiTheme="majorBidi" w:cstheme="majorBidi"/>
          <w:b/>
          <w:bCs/>
          <w:spacing w:val="-2"/>
          <w:sz w:val="24"/>
        </w:rPr>
      </w:pPr>
      <w:r w:rsidRPr="0086536A">
        <w:rPr>
          <w:rFonts w:asciiTheme="majorBidi" w:hAnsiTheme="majorBidi" w:cstheme="majorBidi"/>
          <w:b/>
          <w:bCs/>
          <w:spacing w:val="-2"/>
          <w:sz w:val="24"/>
        </w:rPr>
        <w:t>L'INSTITUT DE LA BANQUE ISLAMIQUE DE DÉVELOPPEMENT</w:t>
      </w:r>
    </w:p>
    <w:p w14:paraId="5017DC4D" w14:textId="77777777" w:rsidR="0072266F" w:rsidRPr="0086536A" w:rsidRDefault="0072266F" w:rsidP="0072266F">
      <w:pPr>
        <w:suppressAutoHyphens/>
        <w:jc w:val="both"/>
        <w:rPr>
          <w:rFonts w:asciiTheme="majorBidi" w:eastAsia="Calibri" w:hAnsiTheme="majorBidi" w:cstheme="majorBidi"/>
          <w:spacing w:val="-2"/>
          <w:sz w:val="24"/>
          <w:szCs w:val="22"/>
        </w:rPr>
      </w:pPr>
      <w:r w:rsidRPr="0086536A">
        <w:rPr>
          <w:rFonts w:asciiTheme="majorBidi" w:eastAsia="Calibri" w:hAnsiTheme="majorBidi" w:cstheme="majorBidi"/>
          <w:spacing w:val="-2"/>
          <w:sz w:val="24"/>
          <w:szCs w:val="22"/>
        </w:rPr>
        <w:t>L'Institut de la Banque islamique de développement</w:t>
      </w:r>
    </w:p>
    <w:p w14:paraId="3E6B5E20" w14:textId="77777777" w:rsidR="0072266F" w:rsidRPr="0086536A" w:rsidRDefault="0072266F" w:rsidP="0072266F">
      <w:pPr>
        <w:ind w:right="202"/>
        <w:jc w:val="both"/>
        <w:rPr>
          <w:rFonts w:asciiTheme="majorBidi" w:hAnsiTheme="majorBidi" w:cstheme="majorBidi"/>
          <w:spacing w:val="-2"/>
          <w:sz w:val="24"/>
        </w:rPr>
      </w:pPr>
      <w:r w:rsidRPr="0086536A">
        <w:rPr>
          <w:rFonts w:asciiTheme="majorBidi" w:eastAsia="Calibri" w:hAnsiTheme="majorBidi" w:cstheme="majorBidi"/>
          <w:spacing w:val="-2"/>
          <w:sz w:val="24"/>
          <w:szCs w:val="22"/>
        </w:rPr>
        <w:t xml:space="preserve">Courriel : </w:t>
      </w:r>
      <w:hyperlink r:id="rId9" w:history="1">
        <w:r w:rsidRPr="0086536A">
          <w:rPr>
            <w:rStyle w:val="Hyperlink"/>
            <w:rFonts w:asciiTheme="majorBidi" w:eastAsia="Calibri" w:hAnsiTheme="majorBidi" w:cstheme="majorBidi"/>
            <w:spacing w:val="-2"/>
            <w:sz w:val="24"/>
            <w:szCs w:val="22"/>
          </w:rPr>
          <w:t>cp.isdbi@isdb.org</w:t>
        </w:r>
      </w:hyperlink>
      <w:r w:rsidRPr="0086536A">
        <w:rPr>
          <w:rFonts w:asciiTheme="majorBidi" w:eastAsia="Calibri" w:hAnsiTheme="majorBidi" w:cstheme="majorBidi"/>
          <w:spacing w:val="-2"/>
          <w:sz w:val="24"/>
          <w:szCs w:val="22"/>
        </w:rPr>
        <w:t xml:space="preserve"> </w:t>
      </w:r>
      <w:r w:rsidRPr="0086536A">
        <w:rPr>
          <w:rFonts w:asciiTheme="majorBidi" w:hAnsiTheme="majorBidi" w:cstheme="majorBidi"/>
          <w:spacing w:val="-2"/>
          <w:sz w:val="24"/>
        </w:rPr>
        <w:t xml:space="preserve"> </w:t>
      </w:r>
    </w:p>
    <w:p w14:paraId="6777AD01" w14:textId="1E51BEB9" w:rsidR="00993D12" w:rsidRPr="0086536A" w:rsidRDefault="00993D12" w:rsidP="0072266F">
      <w:pPr>
        <w:pStyle w:val="NormalWeb"/>
        <w:spacing w:before="120" w:beforeAutospacing="0" w:after="120" w:afterAutospacing="0"/>
        <w:rPr>
          <w:rFonts w:asciiTheme="majorBidi" w:hAnsiTheme="majorBidi" w:cstheme="majorBidi"/>
          <w:szCs w:val="22"/>
          <w:lang w:val="en-GB"/>
        </w:rPr>
      </w:pPr>
    </w:p>
    <w:sectPr w:rsidR="00993D12" w:rsidRPr="0086536A" w:rsidSect="00B7377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39" w:code="9"/>
      <w:pgMar w:top="1800" w:right="1467" w:bottom="1620" w:left="1260" w:header="426"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3122" w14:textId="77777777" w:rsidR="00865183" w:rsidRDefault="00865183">
      <w:r>
        <w:separator/>
      </w:r>
    </w:p>
  </w:endnote>
  <w:endnote w:type="continuationSeparator" w:id="0">
    <w:p w14:paraId="79E1A56A" w14:textId="77777777" w:rsidR="00865183" w:rsidRDefault="00865183">
      <w:r>
        <w:rPr>
          <w:sz w:val="24"/>
        </w:rPr>
        <w:t xml:space="preserve"> </w:t>
      </w:r>
    </w:p>
  </w:endnote>
  <w:endnote w:type="continuationNotice" w:id="1">
    <w:p w14:paraId="1F92DCDF" w14:textId="77777777" w:rsidR="00865183" w:rsidRDefault="0086518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CD99" w14:textId="77777777" w:rsidR="009C70C0" w:rsidRDefault="009C7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38A1" w14:textId="77777777" w:rsidR="009C70C0" w:rsidRDefault="009C7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A313" w14:textId="77777777" w:rsidR="009C70C0" w:rsidRDefault="009C7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9082" w14:textId="77777777" w:rsidR="00865183" w:rsidRDefault="00865183">
      <w:r>
        <w:rPr>
          <w:sz w:val="24"/>
        </w:rPr>
        <w:separator/>
      </w:r>
    </w:p>
  </w:footnote>
  <w:footnote w:type="continuationSeparator" w:id="0">
    <w:p w14:paraId="2D0E0344" w14:textId="77777777" w:rsidR="00865183" w:rsidRDefault="00865183">
      <w:r>
        <w:continuationSeparator/>
      </w:r>
    </w:p>
  </w:footnote>
  <w:footnote w:id="1">
    <w:p w14:paraId="3DDDD2BB" w14:textId="23ECE2B8" w:rsidR="0046696E" w:rsidRPr="00F938D9" w:rsidRDefault="0046696E" w:rsidP="0046696E">
      <w:pPr>
        <w:pStyle w:val="FootnoteTex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2E54" w14:textId="07DAD703" w:rsidR="00BC7634" w:rsidRDefault="00BC7634">
    <w:pPr>
      <w:pStyle w:val="Header"/>
    </w:pPr>
    <w:r>
      <w:rPr>
        <w:noProof/>
      </w:rPr>
      <mc:AlternateContent>
        <mc:Choice Requires="wps">
          <w:drawing>
            <wp:anchor distT="0" distB="0" distL="114300" distR="114300" simplePos="0" relativeHeight="251660288" behindDoc="0" locked="0" layoutInCell="0" allowOverlap="1" wp14:anchorId="717744A3" wp14:editId="2E13B8FA">
              <wp:simplePos x="0" y="0"/>
              <wp:positionH relativeFrom="page">
                <wp:posOffset>0</wp:posOffset>
              </wp:positionH>
              <wp:positionV relativeFrom="page">
                <wp:posOffset>190500</wp:posOffset>
              </wp:positionV>
              <wp:extent cx="7560945" cy="273050"/>
              <wp:effectExtent l="0" t="0" r="0" b="12700"/>
              <wp:wrapNone/>
              <wp:docPr id="2" name="MSIPCM4ee3484dbc0faa3324c6fafa" descr="{&quot;HashCode&quot;:-1813103172,&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37EBC" w14:textId="49CCC560" w:rsidR="00BC7634" w:rsidRPr="00BC7634" w:rsidRDefault="00BC7634" w:rsidP="00BC7634">
                          <w:pPr>
                            <w:rPr>
                              <w:rFonts w:ascii="Calibri" w:hAnsi="Calibri" w:cs="Calibri"/>
                              <w:color w:val="000000"/>
                              <w:sz w:val="20"/>
                            </w:rPr>
                          </w:pPr>
                          <w:proofErr w:type="spellStart"/>
                          <w:r w:rsidRPr="00BC7634">
                            <w:rPr>
                              <w:rFonts w:ascii="Calibri" w:hAnsi="Calibri" w:cs="Calibri"/>
                              <w:color w:val="000000"/>
                              <w:sz w:val="20"/>
                            </w:rPr>
                            <w:t>Protected</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17744A3" id="_x0000_t202" coordsize="21600,21600" o:spt="202" path="m,l,21600r21600,l21600,xe">
              <v:stroke joinstyle="miter"/>
              <v:path gradientshapeok="t" o:connecttype="rect"/>
            </v:shapetype>
            <v:shape id="MSIPCM4ee3484dbc0faa3324c6fafa" o:spid="_x0000_s1026" type="#_x0000_t202" alt="{&quot;HashCode&quot;:-1813103172,&quot;Height&quot;:841.0,&quot;Width&quot;:595.0,&quot;Placement&quot;:&quot;Header&quot;,&quot;Index&quot;:&quot;OddAndEven&quot;,&quot;Section&quot;:1,&quot;Top&quot;:0.0,&quot;Left&quot;:0.0}" style="position:absolute;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" o:allowincell="f" filled="f" stroked="f" strokeweight=".5pt">
              <v:textbox inset="20pt,0,,0">
                <w:txbxContent>
                  <w:p w14:paraId="47237EBC" w14:textId="49CCC560" w:rsidR="00BC7634" w:rsidRPr="00BC7634" w:rsidRDefault="00BC7634" w:rsidP="00BC7634">
                    <w:pPr>
                      <w:rPr>
                        <w:rFonts w:ascii="Calibri" w:hAnsi="Calibri" w:cs="Calibri"/>
                        <w:color w:val="000000"/>
                        <w:sz w:val="20"/>
                      </w:rPr>
                    </w:pPr>
                    <w:proofErr w:type="spellStart"/>
                    <w:r w:rsidRPr="00BC7634">
                      <w:rPr>
                        <w:rFonts w:ascii="Calibri" w:hAnsi="Calibri" w:cs="Calibri"/>
                        <w:color w:val="000000"/>
                        <w:sz w:val="20"/>
                      </w:rPr>
                      <w:t>Protected</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9A20" w14:textId="77777777" w:rsidR="009C70C0" w:rsidRDefault="009C70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EAAF" w14:textId="77777777" w:rsidR="009C70C0" w:rsidRDefault="009C7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1D8A9E"/>
    <w:multiLevelType w:val="hybridMultilevel"/>
    <w:tmpl w:val="FFFFFFFF"/>
    <w:lvl w:ilvl="0" w:tplc="FFFFFFFF">
      <w:start w:val="1"/>
      <w:numFmt w:val="ideographDigital"/>
      <w:lvlText w:val=""/>
      <w:lvlJc w:val="left"/>
    </w:lvl>
    <w:lvl w:ilvl="1" w:tplc="F467F39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C43B0"/>
    <w:multiLevelType w:val="hybridMultilevel"/>
    <w:tmpl w:val="CF08217A"/>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510707E"/>
    <w:multiLevelType w:val="hybridMultilevel"/>
    <w:tmpl w:val="BDD4F6F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072D0A14"/>
    <w:multiLevelType w:val="hybridMultilevel"/>
    <w:tmpl w:val="C2B403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719A8"/>
    <w:multiLevelType w:val="hybridMultilevel"/>
    <w:tmpl w:val="DBBC44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A068E1"/>
    <w:multiLevelType w:val="hybridMultilevel"/>
    <w:tmpl w:val="9580B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C347C"/>
    <w:multiLevelType w:val="hybridMultilevel"/>
    <w:tmpl w:val="62D86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54125"/>
    <w:multiLevelType w:val="hybridMultilevel"/>
    <w:tmpl w:val="EF56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4DC1"/>
    <w:multiLevelType w:val="hybridMultilevel"/>
    <w:tmpl w:val="6F08181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6370D9"/>
    <w:multiLevelType w:val="hybridMultilevel"/>
    <w:tmpl w:val="E7F093F8"/>
    <w:lvl w:ilvl="0" w:tplc="04090001">
      <w:start w:val="1"/>
      <w:numFmt w:val="bullet"/>
      <w:lvlText w:val=""/>
      <w:lvlJc w:val="left"/>
      <w:pPr>
        <w:ind w:left="39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E4147"/>
    <w:multiLevelType w:val="hybridMultilevel"/>
    <w:tmpl w:val="13BC90C0"/>
    <w:lvl w:ilvl="0" w:tplc="837CB63C">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8A6EA1"/>
    <w:multiLevelType w:val="hybridMultilevel"/>
    <w:tmpl w:val="D4928FB8"/>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620A01"/>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717FD"/>
    <w:multiLevelType w:val="hybridMultilevel"/>
    <w:tmpl w:val="1654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0582D"/>
    <w:multiLevelType w:val="hybridMultilevel"/>
    <w:tmpl w:val="FC3C4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7B2C51"/>
    <w:multiLevelType w:val="hybridMultilevel"/>
    <w:tmpl w:val="FFFFFFFF"/>
    <w:lvl w:ilvl="0" w:tplc="FFFFFFFF">
      <w:start w:val="1"/>
      <w:numFmt w:val="ideographDigital"/>
      <w:lvlText w:val=""/>
      <w:lvlJc w:val="left"/>
    </w:lvl>
    <w:lvl w:ilvl="1" w:tplc="E9ADD4C3">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6CE1B12"/>
    <w:multiLevelType w:val="hybridMultilevel"/>
    <w:tmpl w:val="4C26A9B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4B5503"/>
    <w:multiLevelType w:val="hybridMultilevel"/>
    <w:tmpl w:val="4B6E4AE8"/>
    <w:lvl w:ilvl="0" w:tplc="63729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B97AD8"/>
    <w:multiLevelType w:val="hybridMultilevel"/>
    <w:tmpl w:val="ED58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22354"/>
    <w:multiLevelType w:val="hybridMultilevel"/>
    <w:tmpl w:val="052A5BC2"/>
    <w:lvl w:ilvl="0" w:tplc="0A20AEB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C100A5"/>
    <w:multiLevelType w:val="hybridMultilevel"/>
    <w:tmpl w:val="E7BEF076"/>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5FB53D8"/>
    <w:multiLevelType w:val="hybridMultilevel"/>
    <w:tmpl w:val="B6B4C1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02549F"/>
    <w:multiLevelType w:val="hybridMultilevel"/>
    <w:tmpl w:val="472CBB3E"/>
    <w:lvl w:ilvl="0" w:tplc="E658589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56919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D8E0527"/>
    <w:multiLevelType w:val="hybridMultilevel"/>
    <w:tmpl w:val="A10C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D1A3D"/>
    <w:multiLevelType w:val="hybridMultilevel"/>
    <w:tmpl w:val="B0424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6C1A70"/>
    <w:multiLevelType w:val="hybridMultilevel"/>
    <w:tmpl w:val="383A6E80"/>
    <w:lvl w:ilvl="0" w:tplc="91A25D5E">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319149">
    <w:abstractNumId w:val="12"/>
  </w:num>
  <w:num w:numId="2" w16cid:durableId="793406557">
    <w:abstractNumId w:val="16"/>
  </w:num>
  <w:num w:numId="3" w16cid:durableId="55981859">
    <w:abstractNumId w:val="10"/>
  </w:num>
  <w:num w:numId="4" w16cid:durableId="1549754977">
    <w:abstractNumId w:val="20"/>
  </w:num>
  <w:num w:numId="5" w16cid:durableId="529493172">
    <w:abstractNumId w:val="11"/>
  </w:num>
  <w:num w:numId="6" w16cid:durableId="1665014975">
    <w:abstractNumId w:val="1"/>
  </w:num>
  <w:num w:numId="7" w16cid:durableId="1569682505">
    <w:abstractNumId w:val="4"/>
  </w:num>
  <w:num w:numId="8" w16cid:durableId="1203244881">
    <w:abstractNumId w:val="13"/>
  </w:num>
  <w:num w:numId="9" w16cid:durableId="141893788">
    <w:abstractNumId w:val="6"/>
  </w:num>
  <w:num w:numId="10" w16cid:durableId="814949958">
    <w:abstractNumId w:val="24"/>
  </w:num>
  <w:num w:numId="11" w16cid:durableId="2137789615">
    <w:abstractNumId w:val="17"/>
  </w:num>
  <w:num w:numId="12" w16cid:durableId="417486243">
    <w:abstractNumId w:val="22"/>
  </w:num>
  <w:num w:numId="13" w16cid:durableId="1363285810">
    <w:abstractNumId w:val="5"/>
  </w:num>
  <w:num w:numId="14" w16cid:durableId="337773538">
    <w:abstractNumId w:val="8"/>
  </w:num>
  <w:num w:numId="15" w16cid:durableId="1030297400">
    <w:abstractNumId w:val="25"/>
  </w:num>
  <w:num w:numId="16" w16cid:durableId="910624933">
    <w:abstractNumId w:val="21"/>
  </w:num>
  <w:num w:numId="17" w16cid:durableId="1267616660">
    <w:abstractNumId w:val="14"/>
  </w:num>
  <w:num w:numId="18" w16cid:durableId="270204954">
    <w:abstractNumId w:val="3"/>
  </w:num>
  <w:num w:numId="19" w16cid:durableId="2137678250">
    <w:abstractNumId w:val="19"/>
  </w:num>
  <w:num w:numId="20" w16cid:durableId="354427469">
    <w:abstractNumId w:val="0"/>
  </w:num>
  <w:num w:numId="21" w16cid:durableId="1953899250">
    <w:abstractNumId w:val="26"/>
  </w:num>
  <w:num w:numId="22" w16cid:durableId="596641499">
    <w:abstractNumId w:val="7"/>
  </w:num>
  <w:num w:numId="23" w16cid:durableId="1785031394">
    <w:abstractNumId w:val="23"/>
  </w:num>
  <w:num w:numId="24" w16cid:durableId="2146464894">
    <w:abstractNumId w:val="15"/>
  </w:num>
  <w:num w:numId="25" w16cid:durableId="1349478173">
    <w:abstractNumId w:val="2"/>
  </w:num>
  <w:num w:numId="26" w16cid:durableId="1476993134">
    <w:abstractNumId w:val="18"/>
  </w:num>
  <w:num w:numId="27" w16cid:durableId="9375603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10"/>
  <w:displayHorizontalDrawingGridEvery w:val="0"/>
  <w:displayVerticalDrawingGridEvery w:val="0"/>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WxMDEwNjc0sTQ2NTRS0lEKTi0uzszPAykwrAUAW23AKiwAAAA="/>
  </w:docVars>
  <w:rsids>
    <w:rsidRoot w:val="005130C3"/>
    <w:rsid w:val="00010CC7"/>
    <w:rsid w:val="0001394F"/>
    <w:rsid w:val="0002016D"/>
    <w:rsid w:val="00037F1C"/>
    <w:rsid w:val="00044EC8"/>
    <w:rsid w:val="0006245D"/>
    <w:rsid w:val="00065B77"/>
    <w:rsid w:val="000672E7"/>
    <w:rsid w:val="00073C60"/>
    <w:rsid w:val="00074584"/>
    <w:rsid w:val="00075437"/>
    <w:rsid w:val="0008270C"/>
    <w:rsid w:val="0008329E"/>
    <w:rsid w:val="0008577E"/>
    <w:rsid w:val="00087A5D"/>
    <w:rsid w:val="0009213A"/>
    <w:rsid w:val="000B3C65"/>
    <w:rsid w:val="000D0B4C"/>
    <w:rsid w:val="000F4D9A"/>
    <w:rsid w:val="0010171D"/>
    <w:rsid w:val="0013206D"/>
    <w:rsid w:val="00154662"/>
    <w:rsid w:val="00170CC1"/>
    <w:rsid w:val="001744B5"/>
    <w:rsid w:val="00190C88"/>
    <w:rsid w:val="001942C9"/>
    <w:rsid w:val="001B15ED"/>
    <w:rsid w:val="001B38AC"/>
    <w:rsid w:val="001B53B8"/>
    <w:rsid w:val="001D5A25"/>
    <w:rsid w:val="001E54F1"/>
    <w:rsid w:val="001F4D12"/>
    <w:rsid w:val="001F65C4"/>
    <w:rsid w:val="00210083"/>
    <w:rsid w:val="00216103"/>
    <w:rsid w:val="0022166A"/>
    <w:rsid w:val="00233A25"/>
    <w:rsid w:val="002378BD"/>
    <w:rsid w:val="00240153"/>
    <w:rsid w:val="00240380"/>
    <w:rsid w:val="002438DB"/>
    <w:rsid w:val="002449A0"/>
    <w:rsid w:val="002C5423"/>
    <w:rsid w:val="002E0F29"/>
    <w:rsid w:val="002F399E"/>
    <w:rsid w:val="00313A6E"/>
    <w:rsid w:val="00322FC3"/>
    <w:rsid w:val="0032427B"/>
    <w:rsid w:val="0033717F"/>
    <w:rsid w:val="00343FB8"/>
    <w:rsid w:val="00345D46"/>
    <w:rsid w:val="00347B31"/>
    <w:rsid w:val="00355457"/>
    <w:rsid w:val="003818BD"/>
    <w:rsid w:val="003A3B2B"/>
    <w:rsid w:val="003B360E"/>
    <w:rsid w:val="003C4E2F"/>
    <w:rsid w:val="003E42BF"/>
    <w:rsid w:val="003F5CF1"/>
    <w:rsid w:val="004078C4"/>
    <w:rsid w:val="00410A67"/>
    <w:rsid w:val="00411482"/>
    <w:rsid w:val="00440F14"/>
    <w:rsid w:val="00446758"/>
    <w:rsid w:val="00450D33"/>
    <w:rsid w:val="00456400"/>
    <w:rsid w:val="00457B5D"/>
    <w:rsid w:val="0046696E"/>
    <w:rsid w:val="00472074"/>
    <w:rsid w:val="004A5F59"/>
    <w:rsid w:val="004B5098"/>
    <w:rsid w:val="004C417A"/>
    <w:rsid w:val="004F2409"/>
    <w:rsid w:val="004F6CA8"/>
    <w:rsid w:val="00506CEE"/>
    <w:rsid w:val="005130C3"/>
    <w:rsid w:val="00514999"/>
    <w:rsid w:val="00515A19"/>
    <w:rsid w:val="0055476E"/>
    <w:rsid w:val="00557532"/>
    <w:rsid w:val="00565A9F"/>
    <w:rsid w:val="0057318D"/>
    <w:rsid w:val="005800E4"/>
    <w:rsid w:val="0058450F"/>
    <w:rsid w:val="00591E90"/>
    <w:rsid w:val="00594D25"/>
    <w:rsid w:val="00596C54"/>
    <w:rsid w:val="005C4E63"/>
    <w:rsid w:val="005C5239"/>
    <w:rsid w:val="005C7504"/>
    <w:rsid w:val="005D1F6B"/>
    <w:rsid w:val="005D2032"/>
    <w:rsid w:val="005D5F34"/>
    <w:rsid w:val="005E0060"/>
    <w:rsid w:val="005E3E0B"/>
    <w:rsid w:val="005F40FB"/>
    <w:rsid w:val="0060370A"/>
    <w:rsid w:val="00603DF3"/>
    <w:rsid w:val="00606DA8"/>
    <w:rsid w:val="00623851"/>
    <w:rsid w:val="00626210"/>
    <w:rsid w:val="00633BF6"/>
    <w:rsid w:val="006402EA"/>
    <w:rsid w:val="00645A79"/>
    <w:rsid w:val="0065085F"/>
    <w:rsid w:val="00677A84"/>
    <w:rsid w:val="006913C3"/>
    <w:rsid w:val="00693295"/>
    <w:rsid w:val="0069701F"/>
    <w:rsid w:val="006C61FF"/>
    <w:rsid w:val="006C780E"/>
    <w:rsid w:val="006D1046"/>
    <w:rsid w:val="006D57D2"/>
    <w:rsid w:val="006E45CD"/>
    <w:rsid w:val="006E59FA"/>
    <w:rsid w:val="006E6B8C"/>
    <w:rsid w:val="006F77EA"/>
    <w:rsid w:val="00704CF8"/>
    <w:rsid w:val="0071170D"/>
    <w:rsid w:val="0072266F"/>
    <w:rsid w:val="007279C8"/>
    <w:rsid w:val="007360B0"/>
    <w:rsid w:val="00737AC3"/>
    <w:rsid w:val="00752F0A"/>
    <w:rsid w:val="007553C5"/>
    <w:rsid w:val="00772158"/>
    <w:rsid w:val="007745D2"/>
    <w:rsid w:val="007757C0"/>
    <w:rsid w:val="00784716"/>
    <w:rsid w:val="00790458"/>
    <w:rsid w:val="007A56B0"/>
    <w:rsid w:val="007B2DE3"/>
    <w:rsid w:val="007B7103"/>
    <w:rsid w:val="007B7260"/>
    <w:rsid w:val="007C347A"/>
    <w:rsid w:val="007C4348"/>
    <w:rsid w:val="007D23F5"/>
    <w:rsid w:val="007F2386"/>
    <w:rsid w:val="00811900"/>
    <w:rsid w:val="0081297F"/>
    <w:rsid w:val="008268E8"/>
    <w:rsid w:val="00837EB4"/>
    <w:rsid w:val="00846B37"/>
    <w:rsid w:val="00865183"/>
    <w:rsid w:val="0086536A"/>
    <w:rsid w:val="008C6246"/>
    <w:rsid w:val="008E0D64"/>
    <w:rsid w:val="008E47FB"/>
    <w:rsid w:val="008F5118"/>
    <w:rsid w:val="008F7EA6"/>
    <w:rsid w:val="00901160"/>
    <w:rsid w:val="009063C5"/>
    <w:rsid w:val="00914FD7"/>
    <w:rsid w:val="00920788"/>
    <w:rsid w:val="00924F5F"/>
    <w:rsid w:val="00944DFB"/>
    <w:rsid w:val="009462BF"/>
    <w:rsid w:val="00947C01"/>
    <w:rsid w:val="009810B5"/>
    <w:rsid w:val="0098196D"/>
    <w:rsid w:val="00981DC0"/>
    <w:rsid w:val="00984F94"/>
    <w:rsid w:val="009865B1"/>
    <w:rsid w:val="00990DAA"/>
    <w:rsid w:val="00992143"/>
    <w:rsid w:val="00993D12"/>
    <w:rsid w:val="00996FE5"/>
    <w:rsid w:val="009B43B4"/>
    <w:rsid w:val="009C70C0"/>
    <w:rsid w:val="009D3B89"/>
    <w:rsid w:val="009E4E88"/>
    <w:rsid w:val="009E7C2D"/>
    <w:rsid w:val="009F23EC"/>
    <w:rsid w:val="009F73C4"/>
    <w:rsid w:val="00A018BE"/>
    <w:rsid w:val="00A07D64"/>
    <w:rsid w:val="00A2771A"/>
    <w:rsid w:val="00A35CA3"/>
    <w:rsid w:val="00A37740"/>
    <w:rsid w:val="00A54B9D"/>
    <w:rsid w:val="00A6563A"/>
    <w:rsid w:val="00A903DD"/>
    <w:rsid w:val="00A9210D"/>
    <w:rsid w:val="00A92C92"/>
    <w:rsid w:val="00A93FAE"/>
    <w:rsid w:val="00A94FE4"/>
    <w:rsid w:val="00AB6B93"/>
    <w:rsid w:val="00AC3470"/>
    <w:rsid w:val="00AC6856"/>
    <w:rsid w:val="00AD6056"/>
    <w:rsid w:val="00B058DD"/>
    <w:rsid w:val="00B30A52"/>
    <w:rsid w:val="00B37961"/>
    <w:rsid w:val="00B460BE"/>
    <w:rsid w:val="00B46EB0"/>
    <w:rsid w:val="00B575C1"/>
    <w:rsid w:val="00B57DAB"/>
    <w:rsid w:val="00B7377C"/>
    <w:rsid w:val="00B90C4D"/>
    <w:rsid w:val="00B96F14"/>
    <w:rsid w:val="00BC50C6"/>
    <w:rsid w:val="00BC7634"/>
    <w:rsid w:val="00BD33E3"/>
    <w:rsid w:val="00BE58D4"/>
    <w:rsid w:val="00BF37E5"/>
    <w:rsid w:val="00BF7E7D"/>
    <w:rsid w:val="00C12FE6"/>
    <w:rsid w:val="00C17D6D"/>
    <w:rsid w:val="00C408EE"/>
    <w:rsid w:val="00C5550F"/>
    <w:rsid w:val="00C76660"/>
    <w:rsid w:val="00C77F90"/>
    <w:rsid w:val="00C87D46"/>
    <w:rsid w:val="00CC78F9"/>
    <w:rsid w:val="00CE06DB"/>
    <w:rsid w:val="00CF1A04"/>
    <w:rsid w:val="00D04375"/>
    <w:rsid w:val="00D3162E"/>
    <w:rsid w:val="00D40631"/>
    <w:rsid w:val="00D52227"/>
    <w:rsid w:val="00D628D6"/>
    <w:rsid w:val="00D7277A"/>
    <w:rsid w:val="00D82CE0"/>
    <w:rsid w:val="00D879CE"/>
    <w:rsid w:val="00D9176D"/>
    <w:rsid w:val="00D95C2C"/>
    <w:rsid w:val="00D96FC4"/>
    <w:rsid w:val="00DA036C"/>
    <w:rsid w:val="00DB4804"/>
    <w:rsid w:val="00DB5377"/>
    <w:rsid w:val="00DB62EA"/>
    <w:rsid w:val="00DB68FA"/>
    <w:rsid w:val="00DB78F4"/>
    <w:rsid w:val="00DE017B"/>
    <w:rsid w:val="00DF62EB"/>
    <w:rsid w:val="00DF64D6"/>
    <w:rsid w:val="00E03FA9"/>
    <w:rsid w:val="00E1795B"/>
    <w:rsid w:val="00E25868"/>
    <w:rsid w:val="00E327FB"/>
    <w:rsid w:val="00E360E7"/>
    <w:rsid w:val="00E5160F"/>
    <w:rsid w:val="00E531CB"/>
    <w:rsid w:val="00E5358B"/>
    <w:rsid w:val="00E55D5C"/>
    <w:rsid w:val="00E574FD"/>
    <w:rsid w:val="00E60E0F"/>
    <w:rsid w:val="00E612DE"/>
    <w:rsid w:val="00E6438E"/>
    <w:rsid w:val="00E706F3"/>
    <w:rsid w:val="00E7375D"/>
    <w:rsid w:val="00E95D93"/>
    <w:rsid w:val="00E97D7C"/>
    <w:rsid w:val="00EA3994"/>
    <w:rsid w:val="00EA5CB0"/>
    <w:rsid w:val="00EB4709"/>
    <w:rsid w:val="00EC4BD3"/>
    <w:rsid w:val="00EC7758"/>
    <w:rsid w:val="00ED4FC3"/>
    <w:rsid w:val="00EF369A"/>
    <w:rsid w:val="00F0555B"/>
    <w:rsid w:val="00F211CB"/>
    <w:rsid w:val="00F26132"/>
    <w:rsid w:val="00F32B9B"/>
    <w:rsid w:val="00F33018"/>
    <w:rsid w:val="00F50C13"/>
    <w:rsid w:val="00F5133B"/>
    <w:rsid w:val="00F57864"/>
    <w:rsid w:val="00F646EA"/>
    <w:rsid w:val="00F822DF"/>
    <w:rsid w:val="00F83572"/>
    <w:rsid w:val="00FC249B"/>
    <w:rsid w:val="00FC6C8B"/>
    <w:rsid w:val="00FE439A"/>
    <w:rsid w:val="00FE71AA"/>
    <w:rsid w:val="00FF65D2"/>
    <w:rsid w:val="7257D6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48545"/>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2"/>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style>
  <w:style w:type="paragraph" w:customStyle="1" w:styleId="ChapterNumber">
    <w:name w:val="ChapterNumber"/>
    <w:pPr>
      <w:tabs>
        <w:tab w:val="left" w:pos="-720"/>
      </w:tabs>
      <w:suppressAutoHyphens/>
    </w:pPr>
    <w:rPr>
      <w:rFonts w:ascii="CG Times" w:hAnsi="CG Times"/>
      <w:sz w:val="22"/>
    </w:rPr>
  </w:style>
  <w:style w:type="paragraph" w:styleId="Footer">
    <w:name w:val="footer"/>
    <w:basedOn w:val="Normal"/>
    <w:pPr>
      <w:tabs>
        <w:tab w:val="left" w:pos="360"/>
        <w:tab w:val="right" w:pos="9000"/>
      </w:tabs>
      <w:suppressAutoHyphens/>
    </w:pPr>
  </w:style>
  <w:style w:type="character" w:styleId="FootnoteReference">
    <w:name w:val="footnote reference"/>
    <w:rPr>
      <w:rFonts w:ascii="CG Times" w:hAnsi="CG Times"/>
      <w:noProof w:val="0"/>
      <w:sz w:val="22"/>
      <w:vertAlign w:val="superscript"/>
      <w:lang w:val="fr"/>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ADB"/>
    <w:basedOn w:val="Normal"/>
    <w:link w:val="FootnoteTextChar"/>
    <w:qFormat/>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style>
  <w:style w:type="paragraph" w:styleId="NormalIndent">
    <w:name w:val="Normal Indent"/>
    <w:basedOn w:val="Normal"/>
    <w:pPr>
      <w:tabs>
        <w:tab w:val="left" w:pos="-720"/>
      </w:tabs>
      <w:suppressAutoHyphens/>
    </w:pPr>
  </w:style>
  <w:style w:type="paragraph" w:customStyle="1" w:styleId="TextBox">
    <w:name w:val="Text Box"/>
    <w:pPr>
      <w:keepNext/>
      <w:keepLines/>
      <w:tabs>
        <w:tab w:val="left" w:pos="-720"/>
      </w:tabs>
      <w:suppressAutoHyphens/>
      <w:jc w:val="both"/>
    </w:pPr>
    <w:rPr>
      <w:spacing w:val="-2"/>
      <w:sz w:val="22"/>
    </w:rPr>
  </w:style>
  <w:style w:type="paragraph" w:customStyle="1" w:styleId="TextBoxdots">
    <w:name w:val="Text Box (dots)"/>
    <w:pPr>
      <w:keepNext/>
      <w:keepLines/>
      <w:tabs>
        <w:tab w:val="left" w:pos="-720"/>
      </w:tabs>
      <w:suppressAutoHyphens/>
      <w:jc w:val="both"/>
    </w:pPr>
    <w:rPr>
      <w:spacing w:val="-2"/>
      <w:sz w:val="22"/>
    </w:rPr>
  </w:style>
  <w:style w:type="paragraph" w:customStyle="1" w:styleId="TextBoxFramed">
    <w:name w:val="Text Box Framed"/>
    <w:pPr>
      <w:keepNext/>
      <w:keepLines/>
      <w:tabs>
        <w:tab w:val="left" w:pos="-720"/>
      </w:tabs>
      <w:suppressAutoHyphens/>
    </w:pPr>
    <w:rPr>
      <w:sz w:val="22"/>
    </w:rPr>
  </w:style>
  <w:style w:type="paragraph" w:customStyle="1" w:styleId="TextBoxUnframed">
    <w:name w:val="Text Box Unframed"/>
    <w:pPr>
      <w:keepNext/>
      <w:keepLines/>
      <w:tabs>
        <w:tab w:val="left" w:pos="-720"/>
      </w:tabs>
      <w:suppressAutoHyphens/>
    </w:pPr>
    <w:rPr>
      <w:sz w:val="22"/>
    </w:rPr>
  </w:style>
  <w:style w:type="paragraph" w:customStyle="1" w:styleId="TOC11">
    <w:name w:val="TOC 11"/>
    <w:pPr>
      <w:tabs>
        <w:tab w:val="left" w:pos="360"/>
      </w:tabs>
      <w:suppressAutoHyphens/>
    </w:pPr>
    <w:rPr>
      <w:rFonts w:ascii="CG Times" w:hAnsi="CG Times"/>
      <w:smallCaps/>
      <w:sz w:val="22"/>
    </w:r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customStyle="1" w:styleId="BankNormal">
    <w:name w:val="BankNormal"/>
    <w:pPr>
      <w:tabs>
        <w:tab w:val="left" w:pos="-720"/>
      </w:tabs>
      <w:suppressAutoHyphens/>
    </w:pPr>
    <w:rPr>
      <w:rFonts w:ascii="CG Times" w:hAnsi="CG Times"/>
      <w:sz w:val="22"/>
    </w:rPr>
  </w:style>
  <w:style w:type="paragraph" w:customStyle="1" w:styleId="Heading1a">
    <w:name w:val="Heading 1a"/>
    <w:pPr>
      <w:keepNext/>
      <w:keepLines/>
      <w:tabs>
        <w:tab w:val="left" w:pos="-720"/>
      </w:tabs>
      <w:suppressAutoHyphens/>
      <w:jc w:val="center"/>
    </w:pPr>
    <w:rPr>
      <w:b/>
      <w:smallCaps/>
      <w:sz w:val="32"/>
    </w:r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EndnoteText">
    <w:name w:val="endnote text"/>
    <w:basedOn w:val="Normal"/>
    <w:semiHidden/>
    <w:pPr>
      <w:tabs>
        <w:tab w:val="left" w:pos="-720"/>
      </w:tabs>
      <w:suppressAutoHyphens/>
    </w:pPr>
    <w:rPr>
      <w:rFonts w:ascii="Times New Roman" w:hAnsi="Times New Roman"/>
      <w:sz w:val="20"/>
    </w:rPr>
  </w:style>
  <w:style w:type="character" w:styleId="EndnoteReference">
    <w:name w:val="endnote reference"/>
    <w:semiHidden/>
    <w:rPr>
      <w:rFonts w:ascii="CG Times" w:hAnsi="CG Times"/>
      <w:noProof w:val="0"/>
      <w:sz w:val="22"/>
      <w:vertAlign w:val="superscript"/>
      <w:lang w:val="fr"/>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suppressAutoHyphens/>
    </w:pPr>
    <w:rPr>
      <w:spacing w:val="-2"/>
      <w:sz w:val="24"/>
    </w:rPr>
  </w:style>
  <w:style w:type="character" w:styleId="Hyperlink">
    <w:name w:val="Hyperlink"/>
    <w:rPr>
      <w:color w:val="0000FF"/>
      <w:u w:val="single"/>
    </w:rPr>
  </w:style>
  <w:style w:type="paragraph" w:styleId="BalloonText">
    <w:name w:val="Balloon Text"/>
    <w:basedOn w:val="Normal"/>
    <w:semiHidden/>
    <w:rsid w:val="005130C3"/>
    <w:rPr>
      <w:rFonts w:ascii="Tahoma" w:hAnsi="Tahoma" w:cs="Tahoma"/>
      <w:sz w:val="16"/>
      <w:szCs w:val="16"/>
    </w:rPr>
  </w:style>
  <w:style w:type="character" w:customStyle="1" w:styleId="BodyTextChar">
    <w:name w:val="Body Text Char"/>
    <w:link w:val="BodyText"/>
    <w:rsid w:val="005F40FB"/>
    <w:rPr>
      <w:rFonts w:ascii="CG Times" w:hAnsi="CG Times"/>
      <w:spacing w:val="-2"/>
      <w:sz w:val="24"/>
    </w:rPr>
  </w:style>
  <w:style w:type="paragraph" w:styleId="ListParagraph">
    <w:name w:val="List Paragraph"/>
    <w:aliases w:val="Citation List,본문(내용),List Paragraph (numbered (a)),List Paragraph2,Text,References,سرد الفقرات,Bullets,Liste 1,Numbered List Paragraph,ReferencesCxSpLast,Medium Grid 1 - Accent 21,List Paragraph nowy,Paragraphe  revu,Paragraphe de liste1"/>
    <w:basedOn w:val="Normal"/>
    <w:link w:val="ListParagraphChar"/>
    <w:uiPriority w:val="34"/>
    <w:qFormat/>
    <w:rsid w:val="009865B1"/>
    <w:pPr>
      <w:spacing w:after="120" w:line="264" w:lineRule="auto"/>
      <w:ind w:left="720"/>
      <w:contextualSpacing/>
    </w:pPr>
    <w:rPr>
      <w:rFonts w:asciiTheme="minorHAnsi" w:eastAsiaTheme="minorEastAsia" w:hAnsiTheme="minorHAnsi" w:cstheme="minorBidi"/>
      <w:sz w:val="20"/>
    </w:rPr>
  </w:style>
  <w:style w:type="character" w:customStyle="1" w:styleId="ListParagraphChar">
    <w:name w:val="List Paragraph Char"/>
    <w:aliases w:val="Citation List Char,본문(내용) Char,List Paragraph (numbered (a)) Char,List Paragraph2 Char,Text Char,References Char,سرد الفقرات Char,Bullets Char,Liste 1 Char,Numbered List Paragraph Char,ReferencesCxSpLast Char,List Paragraph nowy Char"/>
    <w:basedOn w:val="DefaultParagraphFont"/>
    <w:link w:val="ListParagraph"/>
    <w:uiPriority w:val="34"/>
    <w:qFormat/>
    <w:rsid w:val="009865B1"/>
    <w:rPr>
      <w:rFonts w:asciiTheme="minorHAnsi" w:eastAsiaTheme="minorEastAsia" w:hAnsiTheme="minorHAnsi" w:cstheme="minorBidi"/>
      <w:lang w:val="fr"/>
    </w:rPr>
  </w:style>
  <w:style w:type="character" w:styleId="UnresolvedMention">
    <w:name w:val="Unresolved Mention"/>
    <w:basedOn w:val="DefaultParagraphFont"/>
    <w:uiPriority w:val="99"/>
    <w:semiHidden/>
    <w:unhideWhenUsed/>
    <w:rsid w:val="00AD6056"/>
    <w:rPr>
      <w:color w:val="605E5C"/>
      <w:shd w:val="clear" w:color="auto" w:fill="E1DFDD"/>
    </w:rPr>
  </w:style>
  <w:style w:type="character" w:styleId="CommentReference">
    <w:name w:val="annotation reference"/>
    <w:basedOn w:val="DefaultParagraphFont"/>
    <w:semiHidden/>
    <w:unhideWhenUsed/>
    <w:rsid w:val="00F26132"/>
    <w:rPr>
      <w:sz w:val="16"/>
      <w:szCs w:val="16"/>
    </w:rPr>
  </w:style>
  <w:style w:type="paragraph" w:styleId="CommentText">
    <w:name w:val="annotation text"/>
    <w:basedOn w:val="Normal"/>
    <w:link w:val="CommentTextChar"/>
    <w:unhideWhenUsed/>
    <w:rsid w:val="00F26132"/>
    <w:rPr>
      <w:sz w:val="20"/>
    </w:rPr>
  </w:style>
  <w:style w:type="character" w:customStyle="1" w:styleId="CommentTextChar">
    <w:name w:val="Comment Text Char"/>
    <w:basedOn w:val="DefaultParagraphFont"/>
    <w:link w:val="CommentText"/>
    <w:rsid w:val="00F26132"/>
    <w:rPr>
      <w:rFonts w:ascii="CG Times" w:hAnsi="CG Times"/>
    </w:rPr>
  </w:style>
  <w:style w:type="paragraph" w:styleId="CommentSubject">
    <w:name w:val="annotation subject"/>
    <w:basedOn w:val="CommentText"/>
    <w:next w:val="CommentText"/>
    <w:link w:val="CommentSubjectChar"/>
    <w:semiHidden/>
    <w:unhideWhenUsed/>
    <w:rsid w:val="00F26132"/>
    <w:rPr>
      <w:b/>
      <w:bCs/>
    </w:rPr>
  </w:style>
  <w:style w:type="character" w:customStyle="1" w:styleId="CommentSubjectChar">
    <w:name w:val="Comment Subject Char"/>
    <w:basedOn w:val="CommentTextChar"/>
    <w:link w:val="CommentSubject"/>
    <w:semiHidden/>
    <w:rsid w:val="00F26132"/>
    <w:rPr>
      <w:rFonts w:ascii="CG Times" w:hAnsi="CG Times"/>
      <w:b/>
      <w:bCs/>
    </w:rPr>
  </w:style>
  <w:style w:type="paragraph" w:styleId="Revision">
    <w:name w:val="Revision"/>
    <w:hidden/>
    <w:uiPriority w:val="99"/>
    <w:semiHidden/>
    <w:rsid w:val="00AC6856"/>
    <w:rPr>
      <w:rFonts w:ascii="CG Times" w:hAnsi="CG Times"/>
      <w:sz w:val="22"/>
    </w:rPr>
  </w:style>
  <w:style w:type="paragraph" w:styleId="NormalWeb">
    <w:name w:val="Normal (Web)"/>
    <w:basedOn w:val="Normal"/>
    <w:uiPriority w:val="99"/>
    <w:unhideWhenUsed/>
    <w:rsid w:val="00993D1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93D12"/>
    <w:rPr>
      <w:b/>
      <w:bCs/>
    </w:rPr>
  </w:style>
  <w:style w:type="paragraph" w:customStyle="1" w:styleId="Default">
    <w:name w:val="Default"/>
    <w:rsid w:val="00E7375D"/>
    <w:pPr>
      <w:autoSpaceDE w:val="0"/>
      <w:autoSpaceDN w:val="0"/>
      <w:adjustRightInd w:val="0"/>
    </w:pPr>
    <w:rPr>
      <w:rFonts w:ascii="Roboto" w:hAnsi="Roboto" w:cs="Roboto"/>
      <w:color w:val="000000"/>
      <w:sz w:val="24"/>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6696E"/>
  </w:style>
  <w:style w:type="table" w:styleId="TableGrid">
    <w:name w:val="Table Grid"/>
    <w:basedOn w:val="TableNormal"/>
    <w:rsid w:val="00466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89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p.isdbi@isdb.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isl xmlns:xsd="http://www.w3.org/2001/XMLSchema" xmlns:xsi="http://www.w3.org/2001/XMLSchema-instance" xmlns="http://www.boldonjames.com/2008/01/sie/internal/label" sislVersion="0" policy="23f1e015-8920-4bb7-a279-5015379871f4" origin="userSelected"/>
</file>

<file path=customXml/itemProps1.xml><?xml version="1.0" encoding="utf-8"?>
<ds:datastoreItem xmlns:ds="http://schemas.openxmlformats.org/officeDocument/2006/customXml" ds:itemID="{7FB88C14-9115-4AE5-B46D-326BCBDB9F23}">
  <ds:schemaRefs>
    <ds:schemaRef ds:uri="http://schemas.openxmlformats.org/officeDocument/2006/bibliography"/>
  </ds:schemaRefs>
</ds:datastoreItem>
</file>

<file path=customXml/itemProps2.xml><?xml version="1.0" encoding="utf-8"?>
<ds:datastoreItem xmlns:ds="http://schemas.openxmlformats.org/officeDocument/2006/customXml" ds:itemID="{C9F93742-263A-497D-8FE9-B2F8ECB7521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776</Words>
  <Characters>4486</Characters>
  <Application>Microsoft Office Word</Application>
  <DocSecurity>0</DocSecurity>
  <Lines>69</Lines>
  <Paragraphs>27</Paragraphs>
  <ScaleCrop>false</ScaleCrop>
  <HeadingPairs>
    <vt:vector size="2" baseType="variant">
      <vt:variant>
        <vt:lpstr>Title</vt:lpstr>
      </vt:variant>
      <vt:variant>
        <vt:i4>1</vt:i4>
      </vt:variant>
    </vt:vector>
  </HeadingPairs>
  <TitlesOfParts>
    <vt:vector size="1" baseType="lpstr">
      <vt:lpstr>GPN</vt:lpstr>
    </vt:vector>
  </TitlesOfParts>
  <Company>The World Bank</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GPN</dc:title>
  <dc:creator>mehmet</dc:creator>
  <cp:keywords>procurement, GPN, IDB</cp:keywords>
  <cp:lastModifiedBy>Mehmet Fehmi Eken</cp:lastModifiedBy>
  <cp:revision>5</cp:revision>
  <cp:lastPrinted>2009-03-05T06:40:00Z</cp:lastPrinted>
  <dcterms:created xsi:type="dcterms:W3CDTF">2026-02-23T17:42:00Z</dcterms:created>
  <dcterms:modified xsi:type="dcterms:W3CDTF">2026-02-24T10:58:00Z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4adf7-25a7-4f52-a61a-df7190f1d881_Enabled">
    <vt:lpwstr>true</vt:lpwstr>
  </property>
  <property fmtid="{D5CDD505-2E9C-101B-9397-08002B2CF9AE}" pid="3" name="MSIP_Label_9ef4adf7-25a7-4f52-a61a-df7190f1d881_SetDate">
    <vt:lpwstr>2023-05-02T08:04:49Z</vt:lpwstr>
  </property>
  <property fmtid="{D5CDD505-2E9C-101B-9397-08002B2CF9AE}" pid="4" name="MSIP_Label_9ef4adf7-25a7-4f52-a61a-df7190f1d881_Method">
    <vt:lpwstr>Standard</vt:lpwstr>
  </property>
  <property fmtid="{D5CDD505-2E9C-101B-9397-08002B2CF9AE}" pid="5" name="MSIP_Label_9ef4adf7-25a7-4f52-a61a-df7190f1d881_Name">
    <vt:lpwstr>Category C - Protected</vt:lpwstr>
  </property>
  <property fmtid="{D5CDD505-2E9C-101B-9397-08002B2CF9AE}" pid="6" name="MSIP_Label_9ef4adf7-25a7-4f52-a61a-df7190f1d881_SiteId">
    <vt:lpwstr>8fa69c26-409d-43e5-973c-17a8be1a7f35</vt:lpwstr>
  </property>
  <property fmtid="{D5CDD505-2E9C-101B-9397-08002B2CF9AE}" pid="7" name="MSIP_Label_9ef4adf7-25a7-4f52-a61a-df7190f1d881_ActionId">
    <vt:lpwstr>83dda9f1-fb1f-43fe-99c4-137a66823b3e</vt:lpwstr>
  </property>
  <property fmtid="{D5CDD505-2E9C-101B-9397-08002B2CF9AE}" pid="8" name="MSIP_Label_9ef4adf7-25a7-4f52-a61a-df7190f1d881_ContentBits">
    <vt:lpwstr>1</vt:lpwstr>
  </property>
  <property fmtid="{D5CDD505-2E9C-101B-9397-08002B2CF9AE}" pid="9" name="GrammarlyDocumentId">
    <vt:lpwstr>9f5e949f8ed1ac25b002043970577e051d12d274550ae4fbf071c677038c3c37</vt:lpwstr>
  </property>
  <property fmtid="{D5CDD505-2E9C-101B-9397-08002B2CF9AE}" pid="10" name="docIndexRef">
    <vt:lpwstr>4fc4dc5b-3000-4e7e-a766-15c62b27ee31</vt:lpwstr>
  </property>
  <property fmtid="{D5CDD505-2E9C-101B-9397-08002B2CF9AE}" pid="11" name="bjSaver">
    <vt:lpwstr>2y47z9CQ30YQtWyeMs0GHoOfBY8vxNFD</vt:lpwstr>
  </property>
  <property fmtid="{D5CDD505-2E9C-101B-9397-08002B2CF9AE}" pid="12" name="bjDocumentSecurityLabel">
    <vt:lpwstr>This item has no classification</vt:lpwstr>
  </property>
  <property fmtid="{D5CDD505-2E9C-101B-9397-08002B2CF9AE}" pid="13" name="bjClsUserRVM">
    <vt:lpwstr>[]</vt:lpwstr>
  </property>
</Properties>
</file>