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C530D" w14:textId="20BA68A7" w:rsidR="00463081" w:rsidRPr="00FE0311" w:rsidRDefault="00463081" w:rsidP="00463081">
      <w:pPr>
        <w:spacing w:after="0" w:line="240" w:lineRule="auto"/>
        <w:jc w:val="center"/>
        <w:rPr>
          <w:rFonts w:asciiTheme="majorBidi" w:hAnsiTheme="majorBidi" w:cstheme="majorBidi"/>
          <w:b/>
          <w:bCs/>
          <w:sz w:val="24"/>
          <w:szCs w:val="24"/>
        </w:rPr>
      </w:pPr>
      <w:r w:rsidRPr="00E92ABC">
        <w:rPr>
          <w:rFonts w:asciiTheme="majorBidi" w:hAnsiTheme="majorBidi" w:cstheme="majorBidi"/>
          <w:b/>
          <w:bCs/>
          <w:sz w:val="28"/>
          <w:szCs w:val="28"/>
        </w:rPr>
        <w:t>Annex-1- Terms of Reference</w:t>
      </w:r>
    </w:p>
    <w:p w14:paraId="26CB071F" w14:textId="77777777" w:rsidR="00463081" w:rsidRDefault="00463081" w:rsidP="00463081">
      <w:pPr>
        <w:pStyle w:val="Heading1"/>
        <w:rPr>
          <w:rFonts w:asciiTheme="minorHAnsi" w:hAnsiTheme="minorHAnsi" w:cstheme="minorHAnsi"/>
          <w:sz w:val="24"/>
          <w:szCs w:val="24"/>
          <w:lang w:eastAsia="en-GB"/>
        </w:rPr>
      </w:pPr>
      <w:r w:rsidRPr="000C6B35">
        <w:rPr>
          <w:rFonts w:asciiTheme="minorHAnsi" w:hAnsiTheme="minorHAnsi" w:cstheme="minorHAnsi"/>
          <w:sz w:val="24"/>
          <w:szCs w:val="24"/>
          <w:lang w:eastAsia="en-GB"/>
        </w:rPr>
        <w:t>Objectives</w:t>
      </w:r>
      <w:r>
        <w:rPr>
          <w:rFonts w:asciiTheme="minorHAnsi" w:hAnsiTheme="minorHAnsi" w:cstheme="minorHAnsi"/>
          <w:sz w:val="24"/>
          <w:szCs w:val="24"/>
          <w:lang w:eastAsia="en-GB"/>
        </w:rPr>
        <w:t xml:space="preserve"> of the Technical Assistance mission</w:t>
      </w:r>
      <w:r w:rsidRPr="000C6B35">
        <w:rPr>
          <w:rFonts w:asciiTheme="minorHAnsi" w:hAnsiTheme="minorHAnsi" w:cstheme="minorHAnsi"/>
          <w:sz w:val="24"/>
          <w:szCs w:val="24"/>
          <w:lang w:eastAsia="en-GB"/>
        </w:rPr>
        <w:t>:</w:t>
      </w:r>
    </w:p>
    <w:p w14:paraId="55DCEB3B" w14:textId="77777777" w:rsidR="00463081" w:rsidRDefault="00463081" w:rsidP="00463081">
      <w:pPr>
        <w:rPr>
          <w:lang w:val="en-GB" w:eastAsia="en-GB"/>
        </w:rPr>
      </w:pPr>
      <w:r w:rsidRPr="00F46019">
        <w:rPr>
          <w:lang w:val="en-GB" w:eastAsia="en-GB"/>
        </w:rPr>
        <w:t>The primary objective of this technical assistance is to assist BAM in setting up an information system for the supervision and regulation of Financial Supervised Institutions including participation banks. Specifically, t</w:t>
      </w:r>
      <w:r>
        <w:rPr>
          <w:lang w:val="en-GB" w:eastAsia="en-GB"/>
        </w:rPr>
        <w:t>his TA</w:t>
      </w:r>
      <w:r w:rsidRPr="00F46019">
        <w:rPr>
          <w:lang w:val="en-GB" w:eastAsia="en-GB"/>
        </w:rPr>
        <w:t xml:space="preserve"> aims to:</w:t>
      </w:r>
    </w:p>
    <w:p w14:paraId="17390E67" w14:textId="0C326BA8" w:rsidR="00463081" w:rsidRPr="00F46019" w:rsidRDefault="00463081" w:rsidP="00463081">
      <w:pPr>
        <w:pStyle w:val="ListParagraph"/>
        <w:numPr>
          <w:ilvl w:val="0"/>
          <w:numId w:val="2"/>
        </w:numPr>
        <w:spacing w:after="160" w:line="259" w:lineRule="auto"/>
        <w:rPr>
          <w:lang w:val="en-GB" w:eastAsia="en-GB"/>
        </w:rPr>
      </w:pPr>
      <w:bookmarkStart w:id="0" w:name="_Hlk168552692"/>
      <w:r w:rsidRPr="00F46019">
        <w:rPr>
          <w:lang w:val="en-GB" w:eastAsia="en-GB"/>
        </w:rPr>
        <w:t>Redesign and optimize the regulatory reporting of the banking system, including specific reports for participation banks</w:t>
      </w:r>
      <w:r>
        <w:rPr>
          <w:lang w:val="en-GB" w:eastAsia="en-GB"/>
        </w:rPr>
        <w:t xml:space="preserve"> </w:t>
      </w:r>
      <w:bookmarkEnd w:id="0"/>
      <w:r w:rsidRPr="006A3537">
        <w:rPr>
          <w:i/>
          <w:iCs/>
          <w:lang w:val="en-GB" w:eastAsia="en-GB"/>
        </w:rPr>
        <w:t xml:space="preserve">(cf. Annex </w:t>
      </w:r>
      <w:r w:rsidR="00672A8E">
        <w:rPr>
          <w:i/>
          <w:iCs/>
          <w:lang w:val="en-GB" w:eastAsia="en-GB"/>
        </w:rPr>
        <w:t>1.</w:t>
      </w:r>
      <w:r w:rsidRPr="006A3537">
        <w:rPr>
          <w:i/>
          <w:iCs/>
          <w:lang w:val="en-GB" w:eastAsia="en-GB"/>
        </w:rPr>
        <w:t>4 Examples of Current Regulatory Reporting).</w:t>
      </w:r>
    </w:p>
    <w:p w14:paraId="6FFFAA91" w14:textId="77777777" w:rsidR="00463081" w:rsidRDefault="00463081" w:rsidP="00463081">
      <w:pPr>
        <w:pStyle w:val="ListParagraph"/>
        <w:numPr>
          <w:ilvl w:val="0"/>
          <w:numId w:val="2"/>
        </w:numPr>
        <w:spacing w:after="160" w:line="259" w:lineRule="auto"/>
        <w:rPr>
          <w:lang w:val="en-GB" w:eastAsia="en-GB"/>
        </w:rPr>
      </w:pPr>
      <w:r w:rsidRPr="00F46019">
        <w:rPr>
          <w:lang w:val="en-GB" w:eastAsia="en-GB"/>
        </w:rPr>
        <w:t>Provide change management support, including communication, training, and skill transfer to internal BAM teams and reporting entities.</w:t>
      </w:r>
    </w:p>
    <w:p w14:paraId="3E3F67E7" w14:textId="77777777" w:rsidR="00463081" w:rsidRDefault="00463081" w:rsidP="00463081">
      <w:pPr>
        <w:pStyle w:val="Heading1"/>
        <w:rPr>
          <w:rFonts w:asciiTheme="minorHAnsi" w:hAnsiTheme="minorHAnsi" w:cstheme="minorHAnsi"/>
          <w:sz w:val="24"/>
          <w:szCs w:val="24"/>
        </w:rPr>
      </w:pPr>
      <w:r w:rsidRPr="000C6B35">
        <w:rPr>
          <w:rFonts w:asciiTheme="minorHAnsi" w:hAnsiTheme="minorHAnsi" w:cstheme="minorHAnsi"/>
          <w:sz w:val="24"/>
          <w:szCs w:val="24"/>
        </w:rPr>
        <w:t>Scope of Work:</w:t>
      </w:r>
    </w:p>
    <w:p w14:paraId="2181D0A0" w14:textId="77777777" w:rsidR="00463081" w:rsidRDefault="00463081" w:rsidP="00463081">
      <w:pPr>
        <w:rPr>
          <w:lang w:val="en-GB"/>
        </w:rPr>
      </w:pPr>
      <w:r w:rsidRPr="00F46019">
        <w:rPr>
          <w:lang w:val="en-GB"/>
        </w:rPr>
        <w:t xml:space="preserve">The </w:t>
      </w:r>
      <w:r>
        <w:rPr>
          <w:lang w:val="en-GB"/>
        </w:rPr>
        <w:t>consultants</w:t>
      </w:r>
      <w:r w:rsidRPr="00F46019">
        <w:rPr>
          <w:lang w:val="en-GB"/>
        </w:rPr>
        <w:t xml:space="preserve"> will be responsible for the following tasks:</w:t>
      </w:r>
    </w:p>
    <w:p w14:paraId="0C2D5D73" w14:textId="77777777" w:rsidR="00463081" w:rsidRDefault="00463081" w:rsidP="00463081">
      <w:pPr>
        <w:pStyle w:val="ListParagraph"/>
        <w:numPr>
          <w:ilvl w:val="0"/>
          <w:numId w:val="3"/>
        </w:numPr>
        <w:spacing w:after="160" w:line="259" w:lineRule="auto"/>
        <w:rPr>
          <w:b/>
          <w:bCs/>
          <w:lang w:val="en-GB" w:eastAsia="en-GB"/>
        </w:rPr>
      </w:pPr>
      <w:r w:rsidRPr="00F46019">
        <w:rPr>
          <w:b/>
          <w:bCs/>
          <w:lang w:val="en-GB" w:eastAsia="en-GB"/>
        </w:rPr>
        <w:t>Regulatory reporting Consulting Services:</w:t>
      </w:r>
    </w:p>
    <w:p w14:paraId="4366B7A7" w14:textId="77777777" w:rsidR="00463081" w:rsidRPr="00F46019" w:rsidRDefault="00463081" w:rsidP="00463081">
      <w:pPr>
        <w:pStyle w:val="ListParagraph"/>
        <w:rPr>
          <w:b/>
          <w:bCs/>
          <w:lang w:val="en-GB" w:eastAsia="en-GB"/>
        </w:rPr>
      </w:pPr>
    </w:p>
    <w:p w14:paraId="56A06852" w14:textId="77777777" w:rsidR="00463081" w:rsidRPr="00F46019" w:rsidRDefault="00463081" w:rsidP="00463081">
      <w:pPr>
        <w:pStyle w:val="ListParagraph"/>
        <w:numPr>
          <w:ilvl w:val="0"/>
          <w:numId w:val="1"/>
        </w:numPr>
        <w:spacing w:after="160" w:line="259" w:lineRule="auto"/>
      </w:pPr>
      <w:r w:rsidRPr="00F46019">
        <w:t xml:space="preserve">Carefully review the current </w:t>
      </w:r>
      <w:r>
        <w:t xml:space="preserve">regulatory </w:t>
      </w:r>
      <w:r w:rsidRPr="00F46019">
        <w:t>reporting and attentively listen to the expectations and needs of BAM and credit institutions.</w:t>
      </w:r>
    </w:p>
    <w:p w14:paraId="62CEE5C8" w14:textId="77777777" w:rsidR="00463081" w:rsidRPr="002013E1" w:rsidRDefault="00463081" w:rsidP="00463081">
      <w:pPr>
        <w:pStyle w:val="ListParagraph"/>
        <w:numPr>
          <w:ilvl w:val="0"/>
          <w:numId w:val="1"/>
        </w:numPr>
        <w:spacing w:after="160" w:line="259" w:lineRule="auto"/>
      </w:pPr>
      <w:r w:rsidRPr="002013E1">
        <w:t>Thoughtfully develop the regulatory reporting system based on the insights gained from the assessment, primarily focusing on reducing the reporting burden on credit institutions by simplifying data templates and formats and enhancing data quality and consistency through the implementation of robust validation and processing rules.</w:t>
      </w:r>
    </w:p>
    <w:p w14:paraId="06EC27D1" w14:textId="77777777" w:rsidR="00463081" w:rsidRPr="00F46019" w:rsidRDefault="00463081" w:rsidP="00463081">
      <w:pPr>
        <w:pStyle w:val="ListParagraph"/>
        <w:numPr>
          <w:ilvl w:val="0"/>
          <w:numId w:val="1"/>
        </w:numPr>
        <w:spacing w:after="160" w:line="259" w:lineRule="auto"/>
      </w:pPr>
      <w:r w:rsidRPr="00F46019">
        <w:t>Meticulously produce prudential reporting statements</w:t>
      </w:r>
      <w:r>
        <w:t xml:space="preserve"> including</w:t>
      </w:r>
      <w:r w:rsidRPr="00F46019">
        <w:t xml:space="preserve"> for participatory finance.</w:t>
      </w:r>
    </w:p>
    <w:p w14:paraId="2CC02DEE" w14:textId="77777777" w:rsidR="00463081" w:rsidRPr="00F46019" w:rsidRDefault="00463081" w:rsidP="00463081">
      <w:pPr>
        <w:pStyle w:val="ListParagraph"/>
        <w:numPr>
          <w:ilvl w:val="0"/>
          <w:numId w:val="1"/>
        </w:numPr>
        <w:spacing w:after="160" w:line="259" w:lineRule="auto"/>
      </w:pPr>
      <w:r w:rsidRPr="00F46019">
        <w:t>Thoroughly elaborate documentation of the statements and reports to facilitate computer coding.</w:t>
      </w:r>
    </w:p>
    <w:p w14:paraId="63AED55B" w14:textId="77777777" w:rsidR="00463081" w:rsidRDefault="00463081" w:rsidP="00463081">
      <w:pPr>
        <w:pStyle w:val="ListParagraph"/>
        <w:numPr>
          <w:ilvl w:val="0"/>
          <w:numId w:val="1"/>
        </w:numPr>
        <w:spacing w:after="160" w:line="259" w:lineRule="auto"/>
      </w:pPr>
      <w:r w:rsidRPr="00F46019">
        <w:t>Provide well-considered recommendations in the form of a methodological guide for managing future reporting developments.</w:t>
      </w:r>
    </w:p>
    <w:p w14:paraId="453BF25A" w14:textId="77777777" w:rsidR="00463081" w:rsidRDefault="00463081" w:rsidP="00463081">
      <w:pPr>
        <w:pStyle w:val="ListParagraph"/>
      </w:pPr>
    </w:p>
    <w:p w14:paraId="70E14BC4" w14:textId="77777777" w:rsidR="00463081" w:rsidRDefault="00463081" w:rsidP="00463081">
      <w:pPr>
        <w:pStyle w:val="ListParagraph"/>
        <w:numPr>
          <w:ilvl w:val="0"/>
          <w:numId w:val="3"/>
        </w:numPr>
        <w:spacing w:after="160" w:line="259" w:lineRule="auto"/>
        <w:rPr>
          <w:b/>
          <w:bCs/>
          <w:lang w:val="en-GB" w:eastAsia="en-GB"/>
        </w:rPr>
      </w:pPr>
      <w:r w:rsidRPr="00F75FB5">
        <w:rPr>
          <w:b/>
          <w:bCs/>
          <w:lang w:val="en-GB" w:eastAsia="en-GB"/>
        </w:rPr>
        <w:t>Change Management:</w:t>
      </w:r>
    </w:p>
    <w:p w14:paraId="0E248AED" w14:textId="77777777" w:rsidR="00463081" w:rsidRPr="00F75FB5" w:rsidRDefault="00463081" w:rsidP="00463081">
      <w:pPr>
        <w:pStyle w:val="ListParagraph"/>
        <w:rPr>
          <w:b/>
          <w:bCs/>
          <w:lang w:val="en-GB" w:eastAsia="en-GB"/>
        </w:rPr>
      </w:pPr>
    </w:p>
    <w:p w14:paraId="2AF26F28" w14:textId="77777777" w:rsidR="00463081" w:rsidRPr="00F75FB5" w:rsidRDefault="00463081" w:rsidP="00463081">
      <w:pPr>
        <w:pStyle w:val="ListParagraph"/>
        <w:numPr>
          <w:ilvl w:val="0"/>
          <w:numId w:val="1"/>
        </w:numPr>
        <w:spacing w:after="160" w:line="259" w:lineRule="auto"/>
      </w:pPr>
      <w:r w:rsidRPr="00F75FB5">
        <w:t>Provide empathetic support for communication and interaction with internal BAM structures and reporting entities.</w:t>
      </w:r>
    </w:p>
    <w:p w14:paraId="319F08D4" w14:textId="77777777" w:rsidR="00463081" w:rsidRPr="00F75FB5" w:rsidRDefault="00463081" w:rsidP="00463081">
      <w:pPr>
        <w:pStyle w:val="ListParagraph"/>
        <w:numPr>
          <w:ilvl w:val="0"/>
          <w:numId w:val="1"/>
        </w:numPr>
        <w:spacing w:after="160" w:line="259" w:lineRule="auto"/>
      </w:pPr>
      <w:r w:rsidRPr="00F75FB5">
        <w:t>Deliver engaging and informative training to internal teams and reporting entities.</w:t>
      </w:r>
    </w:p>
    <w:p w14:paraId="3D2288CE" w14:textId="77777777" w:rsidR="00463081" w:rsidRDefault="00463081" w:rsidP="00463081">
      <w:pPr>
        <w:pStyle w:val="ListParagraph"/>
        <w:numPr>
          <w:ilvl w:val="0"/>
          <w:numId w:val="1"/>
        </w:numPr>
        <w:spacing w:after="160" w:line="259" w:lineRule="auto"/>
      </w:pPr>
      <w:r w:rsidRPr="00F75FB5">
        <w:t>Facilitate the transfer of skills with patience and understanding to ensure sustainability.</w:t>
      </w:r>
    </w:p>
    <w:p w14:paraId="70E70DDE" w14:textId="77777777" w:rsidR="00463081" w:rsidRDefault="00463081" w:rsidP="00463081">
      <w:pPr>
        <w:pStyle w:val="ListParagraph"/>
        <w:numPr>
          <w:ilvl w:val="0"/>
          <w:numId w:val="1"/>
        </w:numPr>
        <w:spacing w:after="160" w:line="259" w:lineRule="auto"/>
      </w:pPr>
      <w:r w:rsidRPr="00F75FB5">
        <w:t>Conduct engaging and informative workshops and awareness sessions for relevant stakeholders, including internal BAM entities and banks.</w:t>
      </w:r>
    </w:p>
    <w:p w14:paraId="6B0BDEFA" w14:textId="77777777" w:rsidR="00463081" w:rsidRPr="00F75FB5" w:rsidRDefault="00463081" w:rsidP="00463081">
      <w:pPr>
        <w:pStyle w:val="Heading1"/>
        <w:rPr>
          <w:rFonts w:asciiTheme="minorHAnsi" w:hAnsiTheme="minorHAnsi" w:cstheme="minorHAnsi"/>
          <w:sz w:val="24"/>
          <w:szCs w:val="24"/>
        </w:rPr>
      </w:pPr>
      <w:r w:rsidRPr="00F75FB5">
        <w:rPr>
          <w:rFonts w:asciiTheme="minorHAnsi" w:hAnsiTheme="minorHAnsi" w:cstheme="minorHAnsi"/>
          <w:sz w:val="24"/>
          <w:szCs w:val="24"/>
        </w:rPr>
        <w:t>Deliverables:</w:t>
      </w:r>
    </w:p>
    <w:p w14:paraId="41761B39" w14:textId="77777777" w:rsidR="00463081" w:rsidRDefault="00463081" w:rsidP="00463081">
      <w:r w:rsidRPr="00F75FB5">
        <w:t xml:space="preserve">The </w:t>
      </w:r>
      <w:r>
        <w:t>consultants</w:t>
      </w:r>
      <w:r w:rsidRPr="00F75FB5">
        <w:t xml:space="preserve"> will be required to deliver the following:</w:t>
      </w:r>
    </w:p>
    <w:p w14:paraId="6AFF4407" w14:textId="77777777" w:rsidR="00463081" w:rsidRPr="00EB4A64" w:rsidRDefault="00463081" w:rsidP="00463081">
      <w:pPr>
        <w:rPr>
          <w:b/>
          <w:bCs/>
          <w:lang w:val="en-GB" w:eastAsia="en-GB"/>
        </w:rPr>
      </w:pPr>
      <w:r w:rsidRPr="00EB4A64">
        <w:rPr>
          <w:b/>
          <w:bCs/>
          <w:lang w:val="en-GB" w:eastAsia="en-GB"/>
        </w:rPr>
        <w:t>Phase 1: Project Initiation</w:t>
      </w:r>
    </w:p>
    <w:p w14:paraId="5DE1B714" w14:textId="77777777" w:rsidR="00463081" w:rsidRPr="00E83AAE" w:rsidRDefault="00463081" w:rsidP="00463081">
      <w:pPr>
        <w:pStyle w:val="ListParagraph"/>
        <w:numPr>
          <w:ilvl w:val="0"/>
          <w:numId w:val="5"/>
        </w:numPr>
        <w:spacing w:after="160" w:line="259" w:lineRule="auto"/>
        <w:rPr>
          <w:b/>
          <w:bCs/>
          <w:i/>
          <w:iCs/>
        </w:rPr>
      </w:pPr>
      <w:r w:rsidRPr="00E83AAE">
        <w:rPr>
          <w:b/>
          <w:bCs/>
          <w:i/>
          <w:iCs/>
        </w:rPr>
        <w:t>Inception Report:</w:t>
      </w:r>
    </w:p>
    <w:p w14:paraId="373961E4" w14:textId="77777777" w:rsidR="00463081" w:rsidRPr="00E83AAE" w:rsidRDefault="00463081" w:rsidP="00463081">
      <w:pPr>
        <w:pStyle w:val="ListParagraph"/>
        <w:numPr>
          <w:ilvl w:val="0"/>
          <w:numId w:val="4"/>
        </w:numPr>
        <w:spacing w:after="160" w:line="259" w:lineRule="auto"/>
      </w:pPr>
      <w:r w:rsidRPr="00E83AAE">
        <w:t>Detailed plan</w:t>
      </w:r>
      <w:r>
        <w:t>, Guiding principles</w:t>
      </w:r>
      <w:r w:rsidRPr="00E83AAE">
        <w:t xml:space="preserve"> and methodology for the project.</w:t>
      </w:r>
    </w:p>
    <w:p w14:paraId="2F6D49B0" w14:textId="77777777" w:rsidR="00463081" w:rsidRPr="00E83AAE" w:rsidRDefault="00463081" w:rsidP="00463081">
      <w:pPr>
        <w:pStyle w:val="ListParagraph"/>
        <w:numPr>
          <w:ilvl w:val="0"/>
          <w:numId w:val="4"/>
        </w:numPr>
        <w:spacing w:after="160" w:line="259" w:lineRule="auto"/>
      </w:pPr>
      <w:r w:rsidRPr="00E83AAE">
        <w:lastRenderedPageBreak/>
        <w:t>Initial stakeholder meeting notes</w:t>
      </w:r>
    </w:p>
    <w:p w14:paraId="0EB0A0F5" w14:textId="77777777" w:rsidR="00463081" w:rsidRPr="00E83AAE" w:rsidRDefault="00463081" w:rsidP="00463081">
      <w:pPr>
        <w:pStyle w:val="ListParagraph"/>
        <w:numPr>
          <w:ilvl w:val="0"/>
          <w:numId w:val="4"/>
        </w:numPr>
        <w:spacing w:after="160" w:line="259" w:lineRule="auto"/>
      </w:pPr>
      <w:r w:rsidRPr="00E83AAE">
        <w:t>Inception report outlining the project plan, timelines</w:t>
      </w:r>
      <w:r>
        <w:t>,</w:t>
      </w:r>
      <w:r w:rsidRPr="00E83AAE">
        <w:t xml:space="preserve"> and deliverables.</w:t>
      </w:r>
    </w:p>
    <w:p w14:paraId="291B9D70" w14:textId="77777777" w:rsidR="00463081" w:rsidRPr="00EB4A64" w:rsidRDefault="00463081" w:rsidP="00463081">
      <w:pPr>
        <w:rPr>
          <w:b/>
          <w:bCs/>
          <w:lang w:val="en-GB" w:eastAsia="en-GB"/>
        </w:rPr>
      </w:pPr>
      <w:r w:rsidRPr="00EB4A64">
        <w:rPr>
          <w:b/>
          <w:bCs/>
          <w:lang w:val="en-GB" w:eastAsia="en-GB"/>
        </w:rPr>
        <w:t xml:space="preserve">Phase 2: Regulatory Reporting </w:t>
      </w:r>
      <w:r>
        <w:rPr>
          <w:b/>
          <w:bCs/>
          <w:lang w:val="en-GB" w:eastAsia="en-GB"/>
        </w:rPr>
        <w:t>Assessment</w:t>
      </w:r>
    </w:p>
    <w:p w14:paraId="2373A1A3" w14:textId="77777777" w:rsidR="00463081" w:rsidRPr="00E83AAE" w:rsidRDefault="00463081" w:rsidP="00463081">
      <w:pPr>
        <w:pStyle w:val="ListParagraph"/>
        <w:numPr>
          <w:ilvl w:val="0"/>
          <w:numId w:val="5"/>
        </w:numPr>
        <w:spacing w:after="160" w:line="259" w:lineRule="auto"/>
        <w:rPr>
          <w:b/>
          <w:bCs/>
          <w:i/>
          <w:iCs/>
        </w:rPr>
      </w:pPr>
      <w:r w:rsidRPr="00E83AAE">
        <w:rPr>
          <w:b/>
          <w:bCs/>
          <w:i/>
          <w:iCs/>
        </w:rPr>
        <w:t xml:space="preserve">Current </w:t>
      </w:r>
      <w:r>
        <w:rPr>
          <w:b/>
          <w:bCs/>
          <w:i/>
          <w:iCs/>
        </w:rPr>
        <w:t xml:space="preserve">Regulatory </w:t>
      </w:r>
      <w:r w:rsidRPr="00E83AAE">
        <w:rPr>
          <w:b/>
          <w:bCs/>
          <w:i/>
          <w:iCs/>
        </w:rPr>
        <w:t>Reporting Assessment:</w:t>
      </w:r>
    </w:p>
    <w:p w14:paraId="260CBCCA" w14:textId="77777777" w:rsidR="00463081" w:rsidRPr="00EB4A64" w:rsidRDefault="00463081" w:rsidP="00463081">
      <w:pPr>
        <w:pStyle w:val="ListParagraph"/>
        <w:numPr>
          <w:ilvl w:val="0"/>
          <w:numId w:val="4"/>
        </w:numPr>
        <w:spacing w:after="160" w:line="259" w:lineRule="auto"/>
      </w:pPr>
      <w:r w:rsidRPr="00EB4A64">
        <w:t>Inventory of the current reporting system</w:t>
      </w:r>
    </w:p>
    <w:p w14:paraId="51B34B4D" w14:textId="77777777" w:rsidR="00463081" w:rsidRPr="00EB4A64" w:rsidRDefault="00463081" w:rsidP="00463081">
      <w:pPr>
        <w:pStyle w:val="ListParagraph"/>
        <w:numPr>
          <w:ilvl w:val="0"/>
          <w:numId w:val="4"/>
        </w:numPr>
        <w:spacing w:after="160" w:line="259" w:lineRule="auto"/>
      </w:pPr>
      <w:r w:rsidRPr="00EB4A64">
        <w:t>Expectations and needs gathered from BAM and credit institutions.</w:t>
      </w:r>
    </w:p>
    <w:p w14:paraId="665CB278" w14:textId="77777777" w:rsidR="00463081" w:rsidRPr="00E83AAE" w:rsidRDefault="00463081" w:rsidP="00463081">
      <w:pPr>
        <w:pStyle w:val="ListParagraph"/>
        <w:numPr>
          <w:ilvl w:val="0"/>
          <w:numId w:val="5"/>
        </w:numPr>
        <w:spacing w:after="160" w:line="259" w:lineRule="auto"/>
        <w:rPr>
          <w:b/>
          <w:bCs/>
          <w:i/>
          <w:iCs/>
        </w:rPr>
      </w:pPr>
      <w:r>
        <w:rPr>
          <w:b/>
          <w:bCs/>
          <w:i/>
          <w:iCs/>
        </w:rPr>
        <w:t xml:space="preserve">Regulatory </w:t>
      </w:r>
      <w:r w:rsidRPr="00E83AAE">
        <w:rPr>
          <w:b/>
          <w:bCs/>
          <w:i/>
          <w:iCs/>
        </w:rPr>
        <w:t>Reporting Development:</w:t>
      </w:r>
    </w:p>
    <w:p w14:paraId="29706556" w14:textId="77777777" w:rsidR="00463081" w:rsidRDefault="00463081" w:rsidP="00463081">
      <w:pPr>
        <w:pStyle w:val="ListParagraph"/>
        <w:numPr>
          <w:ilvl w:val="0"/>
          <w:numId w:val="4"/>
        </w:numPr>
        <w:spacing w:after="160" w:line="259" w:lineRule="auto"/>
      </w:pPr>
      <w:r w:rsidRPr="00EB4A64">
        <w:t xml:space="preserve">Prudential reporting statements </w:t>
      </w:r>
      <w:proofErr w:type="gramStart"/>
      <w:r>
        <w:t>including</w:t>
      </w:r>
      <w:proofErr w:type="gramEnd"/>
      <w:r>
        <w:t xml:space="preserve"> </w:t>
      </w:r>
      <w:r w:rsidRPr="00EB4A64">
        <w:t>for participatory finance.</w:t>
      </w:r>
    </w:p>
    <w:p w14:paraId="57EC640A" w14:textId="77777777" w:rsidR="00463081" w:rsidRPr="00EB4A64" w:rsidRDefault="00463081" w:rsidP="00463081">
      <w:pPr>
        <w:pStyle w:val="ListParagraph"/>
        <w:numPr>
          <w:ilvl w:val="0"/>
          <w:numId w:val="4"/>
        </w:numPr>
        <w:spacing w:after="160" w:line="259" w:lineRule="auto"/>
      </w:pPr>
      <w:r w:rsidRPr="00EB4A64">
        <w:t>Documentation of the statements and reports</w:t>
      </w:r>
      <w:r>
        <w:t>.</w:t>
      </w:r>
    </w:p>
    <w:p w14:paraId="22C6BEA2" w14:textId="77777777" w:rsidR="00463081" w:rsidRPr="00E83AAE" w:rsidRDefault="00463081" w:rsidP="00463081">
      <w:pPr>
        <w:pStyle w:val="ListParagraph"/>
        <w:numPr>
          <w:ilvl w:val="0"/>
          <w:numId w:val="5"/>
        </w:numPr>
        <w:spacing w:after="160" w:line="259" w:lineRule="auto"/>
        <w:rPr>
          <w:b/>
          <w:bCs/>
          <w:i/>
          <w:iCs/>
        </w:rPr>
      </w:pPr>
      <w:r w:rsidRPr="00E83AAE">
        <w:rPr>
          <w:b/>
          <w:bCs/>
          <w:i/>
          <w:iCs/>
        </w:rPr>
        <w:t>Recommendations and Methodological Guide:</w:t>
      </w:r>
    </w:p>
    <w:p w14:paraId="3D8C0F04" w14:textId="77777777" w:rsidR="00463081" w:rsidRPr="00EB4A64" w:rsidRDefault="00463081" w:rsidP="00463081">
      <w:pPr>
        <w:pStyle w:val="ListParagraph"/>
        <w:numPr>
          <w:ilvl w:val="0"/>
          <w:numId w:val="4"/>
        </w:numPr>
        <w:spacing w:after="160" w:line="259" w:lineRule="auto"/>
      </w:pPr>
      <w:r w:rsidRPr="00EB4A64">
        <w:t>Recommendations for managing future reporting developments.</w:t>
      </w:r>
    </w:p>
    <w:p w14:paraId="4128CED7" w14:textId="77777777" w:rsidR="00463081" w:rsidRDefault="00463081" w:rsidP="00463081">
      <w:pPr>
        <w:pStyle w:val="ListParagraph"/>
        <w:numPr>
          <w:ilvl w:val="0"/>
          <w:numId w:val="4"/>
        </w:numPr>
        <w:spacing w:after="160" w:line="259" w:lineRule="auto"/>
      </w:pPr>
      <w:r w:rsidRPr="00EB4A64">
        <w:t>Methodological guide for future evolutions</w:t>
      </w:r>
      <w:r>
        <w:t>.</w:t>
      </w:r>
    </w:p>
    <w:p w14:paraId="5593E565" w14:textId="77777777" w:rsidR="00463081" w:rsidRPr="00E83AAE" w:rsidRDefault="00463081" w:rsidP="00463081">
      <w:pPr>
        <w:rPr>
          <w:b/>
          <w:bCs/>
          <w:lang w:val="en-GB" w:eastAsia="en-GB"/>
        </w:rPr>
      </w:pPr>
      <w:r w:rsidRPr="00E83AAE">
        <w:rPr>
          <w:b/>
          <w:bCs/>
          <w:lang w:val="en-GB" w:eastAsia="en-GB"/>
        </w:rPr>
        <w:t>Phase 3: Technological Standards Study</w:t>
      </w:r>
    </w:p>
    <w:p w14:paraId="25D444FC" w14:textId="77777777" w:rsidR="00463081" w:rsidRPr="00E83AAE" w:rsidRDefault="00463081" w:rsidP="00463081">
      <w:pPr>
        <w:pStyle w:val="ListParagraph"/>
        <w:numPr>
          <w:ilvl w:val="0"/>
          <w:numId w:val="5"/>
        </w:numPr>
        <w:spacing w:after="160" w:line="259" w:lineRule="auto"/>
        <w:rPr>
          <w:b/>
          <w:bCs/>
          <w:i/>
          <w:iCs/>
        </w:rPr>
      </w:pPr>
      <w:r w:rsidRPr="00E83AAE">
        <w:rPr>
          <w:b/>
          <w:bCs/>
          <w:i/>
          <w:iCs/>
        </w:rPr>
        <w:t>Study on Technological Standards:</w:t>
      </w:r>
    </w:p>
    <w:p w14:paraId="5B674399" w14:textId="1C43621C" w:rsidR="00463081" w:rsidRPr="00271DA1" w:rsidRDefault="00463081" w:rsidP="00463081">
      <w:pPr>
        <w:pStyle w:val="ListParagraph"/>
        <w:numPr>
          <w:ilvl w:val="0"/>
          <w:numId w:val="4"/>
        </w:numPr>
        <w:spacing w:after="160" w:line="259" w:lineRule="auto"/>
      </w:pPr>
      <w:r w:rsidRPr="00EB4A64">
        <w:t>Comprehensive study on the most suitable technological standards (</w:t>
      </w:r>
      <w:proofErr w:type="gramStart"/>
      <w:r w:rsidRPr="00EB4A64">
        <w:t>XML,</w:t>
      </w:r>
      <w:r w:rsidR="00935A6E">
        <w:t>XBRL</w:t>
      </w:r>
      <w:proofErr w:type="gramEnd"/>
      <w:r w:rsidRPr="00EB4A64">
        <w:t xml:space="preserve"> or others) for remittance of the reporting</w:t>
      </w:r>
      <w:r>
        <w:t>.</w:t>
      </w:r>
    </w:p>
    <w:p w14:paraId="23992C6F" w14:textId="77777777" w:rsidR="00463081" w:rsidRPr="00EB4A64" w:rsidRDefault="00463081" w:rsidP="00463081">
      <w:pPr>
        <w:pStyle w:val="ListParagraph"/>
        <w:numPr>
          <w:ilvl w:val="0"/>
          <w:numId w:val="4"/>
        </w:numPr>
        <w:spacing w:after="160" w:line="259" w:lineRule="auto"/>
      </w:pPr>
      <w:r w:rsidRPr="00EB4A64">
        <w:t>Benchmarks from other relevant countries</w:t>
      </w:r>
      <w:r>
        <w:t>.</w:t>
      </w:r>
    </w:p>
    <w:p w14:paraId="464A6EB9" w14:textId="77777777" w:rsidR="00463081" w:rsidRPr="00E83AAE" w:rsidRDefault="00463081" w:rsidP="00463081">
      <w:pPr>
        <w:pStyle w:val="ListParagraph"/>
        <w:numPr>
          <w:ilvl w:val="0"/>
          <w:numId w:val="5"/>
        </w:numPr>
        <w:spacing w:after="160" w:line="259" w:lineRule="auto"/>
        <w:rPr>
          <w:b/>
          <w:bCs/>
          <w:i/>
          <w:iCs/>
        </w:rPr>
      </w:pPr>
      <w:r w:rsidRPr="00E83AAE">
        <w:rPr>
          <w:b/>
          <w:bCs/>
          <w:i/>
          <w:iCs/>
        </w:rPr>
        <w:t>Recommendations:</w:t>
      </w:r>
    </w:p>
    <w:p w14:paraId="3086853A" w14:textId="77777777" w:rsidR="00463081" w:rsidRPr="00EB4A64" w:rsidRDefault="00463081" w:rsidP="00463081">
      <w:pPr>
        <w:pStyle w:val="ListParagraph"/>
        <w:numPr>
          <w:ilvl w:val="0"/>
          <w:numId w:val="4"/>
        </w:numPr>
        <w:spacing w:after="160" w:line="259" w:lineRule="auto"/>
      </w:pPr>
      <w:r w:rsidRPr="00EB4A64">
        <w:t>Recommendations based on the findings of the study and the specificity of the Moroccan context</w:t>
      </w:r>
      <w:r>
        <w:t>.</w:t>
      </w:r>
    </w:p>
    <w:p w14:paraId="33B1C9A1" w14:textId="77777777" w:rsidR="00463081" w:rsidRPr="00E83AAE" w:rsidRDefault="00463081" w:rsidP="00463081">
      <w:pPr>
        <w:rPr>
          <w:b/>
          <w:bCs/>
          <w:lang w:val="en-GB" w:eastAsia="en-GB"/>
        </w:rPr>
      </w:pPr>
      <w:r w:rsidRPr="00E83AAE">
        <w:rPr>
          <w:b/>
          <w:bCs/>
          <w:lang w:val="en-GB" w:eastAsia="en-GB"/>
        </w:rPr>
        <w:t>Phase 4: Change Management</w:t>
      </w:r>
    </w:p>
    <w:p w14:paraId="4690EADF" w14:textId="77777777" w:rsidR="00463081" w:rsidRPr="00E83AAE" w:rsidRDefault="00463081" w:rsidP="00463081">
      <w:pPr>
        <w:pStyle w:val="ListParagraph"/>
        <w:numPr>
          <w:ilvl w:val="0"/>
          <w:numId w:val="5"/>
        </w:numPr>
        <w:spacing w:after="160" w:line="259" w:lineRule="auto"/>
        <w:rPr>
          <w:b/>
          <w:bCs/>
          <w:i/>
          <w:iCs/>
        </w:rPr>
      </w:pPr>
      <w:r w:rsidRPr="00E83AAE">
        <w:rPr>
          <w:b/>
          <w:bCs/>
          <w:i/>
          <w:iCs/>
        </w:rPr>
        <w:t>Communication and Interaction:</w:t>
      </w:r>
    </w:p>
    <w:p w14:paraId="408F4E7E" w14:textId="77777777" w:rsidR="00463081" w:rsidRPr="00EB4A64" w:rsidRDefault="00463081" w:rsidP="00463081">
      <w:pPr>
        <w:pStyle w:val="ListParagraph"/>
        <w:numPr>
          <w:ilvl w:val="0"/>
          <w:numId w:val="4"/>
        </w:numPr>
        <w:spacing w:after="160" w:line="259" w:lineRule="auto"/>
      </w:pPr>
      <w:r w:rsidRPr="00EB4A64">
        <w:t>Workshop and awareness session materials for relevant stakeholders</w:t>
      </w:r>
    </w:p>
    <w:p w14:paraId="54C31DAD" w14:textId="77777777" w:rsidR="00463081" w:rsidRPr="00E83AAE" w:rsidRDefault="00463081" w:rsidP="00463081">
      <w:pPr>
        <w:pStyle w:val="ListParagraph"/>
        <w:numPr>
          <w:ilvl w:val="0"/>
          <w:numId w:val="5"/>
        </w:numPr>
        <w:spacing w:after="160" w:line="259" w:lineRule="auto"/>
        <w:rPr>
          <w:b/>
          <w:bCs/>
          <w:i/>
          <w:iCs/>
        </w:rPr>
      </w:pPr>
      <w:r w:rsidRPr="00E83AAE">
        <w:rPr>
          <w:b/>
          <w:bCs/>
          <w:i/>
          <w:iCs/>
        </w:rPr>
        <w:t>Training:</w:t>
      </w:r>
    </w:p>
    <w:p w14:paraId="5C5650E2" w14:textId="77777777" w:rsidR="00463081" w:rsidRPr="00E83AAE" w:rsidRDefault="00463081" w:rsidP="00463081">
      <w:pPr>
        <w:pStyle w:val="ListParagraph"/>
        <w:numPr>
          <w:ilvl w:val="0"/>
          <w:numId w:val="6"/>
        </w:numPr>
        <w:spacing w:after="160" w:line="259" w:lineRule="auto"/>
      </w:pPr>
      <w:r w:rsidRPr="00E83AAE">
        <w:t>Training materials for internal BAM teams and reporting entities</w:t>
      </w:r>
    </w:p>
    <w:p w14:paraId="7669E28A" w14:textId="77777777" w:rsidR="00463081" w:rsidRPr="00E83AAE" w:rsidRDefault="00463081" w:rsidP="00463081">
      <w:pPr>
        <w:pStyle w:val="ListParagraph"/>
        <w:numPr>
          <w:ilvl w:val="0"/>
          <w:numId w:val="6"/>
        </w:numPr>
        <w:spacing w:after="160" w:line="259" w:lineRule="auto"/>
      </w:pPr>
      <w:r w:rsidRPr="00E83AAE">
        <w:t>Documentation of the transfer of skills</w:t>
      </w:r>
    </w:p>
    <w:p w14:paraId="5724AC50" w14:textId="77777777" w:rsidR="00463081" w:rsidRPr="00E83AAE" w:rsidRDefault="00463081" w:rsidP="00463081">
      <w:pPr>
        <w:rPr>
          <w:b/>
          <w:bCs/>
          <w:lang w:val="en-GB" w:eastAsia="en-GB"/>
        </w:rPr>
      </w:pPr>
      <w:r w:rsidRPr="00E83AAE">
        <w:rPr>
          <w:b/>
          <w:bCs/>
          <w:lang w:val="en-GB" w:eastAsia="en-GB"/>
        </w:rPr>
        <w:t>Phase 5: Project Conclusion</w:t>
      </w:r>
    </w:p>
    <w:p w14:paraId="34F34D5C" w14:textId="77777777" w:rsidR="00463081" w:rsidRPr="00E83AAE" w:rsidRDefault="00463081" w:rsidP="00463081">
      <w:pPr>
        <w:pStyle w:val="ListParagraph"/>
        <w:numPr>
          <w:ilvl w:val="0"/>
          <w:numId w:val="5"/>
        </w:numPr>
        <w:spacing w:after="160" w:line="259" w:lineRule="auto"/>
        <w:rPr>
          <w:b/>
          <w:bCs/>
          <w:i/>
          <w:iCs/>
        </w:rPr>
      </w:pPr>
      <w:r w:rsidRPr="00E83AAE">
        <w:rPr>
          <w:b/>
          <w:bCs/>
          <w:i/>
          <w:iCs/>
        </w:rPr>
        <w:t>Final Report:</w:t>
      </w:r>
    </w:p>
    <w:p w14:paraId="74EB8328" w14:textId="77777777" w:rsidR="00463081" w:rsidRPr="00EB4A64" w:rsidRDefault="00463081" w:rsidP="00463081">
      <w:pPr>
        <w:pStyle w:val="ListParagraph"/>
        <w:numPr>
          <w:ilvl w:val="0"/>
          <w:numId w:val="6"/>
        </w:numPr>
        <w:spacing w:after="160" w:line="259" w:lineRule="auto"/>
      </w:pPr>
      <w:r w:rsidRPr="00EB4A64">
        <w:t>Comprehensive final report compiling all project activities, findings, and recommendations.</w:t>
      </w:r>
    </w:p>
    <w:p w14:paraId="0A139357" w14:textId="77777777" w:rsidR="00463081" w:rsidRPr="00E83AAE" w:rsidRDefault="00463081" w:rsidP="00463081">
      <w:pPr>
        <w:rPr>
          <w:b/>
          <w:bCs/>
          <w:lang w:val="en-GB" w:eastAsia="en-GB"/>
        </w:rPr>
      </w:pPr>
      <w:r w:rsidRPr="00E83AAE">
        <w:rPr>
          <w:b/>
          <w:bCs/>
          <w:lang w:val="en-GB" w:eastAsia="en-GB"/>
        </w:rPr>
        <w:t>Project Closure:</w:t>
      </w:r>
    </w:p>
    <w:p w14:paraId="2C08232F" w14:textId="77777777" w:rsidR="00463081" w:rsidRPr="00EB4A64" w:rsidRDefault="00463081" w:rsidP="00463081">
      <w:pPr>
        <w:pStyle w:val="ListParagraph"/>
        <w:numPr>
          <w:ilvl w:val="0"/>
          <w:numId w:val="6"/>
        </w:numPr>
        <w:spacing w:after="160" w:line="259" w:lineRule="auto"/>
      </w:pPr>
      <w:r w:rsidRPr="00EB4A64">
        <w:t>Final project review meeting notes</w:t>
      </w:r>
      <w:r>
        <w:t>.</w:t>
      </w:r>
    </w:p>
    <w:p w14:paraId="4F3A8CDA" w14:textId="77777777" w:rsidR="00463081" w:rsidRDefault="00463081" w:rsidP="00463081">
      <w:pPr>
        <w:pStyle w:val="Heading1"/>
        <w:rPr>
          <w:rFonts w:asciiTheme="minorHAnsi" w:hAnsiTheme="minorHAnsi" w:cstheme="minorHAnsi"/>
          <w:sz w:val="24"/>
          <w:szCs w:val="24"/>
        </w:rPr>
      </w:pPr>
      <w:r w:rsidRPr="00E83AAE">
        <w:rPr>
          <w:rFonts w:asciiTheme="minorHAnsi" w:hAnsiTheme="minorHAnsi" w:cstheme="minorHAnsi"/>
          <w:sz w:val="24"/>
          <w:szCs w:val="24"/>
        </w:rPr>
        <w:t>Project Management</w:t>
      </w:r>
      <w:r>
        <w:rPr>
          <w:rFonts w:asciiTheme="minorHAnsi" w:hAnsiTheme="minorHAnsi" w:cstheme="minorHAnsi"/>
          <w:sz w:val="24"/>
          <w:szCs w:val="24"/>
        </w:rPr>
        <w:t xml:space="preserve"> and reporting</w:t>
      </w:r>
      <w:r w:rsidRPr="00E83AAE">
        <w:rPr>
          <w:rFonts w:asciiTheme="minorHAnsi" w:hAnsiTheme="minorHAnsi" w:cstheme="minorHAnsi"/>
          <w:sz w:val="24"/>
          <w:szCs w:val="24"/>
        </w:rPr>
        <w:t>:</w:t>
      </w:r>
    </w:p>
    <w:p w14:paraId="143A6BAD" w14:textId="77777777" w:rsidR="00463081" w:rsidRDefault="00463081" w:rsidP="00463081">
      <w:r w:rsidRPr="00F75FB5">
        <w:t xml:space="preserve">The </w:t>
      </w:r>
      <w:r>
        <w:t>consultants</w:t>
      </w:r>
      <w:r w:rsidRPr="00F75FB5">
        <w:t xml:space="preserve"> will report to the Project Management Unit within the Banking Supervision Department at BAM and will provide </w:t>
      </w:r>
      <w:proofErr w:type="gramStart"/>
      <w:r w:rsidRPr="00F75FB5">
        <w:t>regular ,</w:t>
      </w:r>
      <w:proofErr w:type="gramEnd"/>
      <w:r w:rsidRPr="00F75FB5">
        <w:t xml:space="preserve"> timely, and informative progress </w:t>
      </w:r>
      <w:r>
        <w:t xml:space="preserve">reports </w:t>
      </w:r>
      <w:r w:rsidRPr="00F75FB5">
        <w:t>and participate in review meetings, fostering open communication and collaboration throughout the project.</w:t>
      </w:r>
    </w:p>
    <w:p w14:paraId="20419594" w14:textId="77777777" w:rsidR="00463081" w:rsidRPr="000C6B35" w:rsidRDefault="00463081" w:rsidP="00463081">
      <w:pPr>
        <w:pStyle w:val="BodyText"/>
        <w:ind w:right="44"/>
        <w:rPr>
          <w:rFonts w:asciiTheme="minorHAnsi" w:hAnsiTheme="minorHAnsi" w:cstheme="minorHAnsi"/>
        </w:rPr>
      </w:pPr>
      <w:r w:rsidRPr="000C6B35">
        <w:rPr>
          <w:rFonts w:asciiTheme="minorHAnsi" w:hAnsiTheme="minorHAnsi" w:cstheme="minorHAnsi"/>
        </w:rPr>
        <w:t>During the</w:t>
      </w:r>
      <w:r>
        <w:rPr>
          <w:rFonts w:asciiTheme="minorHAnsi" w:hAnsiTheme="minorHAnsi" w:cstheme="minorHAnsi"/>
        </w:rPr>
        <w:t>se</w:t>
      </w:r>
      <w:r w:rsidRPr="000C6B35">
        <w:rPr>
          <w:rFonts w:asciiTheme="minorHAnsi" w:hAnsiTheme="minorHAnsi" w:cstheme="minorHAnsi"/>
        </w:rPr>
        <w:t xml:space="preserve"> assignment</w:t>
      </w:r>
      <w:r>
        <w:rPr>
          <w:rFonts w:asciiTheme="minorHAnsi" w:hAnsiTheme="minorHAnsi" w:cstheme="minorHAnsi"/>
        </w:rPr>
        <w:t>s</w:t>
      </w:r>
      <w:r w:rsidRPr="000C6B35">
        <w:rPr>
          <w:rFonts w:asciiTheme="minorHAnsi" w:hAnsiTheme="minorHAnsi" w:cstheme="minorHAnsi"/>
        </w:rPr>
        <w:t>,</w:t>
      </w:r>
      <w:r>
        <w:rPr>
          <w:rFonts w:asciiTheme="minorHAnsi" w:hAnsiTheme="minorHAnsi" w:cstheme="minorHAnsi"/>
        </w:rPr>
        <w:t xml:space="preserve"> the consultant (s) will receive all</w:t>
      </w:r>
      <w:r w:rsidRPr="000C6B35">
        <w:rPr>
          <w:rFonts w:asciiTheme="minorHAnsi" w:hAnsiTheme="minorHAnsi" w:cstheme="minorHAnsi"/>
        </w:rPr>
        <w:t xml:space="preserve"> documents and data necessary for its mission accomplishment and produce a written report.</w:t>
      </w:r>
    </w:p>
    <w:p w14:paraId="0F141E6B" w14:textId="77777777" w:rsidR="00463081" w:rsidRPr="00E83AAE" w:rsidRDefault="00463081" w:rsidP="00463081">
      <w:pPr>
        <w:pStyle w:val="Heading1"/>
        <w:rPr>
          <w:rFonts w:asciiTheme="minorHAnsi" w:hAnsiTheme="minorHAnsi" w:cstheme="minorHAnsi"/>
          <w:sz w:val="24"/>
          <w:szCs w:val="24"/>
        </w:rPr>
      </w:pPr>
      <w:r w:rsidRPr="00E83AAE">
        <w:rPr>
          <w:rFonts w:asciiTheme="minorHAnsi" w:hAnsiTheme="minorHAnsi" w:cstheme="minorHAnsi"/>
          <w:sz w:val="24"/>
          <w:szCs w:val="24"/>
        </w:rPr>
        <w:t>Duration</w:t>
      </w:r>
      <w:r>
        <w:rPr>
          <w:rFonts w:asciiTheme="minorHAnsi" w:hAnsiTheme="minorHAnsi" w:cstheme="minorHAnsi"/>
          <w:sz w:val="24"/>
          <w:szCs w:val="24"/>
        </w:rPr>
        <w:t xml:space="preserve"> of Assignment</w:t>
      </w:r>
      <w:r w:rsidRPr="00E83AAE">
        <w:rPr>
          <w:rFonts w:asciiTheme="minorHAnsi" w:hAnsiTheme="minorHAnsi" w:cstheme="minorHAnsi"/>
          <w:sz w:val="24"/>
          <w:szCs w:val="24"/>
        </w:rPr>
        <w:t>:</w:t>
      </w:r>
    </w:p>
    <w:p w14:paraId="11DFA592" w14:textId="77777777" w:rsidR="00463081" w:rsidRDefault="00463081" w:rsidP="00463081">
      <w:r w:rsidRPr="00F75FB5">
        <w:t xml:space="preserve">The technical assistance project is expected to be completed within </w:t>
      </w:r>
      <w:r>
        <w:t>9</w:t>
      </w:r>
      <w:r w:rsidRPr="00F75FB5">
        <w:t xml:space="preserve"> months from the date of the </w:t>
      </w:r>
      <w:r>
        <w:t>service notification</w:t>
      </w:r>
      <w:r w:rsidRPr="00F75FB5">
        <w:t>.</w:t>
      </w:r>
    </w:p>
    <w:p w14:paraId="4BDF9C71" w14:textId="77777777" w:rsidR="00463081" w:rsidRDefault="00463081" w:rsidP="00463081">
      <w:pPr>
        <w:pStyle w:val="Heading1"/>
        <w:rPr>
          <w:rFonts w:asciiTheme="minorHAnsi" w:hAnsiTheme="minorHAnsi" w:cstheme="minorHAnsi"/>
          <w:sz w:val="24"/>
          <w:szCs w:val="24"/>
        </w:rPr>
      </w:pPr>
      <w:bookmarkStart w:id="1" w:name="_Hlk89443585"/>
      <w:r>
        <w:rPr>
          <w:rFonts w:asciiTheme="minorHAnsi" w:hAnsiTheme="minorHAnsi" w:cstheme="minorHAnsi"/>
          <w:sz w:val="24"/>
          <w:szCs w:val="24"/>
        </w:rPr>
        <w:t>Key Experts required for the Assignments:</w:t>
      </w:r>
    </w:p>
    <w:p w14:paraId="5C81830D" w14:textId="77777777" w:rsidR="00463081" w:rsidRPr="00F56A78" w:rsidRDefault="00463081" w:rsidP="00463081">
      <w:pPr>
        <w:ind w:left="720" w:hanging="720"/>
      </w:pPr>
      <w:r w:rsidRPr="00F56A78">
        <w:t xml:space="preserve">The </w:t>
      </w:r>
      <w:r>
        <w:t xml:space="preserve">proposed key experts </w:t>
      </w:r>
      <w:r w:rsidRPr="00F56A78">
        <w:t>shall have:</w:t>
      </w:r>
    </w:p>
    <w:p w14:paraId="4561A1A5" w14:textId="77777777" w:rsidR="00A359BE" w:rsidRDefault="00A359BE" w:rsidP="00A359BE">
      <w:r>
        <w:t xml:space="preserve">The proposed project team must be composed of the key experts and specialists as indicated </w:t>
      </w:r>
      <w:proofErr w:type="gramStart"/>
      <w:r>
        <w:t>in</w:t>
      </w:r>
      <w:proofErr w:type="gramEnd"/>
      <w:r>
        <w:t xml:space="preserve"> the table below. However, the Consultant has the option to add more personnel depending on their work strategy and approach to achieving the objectives of the assignment:</w:t>
      </w:r>
    </w:p>
    <w:p w14:paraId="35A9770A" w14:textId="77777777" w:rsidR="00A359BE" w:rsidRPr="00A359BE" w:rsidRDefault="00A359BE" w:rsidP="00A359BE">
      <w:pPr>
        <w:pStyle w:val="ListParagraph"/>
        <w:spacing w:after="160" w:line="259" w:lineRule="auto"/>
        <w:rPr>
          <w:b/>
          <w:bCs/>
          <w:u w:val="single"/>
        </w:rPr>
      </w:pPr>
      <w:r w:rsidRPr="00A359BE">
        <w:rPr>
          <w:b/>
          <w:bCs/>
          <w:u w:val="single"/>
        </w:rPr>
        <w:t>Team Leader:</w:t>
      </w:r>
    </w:p>
    <w:p w14:paraId="41488E2E" w14:textId="77777777" w:rsidR="00A359BE" w:rsidRDefault="00A359BE" w:rsidP="00A359BE">
      <w:pPr>
        <w:pStyle w:val="ListParagraph"/>
        <w:spacing w:after="160" w:line="259" w:lineRule="auto"/>
      </w:pPr>
    </w:p>
    <w:p w14:paraId="1783427F" w14:textId="77777777" w:rsidR="00A359BE" w:rsidRDefault="00A359BE" w:rsidP="00A359BE">
      <w:pPr>
        <w:pStyle w:val="ListParagraph"/>
        <w:numPr>
          <w:ilvl w:val="0"/>
          <w:numId w:val="7"/>
        </w:numPr>
        <w:spacing w:after="160" w:line="259" w:lineRule="auto"/>
      </w:pPr>
      <w:r>
        <w:t xml:space="preserve">Advanced </w:t>
      </w:r>
      <w:proofErr w:type="gramStart"/>
      <w:r>
        <w:t>degree</w:t>
      </w:r>
      <w:proofErr w:type="gramEnd"/>
      <w:r>
        <w:t xml:space="preserve"> in economics, business, finance, law, public policy, information technology, or another relevant field.</w:t>
      </w:r>
    </w:p>
    <w:p w14:paraId="474758EE" w14:textId="77777777" w:rsidR="00A359BE" w:rsidRDefault="00A359BE" w:rsidP="00A359BE">
      <w:pPr>
        <w:pStyle w:val="ListParagraph"/>
        <w:numPr>
          <w:ilvl w:val="0"/>
          <w:numId w:val="7"/>
        </w:numPr>
        <w:spacing w:after="160" w:line="259" w:lineRule="auto"/>
      </w:pPr>
      <w:r>
        <w:t>10+ years of extensive experience in banking supervision, with a focus on regulatory reporting, data collection systems, and/or IT solutions for supervisory authorities.</w:t>
      </w:r>
    </w:p>
    <w:p w14:paraId="7C4650E1" w14:textId="77777777" w:rsidR="00A359BE" w:rsidRDefault="00A359BE" w:rsidP="00A359BE">
      <w:pPr>
        <w:pStyle w:val="ListParagraph"/>
        <w:numPr>
          <w:ilvl w:val="0"/>
          <w:numId w:val="7"/>
        </w:numPr>
        <w:spacing w:after="160" w:line="259" w:lineRule="auto"/>
      </w:pPr>
      <w:r>
        <w:t>Proven track record in providing technical assistance and advice to financial regulatory entities on upgrading IT systems and data collection processes.</w:t>
      </w:r>
    </w:p>
    <w:p w14:paraId="1710F4DE" w14:textId="77777777" w:rsidR="00A359BE" w:rsidRDefault="00A359BE" w:rsidP="00A359BE">
      <w:pPr>
        <w:pStyle w:val="ListParagraph"/>
        <w:numPr>
          <w:ilvl w:val="0"/>
          <w:numId w:val="7"/>
        </w:numPr>
        <w:spacing w:after="160" w:line="259" w:lineRule="auto"/>
      </w:pPr>
      <w:r>
        <w:t>Familiarity with the Moroccan banking sector, including participatory finance (Islamic finance), is highly desirable.</w:t>
      </w:r>
    </w:p>
    <w:p w14:paraId="7DD0FDB6" w14:textId="77777777" w:rsidR="00A359BE" w:rsidRDefault="00A359BE" w:rsidP="00A359BE">
      <w:pPr>
        <w:pStyle w:val="ListParagraph"/>
        <w:numPr>
          <w:ilvl w:val="0"/>
          <w:numId w:val="7"/>
        </w:numPr>
        <w:spacing w:after="160" w:line="259" w:lineRule="auto"/>
      </w:pPr>
      <w:r>
        <w:t>Excellent project management, communication, and stakeholder engagement skills.</w:t>
      </w:r>
    </w:p>
    <w:p w14:paraId="48C4E819" w14:textId="77777777" w:rsidR="00A359BE" w:rsidRDefault="00A359BE" w:rsidP="00A359BE">
      <w:pPr>
        <w:pStyle w:val="ListParagraph"/>
        <w:numPr>
          <w:ilvl w:val="0"/>
          <w:numId w:val="7"/>
        </w:numPr>
        <w:spacing w:after="160" w:line="259" w:lineRule="auto"/>
      </w:pPr>
      <w:r>
        <w:t>Proficiency in French is required; Arabic and English are beneficial.</w:t>
      </w:r>
    </w:p>
    <w:p w14:paraId="7EC3C542" w14:textId="77777777" w:rsidR="00A359BE" w:rsidRDefault="00A359BE" w:rsidP="00A359BE">
      <w:pPr>
        <w:pStyle w:val="ListParagraph"/>
        <w:numPr>
          <w:ilvl w:val="0"/>
          <w:numId w:val="7"/>
        </w:numPr>
        <w:spacing w:after="160" w:line="259" w:lineRule="auto"/>
      </w:pPr>
      <w:r>
        <w:t>Experience in at least three (3) similar assignments, including proficiency in Islamic economics and finance.</w:t>
      </w:r>
    </w:p>
    <w:p w14:paraId="1666A89B" w14:textId="77777777" w:rsidR="00A359BE" w:rsidRDefault="00A359BE" w:rsidP="00A359BE">
      <w:pPr>
        <w:pStyle w:val="ListParagraph"/>
        <w:spacing w:after="160" w:line="259" w:lineRule="auto"/>
      </w:pPr>
    </w:p>
    <w:p w14:paraId="6264B602" w14:textId="77777777" w:rsidR="00A359BE" w:rsidRPr="00A359BE" w:rsidRDefault="00A359BE" w:rsidP="00A359BE">
      <w:pPr>
        <w:pStyle w:val="ListParagraph"/>
        <w:spacing w:after="160" w:line="259" w:lineRule="auto"/>
        <w:rPr>
          <w:b/>
          <w:bCs/>
          <w:u w:val="single"/>
        </w:rPr>
      </w:pPr>
      <w:r w:rsidRPr="00A359BE">
        <w:rPr>
          <w:b/>
          <w:bCs/>
          <w:u w:val="single"/>
        </w:rPr>
        <w:t>Senior Expert - Regulatory Reporting:</w:t>
      </w:r>
    </w:p>
    <w:p w14:paraId="4A59E530" w14:textId="77777777" w:rsidR="00A359BE" w:rsidRDefault="00A359BE" w:rsidP="00A359BE">
      <w:pPr>
        <w:pStyle w:val="ListParagraph"/>
        <w:numPr>
          <w:ilvl w:val="0"/>
          <w:numId w:val="7"/>
        </w:numPr>
        <w:spacing w:after="160" w:line="259" w:lineRule="auto"/>
      </w:pPr>
      <w:r>
        <w:t>Advanced degree in a relevant field (economics, finance, business, or IT).</w:t>
      </w:r>
    </w:p>
    <w:p w14:paraId="071FA504" w14:textId="16828ABC" w:rsidR="00A359BE" w:rsidRDefault="00A359BE" w:rsidP="00A359BE">
      <w:pPr>
        <w:pStyle w:val="ListParagraph"/>
        <w:numPr>
          <w:ilvl w:val="0"/>
          <w:numId w:val="7"/>
        </w:numPr>
        <w:spacing w:after="160" w:line="259" w:lineRule="auto"/>
      </w:pPr>
      <w:r>
        <w:t>5+ years of experience in regulatory reporting and the development of prudential reporting frameworks.</w:t>
      </w:r>
    </w:p>
    <w:p w14:paraId="7A078D55" w14:textId="77777777" w:rsidR="00A359BE" w:rsidRDefault="00A359BE" w:rsidP="00A359BE">
      <w:pPr>
        <w:pStyle w:val="ListParagraph"/>
        <w:numPr>
          <w:ilvl w:val="0"/>
          <w:numId w:val="7"/>
        </w:numPr>
        <w:spacing w:after="160" w:line="259" w:lineRule="auto"/>
      </w:pPr>
      <w:r>
        <w:t>Expertise in simplifying data templates, improving data quality, and aligning reporting systems with international standards while adapting to local specificities.</w:t>
      </w:r>
    </w:p>
    <w:p w14:paraId="5CC606A2" w14:textId="77777777" w:rsidR="00A359BE" w:rsidRDefault="00A359BE" w:rsidP="00A359BE">
      <w:pPr>
        <w:pStyle w:val="ListParagraph"/>
        <w:numPr>
          <w:ilvl w:val="0"/>
          <w:numId w:val="7"/>
        </w:numPr>
        <w:spacing w:after="160" w:line="259" w:lineRule="auto"/>
      </w:pPr>
      <w:r>
        <w:t>Familiarity with participatory finance and Islamic prudential reporting.</w:t>
      </w:r>
    </w:p>
    <w:p w14:paraId="7DDC9303" w14:textId="77777777" w:rsidR="00A359BE" w:rsidRDefault="00A359BE" w:rsidP="00A359BE">
      <w:pPr>
        <w:pStyle w:val="ListParagraph"/>
        <w:numPr>
          <w:ilvl w:val="0"/>
          <w:numId w:val="7"/>
        </w:numPr>
        <w:spacing w:after="160" w:line="259" w:lineRule="auto"/>
      </w:pPr>
      <w:r>
        <w:t>Experience in documenting regulatory reporting frameworks for computerized implementation.</w:t>
      </w:r>
    </w:p>
    <w:p w14:paraId="2E5AECAC" w14:textId="77777777" w:rsidR="00A359BE" w:rsidRDefault="00A359BE" w:rsidP="00A359BE">
      <w:pPr>
        <w:pStyle w:val="ListParagraph"/>
        <w:spacing w:after="160" w:line="259" w:lineRule="auto"/>
        <w:rPr>
          <w:b/>
          <w:bCs/>
          <w:u w:val="single"/>
        </w:rPr>
      </w:pPr>
    </w:p>
    <w:p w14:paraId="21ABB48E" w14:textId="51E08BAA" w:rsidR="00A359BE" w:rsidRPr="00A359BE" w:rsidRDefault="00A359BE" w:rsidP="00A359BE">
      <w:pPr>
        <w:pStyle w:val="ListParagraph"/>
        <w:spacing w:after="160" w:line="259" w:lineRule="auto"/>
        <w:rPr>
          <w:b/>
          <w:bCs/>
          <w:u w:val="single"/>
        </w:rPr>
      </w:pPr>
      <w:r w:rsidRPr="00A359BE">
        <w:rPr>
          <w:b/>
          <w:bCs/>
          <w:u w:val="single"/>
        </w:rPr>
        <w:t>Senior Expert - Technological Standards:</w:t>
      </w:r>
    </w:p>
    <w:p w14:paraId="037FE1EB" w14:textId="77777777" w:rsidR="00A359BE" w:rsidRDefault="00A359BE" w:rsidP="00A359BE">
      <w:pPr>
        <w:pStyle w:val="ListParagraph"/>
        <w:numPr>
          <w:ilvl w:val="0"/>
          <w:numId w:val="7"/>
        </w:numPr>
        <w:spacing w:after="160" w:line="259" w:lineRule="auto"/>
      </w:pPr>
      <w:r>
        <w:t>Advanced degree in information technology, computer science, or a related field.</w:t>
      </w:r>
    </w:p>
    <w:p w14:paraId="1D691D71" w14:textId="051D5128" w:rsidR="00A359BE" w:rsidRDefault="00A359BE" w:rsidP="00A359BE">
      <w:pPr>
        <w:pStyle w:val="ListParagraph"/>
        <w:numPr>
          <w:ilvl w:val="0"/>
          <w:numId w:val="7"/>
        </w:numPr>
        <w:spacing w:after="160" w:line="259" w:lineRule="auto"/>
      </w:pPr>
      <w:r>
        <w:t xml:space="preserve">5+ years of experience in technological solutions for financial data reporting, including expertise in standards such </w:t>
      </w:r>
      <w:proofErr w:type="gramStart"/>
      <w:r>
        <w:t>as  XML</w:t>
      </w:r>
      <w:proofErr w:type="gramEnd"/>
      <w:r>
        <w:t>,</w:t>
      </w:r>
      <w:r w:rsidR="000D4F0F">
        <w:t>XBRL</w:t>
      </w:r>
      <w:r>
        <w:t xml:space="preserve"> or equivalent.</w:t>
      </w:r>
    </w:p>
    <w:p w14:paraId="30FB5F0B" w14:textId="77777777" w:rsidR="00A359BE" w:rsidRDefault="00A359BE" w:rsidP="00A359BE">
      <w:pPr>
        <w:pStyle w:val="ListParagraph"/>
        <w:numPr>
          <w:ilvl w:val="0"/>
          <w:numId w:val="7"/>
        </w:numPr>
        <w:spacing w:after="160" w:line="259" w:lineRule="auto"/>
      </w:pPr>
      <w:r>
        <w:t>Proven experience in conducting studies and providing recommendations on technological standards for data remittance in a supervisory context.</w:t>
      </w:r>
    </w:p>
    <w:p w14:paraId="7EB2411B" w14:textId="77777777" w:rsidR="00A359BE" w:rsidRDefault="00A359BE" w:rsidP="00A359BE">
      <w:pPr>
        <w:pStyle w:val="ListParagraph"/>
        <w:numPr>
          <w:ilvl w:val="0"/>
          <w:numId w:val="7"/>
        </w:numPr>
        <w:spacing w:after="160" w:line="259" w:lineRule="auto"/>
      </w:pPr>
      <w:r>
        <w:t>Familiarity with benchmarking similar standards in other countries and adapting them to the Moroccan context.</w:t>
      </w:r>
    </w:p>
    <w:p w14:paraId="08E201E5" w14:textId="77777777" w:rsidR="00A359BE" w:rsidRDefault="00A359BE" w:rsidP="00A359BE">
      <w:pPr>
        <w:pStyle w:val="ListParagraph"/>
        <w:spacing w:after="160" w:line="259" w:lineRule="auto"/>
      </w:pPr>
    </w:p>
    <w:p w14:paraId="616F676F" w14:textId="77777777" w:rsidR="00A359BE" w:rsidRPr="00A359BE" w:rsidRDefault="00A359BE" w:rsidP="00A359BE">
      <w:pPr>
        <w:pStyle w:val="ListParagraph"/>
        <w:spacing w:after="160" w:line="259" w:lineRule="auto"/>
        <w:rPr>
          <w:b/>
          <w:bCs/>
          <w:u w:val="single"/>
        </w:rPr>
      </w:pPr>
      <w:r w:rsidRPr="00A359BE">
        <w:rPr>
          <w:b/>
          <w:bCs/>
          <w:u w:val="single"/>
        </w:rPr>
        <w:t>Senior Expert - Change Management:</w:t>
      </w:r>
    </w:p>
    <w:p w14:paraId="722654B7" w14:textId="77777777" w:rsidR="00A359BE" w:rsidRDefault="00A359BE" w:rsidP="00A359BE">
      <w:pPr>
        <w:pStyle w:val="ListParagraph"/>
        <w:numPr>
          <w:ilvl w:val="0"/>
          <w:numId w:val="7"/>
        </w:numPr>
        <w:spacing w:after="160" w:line="259" w:lineRule="auto"/>
      </w:pPr>
      <w:r>
        <w:t>Advanced degree in management, communication, business administration, or a related field.</w:t>
      </w:r>
    </w:p>
    <w:p w14:paraId="0DCF9FCB" w14:textId="77777777" w:rsidR="00A359BE" w:rsidRDefault="00A359BE" w:rsidP="00A359BE">
      <w:pPr>
        <w:pStyle w:val="ListParagraph"/>
        <w:numPr>
          <w:ilvl w:val="0"/>
          <w:numId w:val="7"/>
        </w:numPr>
        <w:spacing w:after="160" w:line="259" w:lineRule="auto"/>
      </w:pPr>
      <w:r>
        <w:t>5+ years of experience in change management, particularly in the context of financial supervision and regulatory reporting.</w:t>
      </w:r>
    </w:p>
    <w:p w14:paraId="2469B7BB" w14:textId="77777777" w:rsidR="00A359BE" w:rsidRDefault="00A359BE" w:rsidP="00A359BE">
      <w:pPr>
        <w:pStyle w:val="ListParagraph"/>
        <w:numPr>
          <w:ilvl w:val="0"/>
          <w:numId w:val="7"/>
        </w:numPr>
        <w:spacing w:after="160" w:line="259" w:lineRule="auto"/>
      </w:pPr>
      <w:r>
        <w:t>Expertise in delivering training, workshops, and awareness sessions.</w:t>
      </w:r>
    </w:p>
    <w:p w14:paraId="33874EA4" w14:textId="77777777" w:rsidR="00A359BE" w:rsidRDefault="00A359BE" w:rsidP="00A359BE">
      <w:pPr>
        <w:pStyle w:val="ListParagraph"/>
        <w:numPr>
          <w:ilvl w:val="0"/>
          <w:numId w:val="7"/>
        </w:numPr>
        <w:spacing w:after="160" w:line="259" w:lineRule="auto"/>
      </w:pPr>
      <w:r>
        <w:t>Skilled in communication strategies to foster engagement with internal teams and external reporting entities.</w:t>
      </w:r>
    </w:p>
    <w:p w14:paraId="22BBD56B" w14:textId="106280CE" w:rsidR="00463081" w:rsidRPr="00A359BE" w:rsidRDefault="00A359BE" w:rsidP="00A359BE">
      <w:pPr>
        <w:pStyle w:val="ListParagraph"/>
        <w:numPr>
          <w:ilvl w:val="0"/>
          <w:numId w:val="7"/>
        </w:numPr>
        <w:spacing w:after="160" w:line="259" w:lineRule="auto"/>
      </w:pPr>
      <w:r>
        <w:t>Proven experience in managing skill transfer initiatives to ensure sustainability of reforms.</w:t>
      </w:r>
    </w:p>
    <w:p w14:paraId="3771295C" w14:textId="77777777" w:rsidR="00B429CC" w:rsidRPr="00B429CC" w:rsidRDefault="00B429CC" w:rsidP="00B429CC">
      <w:pPr>
        <w:rPr>
          <w:lang w:val="en-GB"/>
        </w:rPr>
      </w:pPr>
      <w:r w:rsidRPr="00B429CC">
        <w:rPr>
          <w:lang w:val="en-GB"/>
        </w:rPr>
        <w:t>All proposed Key Experts should have experience in at least three (3) similar assignments relevant to their respective areas of expertise.</w:t>
      </w:r>
    </w:p>
    <w:p w14:paraId="132277DC" w14:textId="77777777" w:rsidR="00B429CC" w:rsidRPr="00B429CC" w:rsidRDefault="00B429CC" w:rsidP="00B429CC">
      <w:pPr>
        <w:rPr>
          <w:lang w:val="en-GB"/>
        </w:rPr>
      </w:pPr>
      <w:r w:rsidRPr="00B429CC">
        <w:rPr>
          <w:lang w:val="en-GB"/>
        </w:rPr>
        <w:t>At least one (1) of the Key Experts in the team must be proficient in Islamic economics and finance, ensuring alignment with the needs of participatory finance in Morocco.</w:t>
      </w:r>
    </w:p>
    <w:p w14:paraId="6CDA8F26" w14:textId="025EAFF9" w:rsidR="00463081" w:rsidRPr="00F56A78" w:rsidRDefault="00B429CC" w:rsidP="00B429CC">
      <w:pPr>
        <w:rPr>
          <w:lang w:val="en-GB"/>
        </w:rPr>
      </w:pPr>
      <w:r w:rsidRPr="00B429CC">
        <w:rPr>
          <w:lang w:val="en-GB"/>
        </w:rPr>
        <w:t>The team should demonstrate a combined expertise in banking supervision, regulatory reporting, IT solutions, and change management to deliver a holistic solution for the assignment.</w:t>
      </w:r>
    </w:p>
    <w:bookmarkEnd w:id="1"/>
    <w:p w14:paraId="568DD975" w14:textId="77777777" w:rsidR="00463081" w:rsidRPr="006D2159" w:rsidRDefault="00463081" w:rsidP="00463081">
      <w:pPr>
        <w:spacing w:after="0" w:line="240" w:lineRule="auto"/>
        <w:rPr>
          <w:rFonts w:ascii="Roboto Light" w:hAnsi="Roboto Light"/>
        </w:rPr>
      </w:pPr>
    </w:p>
    <w:p w14:paraId="1ADC52EB" w14:textId="53AC15C3" w:rsidR="00463081" w:rsidRPr="00755F5D" w:rsidRDefault="00463081" w:rsidP="00463081">
      <w:pPr>
        <w:spacing w:after="0" w:line="240" w:lineRule="auto"/>
        <w:jc w:val="center"/>
        <w:rPr>
          <w:rFonts w:asciiTheme="majorBidi" w:hAnsiTheme="majorBidi" w:cstheme="majorBidi"/>
          <w:b/>
          <w:bCs/>
          <w:sz w:val="28"/>
          <w:szCs w:val="28"/>
        </w:rPr>
      </w:pPr>
      <w:r w:rsidRPr="00755F5D">
        <w:rPr>
          <w:rFonts w:asciiTheme="majorBidi" w:hAnsiTheme="majorBidi" w:cstheme="majorBidi"/>
          <w:b/>
          <w:bCs/>
          <w:sz w:val="28"/>
          <w:szCs w:val="28"/>
        </w:rPr>
        <w:t>Annex 1.1: Presentation of Bank Al-Maghrib</w:t>
      </w:r>
    </w:p>
    <w:p w14:paraId="1165CD0D" w14:textId="77777777" w:rsidR="00463081" w:rsidRPr="001F7E90" w:rsidRDefault="00463081" w:rsidP="00463081">
      <w:r w:rsidRPr="001F7E90">
        <w:t>Created on July 1, 1959, Bank Al-Maghrib is a public legal entity with financial autonomy whose purpose, functions, operations as well as the terms of administration, management and control are set by its statute.</w:t>
      </w:r>
    </w:p>
    <w:p w14:paraId="097830BC" w14:textId="77777777" w:rsidR="00463081" w:rsidRPr="001F7E90" w:rsidRDefault="00463081" w:rsidP="00463081">
      <w:r w:rsidRPr="001F7E90">
        <w:t>Under its statute, Bank Al-Maghrib is responsible for:</w:t>
      </w:r>
    </w:p>
    <w:p w14:paraId="62F25AEF" w14:textId="77777777" w:rsidR="00463081" w:rsidRPr="001F7E90" w:rsidRDefault="00463081" w:rsidP="00463081">
      <w:pPr>
        <w:pStyle w:val="ListParagraph"/>
        <w:numPr>
          <w:ilvl w:val="0"/>
          <w:numId w:val="7"/>
        </w:numPr>
        <w:spacing w:after="160" w:line="259" w:lineRule="auto"/>
      </w:pPr>
      <w:r>
        <w:t>T</w:t>
      </w:r>
      <w:r w:rsidRPr="001F7E90">
        <w:t>he financial advisor to the Government.</w:t>
      </w:r>
    </w:p>
    <w:p w14:paraId="06977D56" w14:textId="77777777" w:rsidR="00463081" w:rsidRDefault="00463081" w:rsidP="00463081">
      <w:pPr>
        <w:pStyle w:val="ListParagraph"/>
        <w:numPr>
          <w:ilvl w:val="0"/>
          <w:numId w:val="7"/>
        </w:numPr>
        <w:spacing w:after="160" w:line="259" w:lineRule="auto"/>
      </w:pPr>
      <w:r w:rsidRPr="001F7E90">
        <w:t xml:space="preserve">Exercising the privilege of issuing banknotes and coins that are legal tender in the territory of the Kingdom of </w:t>
      </w:r>
      <w:proofErr w:type="gramStart"/>
      <w:r w:rsidRPr="001F7E90">
        <w:t>Morocco;</w:t>
      </w:r>
      <w:proofErr w:type="gramEnd"/>
    </w:p>
    <w:p w14:paraId="7CAFFF0A" w14:textId="77777777" w:rsidR="00463081" w:rsidRDefault="00463081" w:rsidP="00463081">
      <w:pPr>
        <w:pStyle w:val="ListParagraph"/>
        <w:numPr>
          <w:ilvl w:val="0"/>
          <w:numId w:val="7"/>
        </w:numPr>
        <w:spacing w:after="160" w:line="259" w:lineRule="auto"/>
      </w:pPr>
      <w:r w:rsidRPr="001F7E90">
        <w:t xml:space="preserve">Contributing, within the limits of the powers conferred on it, to the achievement of the economic and social objectives set by the </w:t>
      </w:r>
      <w:proofErr w:type="gramStart"/>
      <w:r w:rsidRPr="001F7E90">
        <w:t>Government;</w:t>
      </w:r>
      <w:proofErr w:type="gramEnd"/>
    </w:p>
    <w:p w14:paraId="06D828AF" w14:textId="77777777" w:rsidR="00463081" w:rsidRDefault="00463081" w:rsidP="00463081">
      <w:pPr>
        <w:pStyle w:val="ListParagraph"/>
        <w:numPr>
          <w:ilvl w:val="0"/>
          <w:numId w:val="7"/>
        </w:numPr>
        <w:spacing w:after="160" w:line="259" w:lineRule="auto"/>
      </w:pPr>
      <w:r w:rsidRPr="001F7E90">
        <w:t xml:space="preserve">Ensuring price </w:t>
      </w:r>
      <w:proofErr w:type="gramStart"/>
      <w:r w:rsidRPr="001F7E90">
        <w:t>stability;</w:t>
      </w:r>
      <w:proofErr w:type="gramEnd"/>
    </w:p>
    <w:p w14:paraId="2D9D7367" w14:textId="77777777" w:rsidR="00463081" w:rsidRDefault="00463081" w:rsidP="00463081">
      <w:pPr>
        <w:pStyle w:val="ListParagraph"/>
        <w:numPr>
          <w:ilvl w:val="0"/>
          <w:numId w:val="7"/>
        </w:numPr>
        <w:spacing w:after="160" w:line="259" w:lineRule="auto"/>
      </w:pPr>
      <w:r w:rsidRPr="001F7E90">
        <w:t xml:space="preserve">Ensuring the smooth functioning of the money market and its </w:t>
      </w:r>
      <w:proofErr w:type="gramStart"/>
      <w:r w:rsidRPr="001F7E90">
        <w:t>control;</w:t>
      </w:r>
      <w:proofErr w:type="gramEnd"/>
    </w:p>
    <w:p w14:paraId="0C61083E" w14:textId="77777777" w:rsidR="00463081" w:rsidRDefault="00463081" w:rsidP="00463081">
      <w:pPr>
        <w:pStyle w:val="ListParagraph"/>
        <w:numPr>
          <w:ilvl w:val="0"/>
          <w:numId w:val="7"/>
        </w:numPr>
        <w:spacing w:after="160" w:line="259" w:lineRule="auto"/>
      </w:pPr>
      <w:r w:rsidRPr="001F7E90">
        <w:t xml:space="preserve">Ensuring the proper functioning of the banking system and ensuring the application of legislative and regulatory provisions relating to the exercise and control of the activity of credit institutions and similar </w:t>
      </w:r>
      <w:proofErr w:type="gramStart"/>
      <w:r w:rsidRPr="001F7E90">
        <w:t>bodies;</w:t>
      </w:r>
      <w:proofErr w:type="gramEnd"/>
    </w:p>
    <w:p w14:paraId="0185F37E" w14:textId="77777777" w:rsidR="00463081" w:rsidRDefault="00463081" w:rsidP="00463081">
      <w:pPr>
        <w:pStyle w:val="ListParagraph"/>
        <w:numPr>
          <w:ilvl w:val="0"/>
          <w:numId w:val="7"/>
        </w:numPr>
        <w:spacing w:after="160" w:line="259" w:lineRule="auto"/>
      </w:pPr>
      <w:r w:rsidRPr="001F7E90">
        <w:t xml:space="preserve">Managing foreign exchange </w:t>
      </w:r>
      <w:proofErr w:type="gramStart"/>
      <w:r w:rsidRPr="001F7E90">
        <w:t>reserves;</w:t>
      </w:r>
      <w:proofErr w:type="gramEnd"/>
    </w:p>
    <w:p w14:paraId="0ADAC866" w14:textId="77777777" w:rsidR="00463081" w:rsidRDefault="00463081" w:rsidP="00463081">
      <w:pPr>
        <w:pStyle w:val="ListParagraph"/>
        <w:numPr>
          <w:ilvl w:val="0"/>
          <w:numId w:val="7"/>
        </w:numPr>
        <w:spacing w:after="160" w:line="259" w:lineRule="auto"/>
      </w:pPr>
      <w:r w:rsidRPr="001F7E90">
        <w:t xml:space="preserve">Facilitating the transfer of funds and ensuring the proper functioning and security of payment </w:t>
      </w:r>
      <w:proofErr w:type="gramStart"/>
      <w:r w:rsidRPr="001F7E90">
        <w:t>systems;</w:t>
      </w:r>
      <w:proofErr w:type="gramEnd"/>
    </w:p>
    <w:p w14:paraId="06469733" w14:textId="77777777" w:rsidR="00463081" w:rsidRDefault="00463081" w:rsidP="00463081">
      <w:pPr>
        <w:pStyle w:val="ListParagraph"/>
        <w:numPr>
          <w:ilvl w:val="0"/>
          <w:numId w:val="7"/>
        </w:numPr>
        <w:spacing w:after="160" w:line="259" w:lineRule="auto"/>
      </w:pPr>
      <w:r w:rsidRPr="001F7E90">
        <w:t>Establishing statistics on money and credit.</w:t>
      </w:r>
    </w:p>
    <w:p w14:paraId="5D232999" w14:textId="77777777" w:rsidR="00463081" w:rsidRPr="00755F5D" w:rsidRDefault="00463081" w:rsidP="00463081">
      <w:pPr>
        <w:spacing w:after="0" w:line="240" w:lineRule="auto"/>
        <w:jc w:val="center"/>
        <w:rPr>
          <w:rFonts w:asciiTheme="majorBidi" w:hAnsiTheme="majorBidi" w:cstheme="majorBidi"/>
          <w:b/>
          <w:bCs/>
          <w:sz w:val="28"/>
          <w:szCs w:val="28"/>
        </w:rPr>
      </w:pPr>
      <w:r w:rsidRPr="00755F5D">
        <w:rPr>
          <w:rFonts w:asciiTheme="majorBidi" w:hAnsiTheme="majorBidi" w:cstheme="majorBidi"/>
          <w:b/>
          <w:bCs/>
          <w:sz w:val="28"/>
          <w:szCs w:val="28"/>
        </w:rPr>
        <w:t xml:space="preserve">Annex </w:t>
      </w:r>
      <w:r>
        <w:rPr>
          <w:rFonts w:asciiTheme="majorBidi" w:hAnsiTheme="majorBidi" w:cstheme="majorBidi"/>
          <w:b/>
          <w:bCs/>
          <w:sz w:val="28"/>
          <w:szCs w:val="28"/>
        </w:rPr>
        <w:t>1.</w:t>
      </w:r>
      <w:r w:rsidRPr="00755F5D">
        <w:rPr>
          <w:rFonts w:asciiTheme="majorBidi" w:hAnsiTheme="majorBidi" w:cstheme="majorBidi"/>
          <w:b/>
          <w:bCs/>
          <w:sz w:val="28"/>
          <w:szCs w:val="28"/>
        </w:rPr>
        <w:t>2: Presentation of the Banking Supervision Function</w:t>
      </w:r>
    </w:p>
    <w:p w14:paraId="28FFBF44" w14:textId="77777777" w:rsidR="00463081" w:rsidRPr="001F7E90" w:rsidRDefault="00463081" w:rsidP="00463081">
      <w:r w:rsidRPr="001F7E90">
        <w:t>In Morocco, the exercise of banking activity and the terms of its supervision are governed by the provisions of Law No. 103-12 on credit institutions and similar bodies, promulgated by Dahir No. 1-14-193 of 1 Rabii I 1436 (December 24, 2014), hereinafter referred to as the Banking Law, as well as by the regulatory texts taken for their application.</w:t>
      </w:r>
    </w:p>
    <w:p w14:paraId="76596C6A" w14:textId="77777777" w:rsidR="00463081" w:rsidRPr="001F7E90" w:rsidRDefault="00463081" w:rsidP="00463081">
      <w:r>
        <w:t>B</w:t>
      </w:r>
      <w:r w:rsidRPr="006A183C">
        <w:t>ank Al-Maghrib has general jurisdiction over the entire process of licensing and supervising the banking profession</w:t>
      </w:r>
      <w:r w:rsidRPr="001F7E90">
        <w:t>. It is responsible for issuing prudential and accounting standards applicable to subject institutions, ensuring their compliance, dealing with any difficulties they may encounter and sanctioning any breaches found. It is also responsible for ensuring the financial integrity of the banking sector and protecting the interests of customers.</w:t>
      </w:r>
    </w:p>
    <w:p w14:paraId="5FA1211B" w14:textId="77777777" w:rsidR="00463081" w:rsidRPr="001F7E90" w:rsidRDefault="00463081" w:rsidP="00463081"/>
    <w:p w14:paraId="437FF9BA" w14:textId="77777777" w:rsidR="00463081" w:rsidRPr="00692D63" w:rsidRDefault="00463081" w:rsidP="00463081">
      <w:pPr>
        <w:spacing w:before="120" w:after="120" w:line="360" w:lineRule="auto"/>
        <w:jc w:val="both"/>
        <w:rPr>
          <w:rFonts w:ascii="Arial" w:eastAsia="Calibri" w:hAnsi="Arial" w:cs="Arial"/>
          <w:b/>
          <w:bCs/>
          <w:color w:val="2F5496"/>
        </w:rPr>
      </w:pPr>
      <w:r w:rsidRPr="00692D63">
        <w:rPr>
          <w:rFonts w:ascii="Arial" w:eastAsia="Calibri" w:hAnsi="Arial" w:cs="Arial"/>
          <w:b/>
          <w:bCs/>
          <w:color w:val="2F5496"/>
        </w:rPr>
        <w:t xml:space="preserve">Operational Framework of the Banking Supervision Function </w:t>
      </w:r>
      <w:r>
        <w:rPr>
          <w:rFonts w:ascii="Arial" w:eastAsia="Calibri" w:hAnsi="Arial" w:cs="Arial"/>
          <w:b/>
          <w:bCs/>
          <w:color w:val="2F5496"/>
        </w:rPr>
        <w:t>(DSB)</w:t>
      </w:r>
    </w:p>
    <w:p w14:paraId="1F9C2425" w14:textId="77777777" w:rsidR="00463081" w:rsidRPr="001F7E90" w:rsidRDefault="00463081" w:rsidP="00463081">
      <w:r w:rsidRPr="001F7E90">
        <w:t>The Banking Supervision Directorate (DSB) is placed under the direct authority of the Bank's Government. It has general jurisdiction over all matters relating to micro-prudential supervision, financial integrity and the resolution of credit institutions and similar bodies.</w:t>
      </w:r>
    </w:p>
    <w:p w14:paraId="44237589" w14:textId="77777777" w:rsidR="00463081" w:rsidRPr="001F7E90" w:rsidRDefault="00463081" w:rsidP="00463081">
      <w:r w:rsidRPr="001F7E90">
        <w:t>It provides secretarial work for several bodies:</w:t>
      </w:r>
    </w:p>
    <w:p w14:paraId="1F60D74C" w14:textId="77777777" w:rsidR="00463081" w:rsidRPr="001F7E90" w:rsidRDefault="00463081" w:rsidP="00463081">
      <w:pPr>
        <w:pStyle w:val="ListParagraph"/>
        <w:numPr>
          <w:ilvl w:val="0"/>
          <w:numId w:val="8"/>
        </w:numPr>
        <w:spacing w:after="160" w:line="259" w:lineRule="auto"/>
      </w:pPr>
      <w:r w:rsidRPr="001F7E90">
        <w:t xml:space="preserve">Sharia Committee for Participatory </w:t>
      </w:r>
      <w:proofErr w:type="gramStart"/>
      <w:r w:rsidRPr="001F7E90">
        <w:t>Finance;</w:t>
      </w:r>
      <w:proofErr w:type="gramEnd"/>
    </w:p>
    <w:p w14:paraId="61303FDF" w14:textId="77777777" w:rsidR="00463081" w:rsidRPr="001F7E90" w:rsidRDefault="00463081" w:rsidP="00463081">
      <w:pPr>
        <w:pStyle w:val="ListParagraph"/>
        <w:numPr>
          <w:ilvl w:val="0"/>
          <w:numId w:val="8"/>
        </w:numPr>
        <w:spacing w:after="160" w:line="259" w:lineRule="auto"/>
      </w:pPr>
      <w:r w:rsidRPr="001F7E90">
        <w:t xml:space="preserve">Credit Institutions </w:t>
      </w:r>
      <w:proofErr w:type="gramStart"/>
      <w:r w:rsidRPr="001F7E90">
        <w:t>Committee;</w:t>
      </w:r>
      <w:proofErr w:type="gramEnd"/>
    </w:p>
    <w:p w14:paraId="130F2FDF" w14:textId="77777777" w:rsidR="00463081" w:rsidRPr="001F7E90" w:rsidRDefault="00463081" w:rsidP="00463081">
      <w:pPr>
        <w:pStyle w:val="ListParagraph"/>
        <w:numPr>
          <w:ilvl w:val="0"/>
          <w:numId w:val="8"/>
        </w:numPr>
        <w:spacing w:after="160" w:line="259" w:lineRule="auto"/>
      </w:pPr>
      <w:r w:rsidRPr="001F7E90">
        <w:t xml:space="preserve">Disciplinary Commission for Credit </w:t>
      </w:r>
      <w:proofErr w:type="gramStart"/>
      <w:r w:rsidRPr="001F7E90">
        <w:t>Institutions;</w:t>
      </w:r>
      <w:proofErr w:type="gramEnd"/>
    </w:p>
    <w:p w14:paraId="48AC3A07" w14:textId="77777777" w:rsidR="00463081" w:rsidRDefault="00463081" w:rsidP="00463081">
      <w:pPr>
        <w:pStyle w:val="ListParagraph"/>
        <w:numPr>
          <w:ilvl w:val="0"/>
          <w:numId w:val="8"/>
        </w:numPr>
        <w:spacing w:after="160" w:line="259" w:lineRule="auto"/>
      </w:pPr>
      <w:r w:rsidRPr="001F7E90">
        <w:t xml:space="preserve">Crisis </w:t>
      </w:r>
      <w:proofErr w:type="gramStart"/>
      <w:r w:rsidRPr="001F7E90">
        <w:t>Committee;</w:t>
      </w:r>
      <w:proofErr w:type="gramEnd"/>
    </w:p>
    <w:p w14:paraId="123B0B58" w14:textId="661DE747" w:rsidR="00463081" w:rsidRPr="001F7E90" w:rsidRDefault="00463081" w:rsidP="00463081">
      <w:r w:rsidRPr="001F7E90">
        <w:t xml:space="preserve">The organization of the DSB is based on </w:t>
      </w:r>
      <w:r w:rsidR="00F248AB">
        <w:t>eight departments</w:t>
      </w:r>
      <w:r w:rsidRPr="001F7E90">
        <w:t>:</w:t>
      </w:r>
    </w:p>
    <w:p w14:paraId="2EA98FCA" w14:textId="612891F4" w:rsidR="00F248AB" w:rsidRPr="00F248AB" w:rsidRDefault="00F248AB" w:rsidP="00F248AB">
      <w:pPr>
        <w:numPr>
          <w:ilvl w:val="0"/>
          <w:numId w:val="17"/>
        </w:numPr>
      </w:pPr>
      <w:r w:rsidRPr="00F248AB">
        <w:t xml:space="preserve">the Regulation and Licensing </w:t>
      </w:r>
      <w:proofErr w:type="gramStart"/>
      <w:r>
        <w:t>Department</w:t>
      </w:r>
      <w:r w:rsidRPr="00F248AB">
        <w:t>;</w:t>
      </w:r>
      <w:proofErr w:type="gramEnd"/>
      <w:r w:rsidRPr="00F248AB">
        <w:t xml:space="preserve"> </w:t>
      </w:r>
    </w:p>
    <w:p w14:paraId="39FDF680" w14:textId="3D2B760E" w:rsidR="00F248AB" w:rsidRPr="00F248AB" w:rsidRDefault="00F248AB" w:rsidP="00F248AB">
      <w:pPr>
        <w:numPr>
          <w:ilvl w:val="0"/>
          <w:numId w:val="17"/>
        </w:numPr>
      </w:pPr>
      <w:r w:rsidRPr="00F248AB">
        <w:t xml:space="preserve">the Systemic Banks Supervision </w:t>
      </w:r>
      <w:proofErr w:type="gramStart"/>
      <w:r>
        <w:t>Department</w:t>
      </w:r>
      <w:r w:rsidRPr="00F248AB">
        <w:t>;</w:t>
      </w:r>
      <w:proofErr w:type="gramEnd"/>
      <w:r w:rsidRPr="00F248AB">
        <w:t xml:space="preserve"> </w:t>
      </w:r>
    </w:p>
    <w:p w14:paraId="5EE6563A" w14:textId="4C668130" w:rsidR="00F248AB" w:rsidRPr="00F248AB" w:rsidRDefault="00F248AB" w:rsidP="00F248AB">
      <w:pPr>
        <w:numPr>
          <w:ilvl w:val="0"/>
          <w:numId w:val="17"/>
        </w:numPr>
      </w:pPr>
      <w:r w:rsidRPr="00F248AB">
        <w:t xml:space="preserve">the Non-Systemic Banks and Other Institutions Supervision </w:t>
      </w:r>
      <w:proofErr w:type="gramStart"/>
      <w:r>
        <w:t>Department</w:t>
      </w:r>
      <w:r w:rsidRPr="00F248AB">
        <w:t>;</w:t>
      </w:r>
      <w:proofErr w:type="gramEnd"/>
      <w:r w:rsidRPr="00F248AB">
        <w:t xml:space="preserve"> </w:t>
      </w:r>
    </w:p>
    <w:p w14:paraId="4586E515" w14:textId="525B0D3E" w:rsidR="00F248AB" w:rsidRPr="00F248AB" w:rsidRDefault="00F248AB" w:rsidP="00F248AB">
      <w:pPr>
        <w:numPr>
          <w:ilvl w:val="0"/>
          <w:numId w:val="17"/>
        </w:numPr>
      </w:pPr>
      <w:r w:rsidRPr="00F248AB">
        <w:t xml:space="preserve">the Participatory Finance Regulation </w:t>
      </w:r>
      <w:proofErr w:type="gramStart"/>
      <w:r>
        <w:t>Department</w:t>
      </w:r>
      <w:r w:rsidRPr="00F248AB">
        <w:t>;</w:t>
      </w:r>
      <w:proofErr w:type="gramEnd"/>
      <w:r w:rsidRPr="00F248AB">
        <w:t xml:space="preserve"> </w:t>
      </w:r>
    </w:p>
    <w:p w14:paraId="630F33B0" w14:textId="511E0440" w:rsidR="00F248AB" w:rsidRPr="00F248AB" w:rsidRDefault="00F248AB" w:rsidP="00F248AB">
      <w:pPr>
        <w:numPr>
          <w:ilvl w:val="0"/>
          <w:numId w:val="17"/>
        </w:numPr>
      </w:pPr>
      <w:r w:rsidRPr="00F248AB">
        <w:t xml:space="preserve">the Climate Finance Regulation </w:t>
      </w:r>
      <w:proofErr w:type="gramStart"/>
      <w:r>
        <w:t>Department</w:t>
      </w:r>
      <w:r w:rsidRPr="00F248AB">
        <w:t>;</w:t>
      </w:r>
      <w:proofErr w:type="gramEnd"/>
      <w:r w:rsidRPr="00F248AB">
        <w:t xml:space="preserve"> </w:t>
      </w:r>
    </w:p>
    <w:p w14:paraId="593ED7B4" w14:textId="1B8B4027" w:rsidR="00F248AB" w:rsidRPr="00F248AB" w:rsidRDefault="00F248AB" w:rsidP="00F248AB">
      <w:pPr>
        <w:numPr>
          <w:ilvl w:val="0"/>
          <w:numId w:val="17"/>
        </w:numPr>
      </w:pPr>
      <w:r w:rsidRPr="00F248AB">
        <w:t xml:space="preserve">the Digital Finance Regulation </w:t>
      </w:r>
      <w:proofErr w:type="gramStart"/>
      <w:r>
        <w:t>Department</w:t>
      </w:r>
      <w:r w:rsidRPr="00F248AB">
        <w:t>;</w:t>
      </w:r>
      <w:proofErr w:type="gramEnd"/>
      <w:r w:rsidRPr="00F248AB">
        <w:t xml:space="preserve"> </w:t>
      </w:r>
    </w:p>
    <w:p w14:paraId="5AE5FC64" w14:textId="6166BB9C" w:rsidR="00F248AB" w:rsidRPr="00F248AB" w:rsidRDefault="00F248AB" w:rsidP="00F248AB">
      <w:pPr>
        <w:numPr>
          <w:ilvl w:val="0"/>
          <w:numId w:val="17"/>
        </w:numPr>
      </w:pPr>
      <w:r w:rsidRPr="00F248AB">
        <w:t xml:space="preserve">the Studies and Risks </w:t>
      </w:r>
      <w:proofErr w:type="gramStart"/>
      <w:r>
        <w:t>Department</w:t>
      </w:r>
      <w:r w:rsidRPr="00F248AB">
        <w:t>;</w:t>
      </w:r>
      <w:proofErr w:type="gramEnd"/>
      <w:r w:rsidRPr="00F248AB">
        <w:t xml:space="preserve"> </w:t>
      </w:r>
    </w:p>
    <w:p w14:paraId="441066AA" w14:textId="31A57558" w:rsidR="00F248AB" w:rsidRPr="00F248AB" w:rsidRDefault="00F248AB" w:rsidP="00F248AB">
      <w:pPr>
        <w:numPr>
          <w:ilvl w:val="0"/>
          <w:numId w:val="17"/>
        </w:numPr>
      </w:pPr>
      <w:r w:rsidRPr="00F248AB">
        <w:t xml:space="preserve">the On-site Inspection </w:t>
      </w:r>
      <w:proofErr w:type="gramStart"/>
      <w:r w:rsidRPr="00F248AB">
        <w:t>Department;</w:t>
      </w:r>
      <w:proofErr w:type="gramEnd"/>
      <w:r w:rsidRPr="00F248AB">
        <w:t xml:space="preserve"> </w:t>
      </w:r>
    </w:p>
    <w:p w14:paraId="443F5589" w14:textId="77777777" w:rsidR="00F248AB" w:rsidRPr="00F248AB" w:rsidRDefault="00F248AB" w:rsidP="00F248AB">
      <w:pPr>
        <w:numPr>
          <w:ilvl w:val="0"/>
          <w:numId w:val="17"/>
        </w:numPr>
        <w:rPr>
          <w:lang w:val="fr-FR"/>
        </w:rPr>
      </w:pPr>
      <w:proofErr w:type="gramStart"/>
      <w:r w:rsidRPr="00F248AB">
        <w:rPr>
          <w:lang w:val="fr-FR"/>
        </w:rPr>
        <w:t>the</w:t>
      </w:r>
      <w:proofErr w:type="gramEnd"/>
      <w:r w:rsidRPr="00F248AB">
        <w:rPr>
          <w:lang w:val="fr-FR"/>
        </w:rPr>
        <w:t xml:space="preserve"> Banking </w:t>
      </w:r>
      <w:proofErr w:type="spellStart"/>
      <w:r w:rsidRPr="00F248AB">
        <w:rPr>
          <w:lang w:val="fr-FR"/>
        </w:rPr>
        <w:t>Resolution</w:t>
      </w:r>
      <w:proofErr w:type="spellEnd"/>
      <w:r w:rsidRPr="00F248AB">
        <w:rPr>
          <w:lang w:val="fr-FR"/>
        </w:rPr>
        <w:t xml:space="preserve"> </w:t>
      </w:r>
      <w:proofErr w:type="gramStart"/>
      <w:r w:rsidRPr="00F248AB">
        <w:rPr>
          <w:lang w:val="fr-FR"/>
        </w:rPr>
        <w:t>Unit;</w:t>
      </w:r>
      <w:proofErr w:type="gramEnd"/>
      <w:r w:rsidRPr="00F248AB">
        <w:rPr>
          <w:lang w:val="fr-FR"/>
        </w:rPr>
        <w:t xml:space="preserve"> </w:t>
      </w:r>
    </w:p>
    <w:p w14:paraId="4CC13113" w14:textId="77777777" w:rsidR="00F248AB" w:rsidRPr="00F248AB" w:rsidRDefault="00F248AB" w:rsidP="00F248AB">
      <w:pPr>
        <w:numPr>
          <w:ilvl w:val="0"/>
          <w:numId w:val="17"/>
        </w:numPr>
      </w:pPr>
      <w:r w:rsidRPr="00F248AB">
        <w:t xml:space="preserve">the Steering and Standardization </w:t>
      </w:r>
      <w:proofErr w:type="gramStart"/>
      <w:r w:rsidRPr="00F248AB">
        <w:t>Unit;</w:t>
      </w:r>
      <w:proofErr w:type="gramEnd"/>
      <w:r w:rsidRPr="00F248AB">
        <w:t xml:space="preserve"> </w:t>
      </w:r>
    </w:p>
    <w:p w14:paraId="2A848A9C" w14:textId="77777777" w:rsidR="00F248AB" w:rsidRPr="00F248AB" w:rsidRDefault="00F248AB" w:rsidP="00F248AB">
      <w:pPr>
        <w:numPr>
          <w:ilvl w:val="0"/>
          <w:numId w:val="17"/>
        </w:numPr>
      </w:pPr>
      <w:r w:rsidRPr="00F248AB">
        <w:t xml:space="preserve">the Internal Control and Support Unit. </w:t>
      </w:r>
    </w:p>
    <w:p w14:paraId="0AC04862" w14:textId="77777777" w:rsidR="00463081" w:rsidRPr="001F7E90" w:rsidRDefault="00463081" w:rsidP="00463081">
      <w:r w:rsidRPr="001F7E90">
        <w:t>To carry out its missions, the DSB currently has a staff of 92 agents, more than half of whom are assigned to micro-prudential supervision activities and the rest being divided between regulatory and licensing activities as well as studies and specific risk activities.</w:t>
      </w:r>
    </w:p>
    <w:p w14:paraId="0DA58EE7" w14:textId="77777777" w:rsidR="00463081" w:rsidRPr="00692D63" w:rsidRDefault="00463081" w:rsidP="00463081">
      <w:pPr>
        <w:pStyle w:val="ListParagraph"/>
        <w:numPr>
          <w:ilvl w:val="0"/>
          <w:numId w:val="9"/>
        </w:numPr>
        <w:spacing w:after="160" w:line="259" w:lineRule="auto"/>
      </w:pPr>
      <w:r w:rsidRPr="00692D63">
        <w:t>The operational process of banking supervision is divided into the following macro-activities:</w:t>
      </w:r>
    </w:p>
    <w:p w14:paraId="2367E958" w14:textId="77777777" w:rsidR="00463081" w:rsidRPr="00692D63" w:rsidRDefault="00463081" w:rsidP="00463081">
      <w:pPr>
        <w:pStyle w:val="ListParagraph"/>
        <w:numPr>
          <w:ilvl w:val="0"/>
          <w:numId w:val="9"/>
        </w:numPr>
        <w:spacing w:after="160" w:line="259" w:lineRule="auto"/>
      </w:pPr>
      <w:r w:rsidRPr="00692D63">
        <w:t>Define and monitor regulations.</w:t>
      </w:r>
    </w:p>
    <w:p w14:paraId="646F9C00" w14:textId="77777777" w:rsidR="00463081" w:rsidRPr="00692D63" w:rsidRDefault="00463081" w:rsidP="00463081">
      <w:pPr>
        <w:pStyle w:val="ListParagraph"/>
        <w:numPr>
          <w:ilvl w:val="0"/>
          <w:numId w:val="9"/>
        </w:numPr>
        <w:spacing w:after="160" w:line="259" w:lineRule="auto"/>
      </w:pPr>
      <w:r w:rsidRPr="00692D63">
        <w:t xml:space="preserve">Ensure micro-prudential surveillance and </w:t>
      </w:r>
      <w:proofErr w:type="gramStart"/>
      <w:r w:rsidRPr="00692D63">
        <w:t>controls;</w:t>
      </w:r>
      <w:proofErr w:type="gramEnd"/>
    </w:p>
    <w:p w14:paraId="28C08D55" w14:textId="77777777" w:rsidR="00463081" w:rsidRPr="00692D63" w:rsidRDefault="00463081" w:rsidP="00463081">
      <w:pPr>
        <w:pStyle w:val="ListParagraph"/>
        <w:numPr>
          <w:ilvl w:val="0"/>
          <w:numId w:val="9"/>
        </w:numPr>
        <w:spacing w:after="160" w:line="259" w:lineRule="auto"/>
      </w:pPr>
      <w:r w:rsidRPr="00692D63">
        <w:t>Manage approvals and authorizations.</w:t>
      </w:r>
    </w:p>
    <w:p w14:paraId="7DFACDD7" w14:textId="77777777" w:rsidR="00463081" w:rsidRPr="00692D63" w:rsidRDefault="00463081" w:rsidP="00463081">
      <w:pPr>
        <w:pStyle w:val="ListParagraph"/>
        <w:numPr>
          <w:ilvl w:val="0"/>
          <w:numId w:val="9"/>
        </w:numPr>
        <w:spacing w:after="160" w:line="259" w:lineRule="auto"/>
      </w:pPr>
      <w:r w:rsidRPr="00692D63">
        <w:t>Manage the difficulties of subject institutions.</w:t>
      </w:r>
    </w:p>
    <w:p w14:paraId="19B7BAC0" w14:textId="77777777" w:rsidR="00463081" w:rsidRPr="00692D63" w:rsidRDefault="00463081" w:rsidP="00463081">
      <w:pPr>
        <w:pStyle w:val="ListParagraph"/>
        <w:numPr>
          <w:ilvl w:val="0"/>
          <w:numId w:val="9"/>
        </w:numPr>
        <w:spacing w:after="160" w:line="259" w:lineRule="auto"/>
      </w:pPr>
      <w:r w:rsidRPr="00692D63">
        <w:t>Exchange with foreign banking supervisory authorities.</w:t>
      </w:r>
    </w:p>
    <w:p w14:paraId="38842527" w14:textId="77777777" w:rsidR="00463081" w:rsidRPr="00692D63" w:rsidRDefault="00463081" w:rsidP="00463081">
      <w:pPr>
        <w:pStyle w:val="ListParagraph"/>
        <w:numPr>
          <w:ilvl w:val="0"/>
          <w:numId w:val="9"/>
        </w:numPr>
        <w:spacing w:after="160" w:line="259" w:lineRule="auto"/>
      </w:pPr>
      <w:r w:rsidRPr="00692D63">
        <w:t>Ensure customer protection.</w:t>
      </w:r>
    </w:p>
    <w:p w14:paraId="409214FF" w14:textId="77777777" w:rsidR="00463081" w:rsidRPr="00692D63" w:rsidRDefault="00463081" w:rsidP="00463081">
      <w:pPr>
        <w:pStyle w:val="ListParagraph"/>
        <w:numPr>
          <w:ilvl w:val="0"/>
          <w:numId w:val="9"/>
        </w:numPr>
        <w:spacing w:after="160" w:line="259" w:lineRule="auto"/>
      </w:pPr>
      <w:r w:rsidRPr="00692D63">
        <w:t>Prepare the annual report.</w:t>
      </w:r>
    </w:p>
    <w:p w14:paraId="3F3C4D95" w14:textId="77777777" w:rsidR="00463081" w:rsidRPr="001F7E90" w:rsidRDefault="00463081" w:rsidP="00463081">
      <w:r w:rsidRPr="001F7E90">
        <w:t>The main partners of the Banking Supervision Directorate are:</w:t>
      </w:r>
    </w:p>
    <w:p w14:paraId="077929E5" w14:textId="77777777" w:rsidR="00463081" w:rsidRPr="001F7E90" w:rsidRDefault="00463081" w:rsidP="00463081">
      <w:pPr>
        <w:pStyle w:val="ListParagraph"/>
        <w:numPr>
          <w:ilvl w:val="0"/>
          <w:numId w:val="9"/>
        </w:numPr>
        <w:spacing w:after="160" w:line="259" w:lineRule="auto"/>
      </w:pPr>
      <w:r>
        <w:t>Supervised</w:t>
      </w:r>
      <w:r w:rsidRPr="001F7E90">
        <w:t xml:space="preserve"> institutions.</w:t>
      </w:r>
    </w:p>
    <w:p w14:paraId="4E48E4B9" w14:textId="77777777" w:rsidR="00463081" w:rsidRDefault="00463081" w:rsidP="00463081">
      <w:pPr>
        <w:pStyle w:val="ListParagraph"/>
        <w:numPr>
          <w:ilvl w:val="0"/>
          <w:numId w:val="9"/>
        </w:numPr>
        <w:spacing w:after="160" w:line="259" w:lineRule="auto"/>
      </w:pPr>
      <w:r w:rsidRPr="001F7E90">
        <w:t>Bank</w:t>
      </w:r>
      <w:r>
        <w:t xml:space="preserve"> al-maghrib </w:t>
      </w:r>
      <w:proofErr w:type="gramStart"/>
      <w:r>
        <w:t>departments</w:t>
      </w:r>
      <w:r w:rsidRPr="001F7E90">
        <w:t>;</w:t>
      </w:r>
      <w:proofErr w:type="gramEnd"/>
    </w:p>
    <w:p w14:paraId="5D7B5F54" w14:textId="77777777" w:rsidR="00463081" w:rsidRPr="001F7E90" w:rsidRDefault="00463081" w:rsidP="00463081">
      <w:pPr>
        <w:pStyle w:val="ListParagraph"/>
        <w:numPr>
          <w:ilvl w:val="0"/>
          <w:numId w:val="9"/>
        </w:numPr>
        <w:spacing w:after="160" w:line="259" w:lineRule="auto"/>
      </w:pPr>
      <w:r w:rsidRPr="001F7E90">
        <w:t xml:space="preserve">The Sharia Committee for Participatory </w:t>
      </w:r>
      <w:proofErr w:type="gramStart"/>
      <w:r w:rsidRPr="001F7E90">
        <w:t>Finance;</w:t>
      </w:r>
      <w:proofErr w:type="gramEnd"/>
    </w:p>
    <w:p w14:paraId="6104F65A" w14:textId="77777777" w:rsidR="00463081" w:rsidRPr="001F7E90" w:rsidRDefault="00463081" w:rsidP="00463081">
      <w:pPr>
        <w:pStyle w:val="ListParagraph"/>
        <w:numPr>
          <w:ilvl w:val="0"/>
          <w:numId w:val="9"/>
        </w:numPr>
        <w:spacing w:after="160" w:line="259" w:lineRule="auto"/>
      </w:pPr>
      <w:r w:rsidRPr="001F7E90">
        <w:t xml:space="preserve">The Ministry of Economy and </w:t>
      </w:r>
      <w:proofErr w:type="gramStart"/>
      <w:r w:rsidRPr="001F7E90">
        <w:t>Finance;</w:t>
      </w:r>
      <w:proofErr w:type="gramEnd"/>
    </w:p>
    <w:p w14:paraId="166BB68F" w14:textId="77777777" w:rsidR="00463081" w:rsidRPr="001F7E90" w:rsidRDefault="00463081" w:rsidP="00463081">
      <w:pPr>
        <w:pStyle w:val="ListParagraph"/>
        <w:numPr>
          <w:ilvl w:val="0"/>
          <w:numId w:val="9"/>
        </w:numPr>
        <w:spacing w:after="160" w:line="259" w:lineRule="auto"/>
      </w:pPr>
      <w:r w:rsidRPr="001F7E90">
        <w:t xml:space="preserve">The General Secretariat of the </w:t>
      </w:r>
      <w:proofErr w:type="gramStart"/>
      <w:r w:rsidRPr="001F7E90">
        <w:t>Government;</w:t>
      </w:r>
      <w:proofErr w:type="gramEnd"/>
    </w:p>
    <w:p w14:paraId="3D4759F3" w14:textId="77777777" w:rsidR="00463081" w:rsidRPr="001F7E90" w:rsidRDefault="00463081" w:rsidP="00463081">
      <w:pPr>
        <w:pStyle w:val="ListParagraph"/>
        <w:numPr>
          <w:ilvl w:val="0"/>
          <w:numId w:val="9"/>
        </w:numPr>
        <w:spacing w:after="160" w:line="259" w:lineRule="auto"/>
      </w:pPr>
      <w:r w:rsidRPr="001F7E90">
        <w:t xml:space="preserve">The Professional Association of Banks of </w:t>
      </w:r>
      <w:proofErr w:type="gramStart"/>
      <w:r w:rsidRPr="001F7E90">
        <w:t>Morocco;</w:t>
      </w:r>
      <w:proofErr w:type="gramEnd"/>
    </w:p>
    <w:p w14:paraId="75529C7C" w14:textId="77777777" w:rsidR="00463081" w:rsidRPr="001F7E90" w:rsidRDefault="00463081" w:rsidP="00463081">
      <w:pPr>
        <w:pStyle w:val="ListParagraph"/>
        <w:numPr>
          <w:ilvl w:val="0"/>
          <w:numId w:val="9"/>
        </w:numPr>
        <w:spacing w:after="160" w:line="259" w:lineRule="auto"/>
      </w:pPr>
      <w:r w:rsidRPr="001F7E90">
        <w:t xml:space="preserve">The Professional Association of Finance </w:t>
      </w:r>
      <w:proofErr w:type="gramStart"/>
      <w:r w:rsidRPr="001F7E90">
        <w:t>Companies;</w:t>
      </w:r>
      <w:proofErr w:type="gramEnd"/>
    </w:p>
    <w:p w14:paraId="7D4A3FBF" w14:textId="77777777" w:rsidR="00463081" w:rsidRPr="001F7E90" w:rsidRDefault="00463081" w:rsidP="00463081">
      <w:pPr>
        <w:pStyle w:val="ListParagraph"/>
        <w:numPr>
          <w:ilvl w:val="0"/>
          <w:numId w:val="9"/>
        </w:numPr>
        <w:spacing w:after="160" w:line="259" w:lineRule="auto"/>
      </w:pPr>
      <w:r w:rsidRPr="001F7E90">
        <w:t xml:space="preserve">The National Federation of Microcredit </w:t>
      </w:r>
      <w:proofErr w:type="gramStart"/>
      <w:r w:rsidRPr="001F7E90">
        <w:t>Associations;</w:t>
      </w:r>
      <w:proofErr w:type="gramEnd"/>
    </w:p>
    <w:p w14:paraId="247C8896" w14:textId="77777777" w:rsidR="00463081" w:rsidRPr="001F7E90" w:rsidRDefault="00463081" w:rsidP="00463081">
      <w:pPr>
        <w:pStyle w:val="ListParagraph"/>
        <w:numPr>
          <w:ilvl w:val="0"/>
          <w:numId w:val="9"/>
        </w:numPr>
        <w:spacing w:after="160" w:line="259" w:lineRule="auto"/>
      </w:pPr>
      <w:r w:rsidRPr="001F7E90">
        <w:t xml:space="preserve">The supervisory authorities of the capital and insurance </w:t>
      </w:r>
      <w:proofErr w:type="gramStart"/>
      <w:r w:rsidRPr="001F7E90">
        <w:t>markets;</w:t>
      </w:r>
      <w:proofErr w:type="gramEnd"/>
    </w:p>
    <w:p w14:paraId="5890A241" w14:textId="77777777" w:rsidR="00463081" w:rsidRPr="001F7E90" w:rsidRDefault="00463081" w:rsidP="00463081">
      <w:pPr>
        <w:pStyle w:val="ListParagraph"/>
        <w:numPr>
          <w:ilvl w:val="0"/>
          <w:numId w:val="9"/>
        </w:numPr>
        <w:spacing w:after="160" w:line="259" w:lineRule="auto"/>
      </w:pPr>
      <w:r w:rsidRPr="001F7E90">
        <w:t xml:space="preserve">Statutory </w:t>
      </w:r>
      <w:proofErr w:type="gramStart"/>
      <w:r w:rsidRPr="001F7E90">
        <w:t>auditors;</w:t>
      </w:r>
      <w:proofErr w:type="gramEnd"/>
    </w:p>
    <w:p w14:paraId="3FAD878E" w14:textId="77777777" w:rsidR="00463081" w:rsidRPr="001F7E90" w:rsidRDefault="00463081" w:rsidP="00463081">
      <w:pPr>
        <w:pStyle w:val="ListParagraph"/>
        <w:numPr>
          <w:ilvl w:val="0"/>
          <w:numId w:val="9"/>
        </w:numPr>
        <w:spacing w:after="160" w:line="259" w:lineRule="auto"/>
      </w:pPr>
      <w:r w:rsidRPr="001F7E90">
        <w:t xml:space="preserve">Similar authorities </w:t>
      </w:r>
      <w:proofErr w:type="gramStart"/>
      <w:r w:rsidRPr="001F7E90">
        <w:t>abroad;</w:t>
      </w:r>
      <w:proofErr w:type="gramEnd"/>
    </w:p>
    <w:p w14:paraId="7F363AA8" w14:textId="77777777" w:rsidR="00463081" w:rsidRPr="001F7E90" w:rsidRDefault="00463081" w:rsidP="00463081">
      <w:pPr>
        <w:pStyle w:val="ListParagraph"/>
        <w:numPr>
          <w:ilvl w:val="0"/>
          <w:numId w:val="9"/>
        </w:numPr>
        <w:spacing w:after="160" w:line="259" w:lineRule="auto"/>
      </w:pPr>
      <w:r w:rsidRPr="001F7E90">
        <w:t xml:space="preserve">The </w:t>
      </w:r>
      <w:proofErr w:type="gramStart"/>
      <w:r w:rsidRPr="001F7E90">
        <w:t>general public</w:t>
      </w:r>
      <w:proofErr w:type="gramEnd"/>
      <w:r w:rsidRPr="001F7E90">
        <w:t xml:space="preserve"> and the various </w:t>
      </w:r>
      <w:proofErr w:type="gramStart"/>
      <w:r w:rsidRPr="001F7E90">
        <w:t>administrations;</w:t>
      </w:r>
      <w:proofErr w:type="gramEnd"/>
    </w:p>
    <w:p w14:paraId="5E754AB2" w14:textId="77777777" w:rsidR="00463081" w:rsidRPr="001F7E90" w:rsidRDefault="00463081" w:rsidP="00463081">
      <w:pPr>
        <w:pStyle w:val="ListParagraph"/>
        <w:numPr>
          <w:ilvl w:val="0"/>
          <w:numId w:val="9"/>
        </w:numPr>
        <w:spacing w:after="160" w:line="259" w:lineRule="auto"/>
      </w:pPr>
      <w:r w:rsidRPr="001F7E90">
        <w:t>International financial institutions (IMF, World Bank, IFC, etc.</w:t>
      </w:r>
      <w:proofErr w:type="gramStart"/>
      <w:r w:rsidRPr="001F7E90">
        <w:t>);</w:t>
      </w:r>
      <w:proofErr w:type="gramEnd"/>
    </w:p>
    <w:p w14:paraId="54BF7EAE" w14:textId="77777777" w:rsidR="00463081" w:rsidRPr="001F7E90" w:rsidRDefault="00463081" w:rsidP="00463081">
      <w:pPr>
        <w:pStyle w:val="ListParagraph"/>
        <w:numPr>
          <w:ilvl w:val="0"/>
          <w:numId w:val="9"/>
        </w:numPr>
        <w:spacing w:after="160" w:line="259" w:lineRule="auto"/>
      </w:pPr>
      <w:r w:rsidRPr="001F7E90">
        <w:t>Multilateral/regional development institutions (AfDB, EBRD, IDB, etc.</w:t>
      </w:r>
      <w:proofErr w:type="gramStart"/>
      <w:r w:rsidRPr="001F7E90">
        <w:t>);</w:t>
      </w:r>
      <w:proofErr w:type="gramEnd"/>
    </w:p>
    <w:p w14:paraId="516BC841" w14:textId="77777777" w:rsidR="00463081" w:rsidRPr="001F7E90" w:rsidRDefault="00463081" w:rsidP="00463081">
      <w:pPr>
        <w:pStyle w:val="ListParagraph"/>
        <w:numPr>
          <w:ilvl w:val="0"/>
          <w:numId w:val="9"/>
        </w:numPr>
        <w:spacing w:after="160" w:line="259" w:lineRule="auto"/>
      </w:pPr>
      <w:r w:rsidRPr="001F7E90">
        <w:t xml:space="preserve">The Moroccan Banking Mediation </w:t>
      </w:r>
      <w:proofErr w:type="gramStart"/>
      <w:r w:rsidRPr="001F7E90">
        <w:t>Center;</w:t>
      </w:r>
      <w:proofErr w:type="gramEnd"/>
    </w:p>
    <w:p w14:paraId="2EEE46CC" w14:textId="77777777" w:rsidR="00463081" w:rsidRPr="001F7E90" w:rsidRDefault="00463081" w:rsidP="00463081">
      <w:pPr>
        <w:pStyle w:val="ListParagraph"/>
        <w:numPr>
          <w:ilvl w:val="0"/>
          <w:numId w:val="9"/>
        </w:numPr>
        <w:spacing w:after="160" w:line="259" w:lineRule="auto"/>
      </w:pPr>
      <w:r w:rsidRPr="001F7E90">
        <w:t xml:space="preserve">The Management Company of the Deposit Guarantee </w:t>
      </w:r>
      <w:proofErr w:type="gramStart"/>
      <w:r w:rsidRPr="001F7E90">
        <w:t>Fund;</w:t>
      </w:r>
      <w:proofErr w:type="gramEnd"/>
    </w:p>
    <w:p w14:paraId="061ECA24" w14:textId="77777777" w:rsidR="00463081" w:rsidRPr="001F7E90" w:rsidRDefault="00463081" w:rsidP="00463081">
      <w:pPr>
        <w:pStyle w:val="ListParagraph"/>
        <w:numPr>
          <w:ilvl w:val="0"/>
          <w:numId w:val="9"/>
        </w:numPr>
        <w:spacing w:after="160" w:line="259" w:lineRule="auto"/>
      </w:pPr>
      <w:r w:rsidRPr="001F7E90">
        <w:t xml:space="preserve">Liquidators and provisional administrators of credit </w:t>
      </w:r>
      <w:proofErr w:type="gramStart"/>
      <w:r w:rsidRPr="001F7E90">
        <w:t>institutions;</w:t>
      </w:r>
      <w:proofErr w:type="gramEnd"/>
    </w:p>
    <w:p w14:paraId="663D8C3C" w14:textId="77777777" w:rsidR="00463081" w:rsidRPr="001F7E90" w:rsidRDefault="00463081" w:rsidP="00463081">
      <w:pPr>
        <w:pStyle w:val="ListParagraph"/>
        <w:numPr>
          <w:ilvl w:val="0"/>
          <w:numId w:val="9"/>
        </w:numPr>
        <w:spacing w:after="160" w:line="259" w:lineRule="auto"/>
      </w:pPr>
      <w:r w:rsidRPr="001F7E90">
        <w:t>International and regional networks of central banks and regulators (NGFS, SBN, FMA, AFI, etc.</w:t>
      </w:r>
      <w:proofErr w:type="gramStart"/>
      <w:r w:rsidRPr="001F7E90">
        <w:t>);</w:t>
      </w:r>
      <w:proofErr w:type="gramEnd"/>
    </w:p>
    <w:p w14:paraId="6239CCBC" w14:textId="77777777" w:rsidR="00463081" w:rsidRPr="001F7E90" w:rsidRDefault="00463081" w:rsidP="00463081">
      <w:pPr>
        <w:pStyle w:val="ListParagraph"/>
        <w:numPr>
          <w:ilvl w:val="0"/>
          <w:numId w:val="9"/>
        </w:numPr>
        <w:spacing w:after="160" w:line="259" w:lineRule="auto"/>
      </w:pPr>
      <w:r w:rsidRPr="001F7E90">
        <w:t>Regulatory bodies (CNC, etc.</w:t>
      </w:r>
      <w:proofErr w:type="gramStart"/>
      <w:r w:rsidRPr="001F7E90">
        <w:t>);</w:t>
      </w:r>
      <w:proofErr w:type="gramEnd"/>
    </w:p>
    <w:p w14:paraId="5E703A90" w14:textId="77777777" w:rsidR="00463081" w:rsidRPr="001F7E90" w:rsidRDefault="00463081" w:rsidP="00463081">
      <w:pPr>
        <w:pStyle w:val="ListParagraph"/>
        <w:numPr>
          <w:ilvl w:val="0"/>
          <w:numId w:val="9"/>
        </w:numPr>
        <w:spacing w:after="160" w:line="259" w:lineRule="auto"/>
      </w:pPr>
      <w:r w:rsidRPr="001F7E90">
        <w:t>The Financial Intelligence Processing Unit.</w:t>
      </w:r>
    </w:p>
    <w:p w14:paraId="1283803B" w14:textId="77777777" w:rsidR="00463081" w:rsidRPr="00755F5D" w:rsidRDefault="00463081" w:rsidP="00463081">
      <w:pPr>
        <w:jc w:val="center"/>
        <w:rPr>
          <w:rFonts w:asciiTheme="majorBidi" w:hAnsiTheme="majorBidi" w:cstheme="majorBidi"/>
          <w:b/>
          <w:bCs/>
          <w:sz w:val="28"/>
          <w:szCs w:val="28"/>
        </w:rPr>
      </w:pPr>
      <w:r w:rsidRPr="00755F5D">
        <w:rPr>
          <w:rFonts w:asciiTheme="majorBidi" w:hAnsiTheme="majorBidi" w:cstheme="majorBidi"/>
          <w:b/>
          <w:bCs/>
          <w:sz w:val="28"/>
          <w:szCs w:val="28"/>
        </w:rPr>
        <w:t xml:space="preserve">Annex </w:t>
      </w:r>
      <w:r>
        <w:rPr>
          <w:rFonts w:asciiTheme="majorBidi" w:hAnsiTheme="majorBidi" w:cstheme="majorBidi"/>
          <w:b/>
          <w:bCs/>
          <w:sz w:val="28"/>
          <w:szCs w:val="28"/>
        </w:rPr>
        <w:t>1.</w:t>
      </w:r>
      <w:r w:rsidRPr="00755F5D">
        <w:rPr>
          <w:rFonts w:asciiTheme="majorBidi" w:hAnsiTheme="majorBidi" w:cstheme="majorBidi"/>
          <w:b/>
          <w:bCs/>
          <w:sz w:val="28"/>
          <w:szCs w:val="28"/>
        </w:rPr>
        <w:t xml:space="preserve">3 </w:t>
      </w:r>
      <w:bookmarkStart w:id="2" w:name="_Toc51248390"/>
      <w:r w:rsidRPr="00755F5D">
        <w:rPr>
          <w:rFonts w:asciiTheme="majorBidi" w:hAnsiTheme="majorBidi" w:cstheme="majorBidi"/>
          <w:b/>
          <w:bCs/>
          <w:sz w:val="28"/>
          <w:szCs w:val="28"/>
        </w:rPr>
        <w:t>: THE BANKING SECTOR IN MOROCCO</w:t>
      </w:r>
      <w:bookmarkEnd w:id="2"/>
    </w:p>
    <w:p w14:paraId="59DB09B6" w14:textId="77777777" w:rsidR="00463081" w:rsidRPr="001E4D8F" w:rsidRDefault="00463081" w:rsidP="00463081">
      <w:r w:rsidRPr="001E4D8F">
        <w:t>The domestic financial landscape depicts a more modern and efficient sector</w:t>
      </w:r>
    </w:p>
    <w:p w14:paraId="29816B67" w14:textId="3F3D7AB9" w:rsidR="001E4D8F" w:rsidRPr="001E4D8F" w:rsidRDefault="001E4D8F" w:rsidP="00463081">
      <w:r w:rsidRPr="001E4D8F">
        <w:t>At the end of 2024, the Moroccan banking sector continued to comprise banks, finance companies, offshore banks and microcredit associations, as well as 5 participative banks and 3 participative windows operated by conventional banks.</w:t>
      </w:r>
    </w:p>
    <w:p w14:paraId="6D4076E7" w14:textId="77777777" w:rsidR="00463081" w:rsidRPr="00271DA1" w:rsidRDefault="00463081" w:rsidP="00463081">
      <w:r w:rsidRPr="00271DA1">
        <w:t>Table 4: Banking sector in Morocco</w:t>
      </w:r>
    </w:p>
    <w:tbl>
      <w:tblPr>
        <w:tblW w:w="4309" w:type="pct"/>
        <w:jc w:val="center"/>
        <w:tblCellMar>
          <w:left w:w="0" w:type="dxa"/>
          <w:right w:w="0" w:type="dxa"/>
        </w:tblCellMar>
        <w:tblLook w:val="04A0" w:firstRow="1" w:lastRow="0" w:firstColumn="1" w:lastColumn="0" w:noHBand="0" w:noVBand="1"/>
      </w:tblPr>
      <w:tblGrid>
        <w:gridCol w:w="6640"/>
        <w:gridCol w:w="305"/>
        <w:gridCol w:w="911"/>
        <w:gridCol w:w="210"/>
      </w:tblGrid>
      <w:tr w:rsidR="00463081" w:rsidRPr="00A4495C" w14:paraId="77A28E5C" w14:textId="77777777" w:rsidTr="009B5135">
        <w:trPr>
          <w:trHeight w:val="300"/>
          <w:jc w:val="center"/>
        </w:trPr>
        <w:tc>
          <w:tcPr>
            <w:tcW w:w="4116" w:type="pct"/>
            <w:shd w:val="clear" w:color="auto" w:fill="F2F2F2"/>
            <w:noWrap/>
            <w:tcMar>
              <w:top w:w="0" w:type="dxa"/>
              <w:left w:w="70" w:type="dxa"/>
              <w:bottom w:w="0" w:type="dxa"/>
              <w:right w:w="70" w:type="dxa"/>
            </w:tcMar>
            <w:vAlign w:val="center"/>
            <w:hideMark/>
          </w:tcPr>
          <w:p w14:paraId="039488A9" w14:textId="77777777" w:rsidR="00463081" w:rsidRPr="00A4495C" w:rsidRDefault="00463081" w:rsidP="00A51D40">
            <w:pPr>
              <w:rPr>
                <w:rFonts w:ascii="Roboto Light" w:hAnsi="Roboto Light"/>
              </w:rPr>
            </w:pPr>
            <w:r w:rsidRPr="00A4495C">
              <w:rPr>
                <w:rFonts w:ascii="Roboto Light" w:hAnsi="Roboto Light"/>
              </w:rPr>
              <w:t>Banks</w:t>
            </w:r>
          </w:p>
        </w:tc>
        <w:tc>
          <w:tcPr>
            <w:tcW w:w="189" w:type="pct"/>
            <w:shd w:val="clear" w:color="auto" w:fill="F2F2F2"/>
            <w:noWrap/>
            <w:tcMar>
              <w:top w:w="0" w:type="dxa"/>
              <w:left w:w="70" w:type="dxa"/>
              <w:bottom w:w="0" w:type="dxa"/>
              <w:right w:w="70" w:type="dxa"/>
            </w:tcMar>
            <w:vAlign w:val="bottom"/>
            <w:hideMark/>
          </w:tcPr>
          <w:p w14:paraId="744B80DA" w14:textId="77777777" w:rsidR="00463081" w:rsidRPr="00A4495C" w:rsidRDefault="00463081" w:rsidP="00A51D40">
            <w:r w:rsidRPr="00A4495C">
              <w:rPr>
                <w:rFonts w:ascii="Arial" w:hAnsi="Arial"/>
                <w:color w:val="000000"/>
              </w:rPr>
              <w:t> </w:t>
            </w:r>
          </w:p>
        </w:tc>
        <w:tc>
          <w:tcPr>
            <w:tcW w:w="565" w:type="pct"/>
            <w:shd w:val="clear" w:color="auto" w:fill="F2F2F2"/>
            <w:noWrap/>
            <w:tcMar>
              <w:top w:w="0" w:type="dxa"/>
              <w:left w:w="70" w:type="dxa"/>
              <w:bottom w:w="0" w:type="dxa"/>
              <w:right w:w="70" w:type="dxa"/>
            </w:tcMar>
            <w:vAlign w:val="center"/>
            <w:hideMark/>
          </w:tcPr>
          <w:p w14:paraId="0F9B13A6" w14:textId="25811960" w:rsidR="00463081" w:rsidRPr="00A4495C" w:rsidRDefault="00F54BFF" w:rsidP="00A51D40">
            <w:pPr>
              <w:jc w:val="center"/>
            </w:pPr>
            <w:r>
              <w:rPr>
                <w:rFonts w:ascii="Arial" w:hAnsi="Arial"/>
                <w:color w:val="000000"/>
              </w:rPr>
              <w:t>19</w:t>
            </w:r>
          </w:p>
        </w:tc>
        <w:tc>
          <w:tcPr>
            <w:tcW w:w="130" w:type="pct"/>
            <w:noWrap/>
            <w:tcMar>
              <w:top w:w="0" w:type="dxa"/>
              <w:left w:w="70" w:type="dxa"/>
              <w:bottom w:w="0" w:type="dxa"/>
              <w:right w:w="70" w:type="dxa"/>
            </w:tcMar>
            <w:vAlign w:val="bottom"/>
            <w:hideMark/>
          </w:tcPr>
          <w:p w14:paraId="4B4D82DF" w14:textId="77777777" w:rsidR="00463081" w:rsidRPr="00A4495C" w:rsidRDefault="00463081" w:rsidP="00A51D40"/>
        </w:tc>
      </w:tr>
      <w:tr w:rsidR="00463081" w:rsidRPr="00A4495C" w14:paraId="141BE6AA" w14:textId="77777777" w:rsidTr="009B5135">
        <w:trPr>
          <w:trHeight w:val="300"/>
          <w:jc w:val="center"/>
        </w:trPr>
        <w:tc>
          <w:tcPr>
            <w:tcW w:w="4116" w:type="pct"/>
            <w:shd w:val="clear" w:color="auto" w:fill="FFFFFF"/>
            <w:noWrap/>
            <w:tcMar>
              <w:top w:w="0" w:type="dxa"/>
              <w:left w:w="70" w:type="dxa"/>
              <w:bottom w:w="0" w:type="dxa"/>
              <w:right w:w="70" w:type="dxa"/>
            </w:tcMar>
            <w:vAlign w:val="center"/>
            <w:hideMark/>
          </w:tcPr>
          <w:p w14:paraId="323C4819" w14:textId="77777777" w:rsidR="00463081" w:rsidRPr="00A4495C" w:rsidRDefault="00463081" w:rsidP="00A51D40">
            <w:pPr>
              <w:rPr>
                <w:rFonts w:ascii="Roboto Light" w:hAnsi="Roboto Light"/>
              </w:rPr>
            </w:pPr>
            <w:r w:rsidRPr="00A4495C">
              <w:rPr>
                <w:rFonts w:ascii="Roboto Light" w:hAnsi="Roboto Light"/>
              </w:rPr>
              <w:t>of which participati</w:t>
            </w:r>
            <w:r>
              <w:rPr>
                <w:rFonts w:ascii="Roboto Light" w:hAnsi="Roboto Light"/>
              </w:rPr>
              <w:t>on</w:t>
            </w:r>
            <w:r w:rsidRPr="00A4495C">
              <w:rPr>
                <w:rFonts w:ascii="Roboto Light" w:hAnsi="Roboto Light"/>
              </w:rPr>
              <w:t xml:space="preserve"> banks </w:t>
            </w:r>
          </w:p>
        </w:tc>
        <w:tc>
          <w:tcPr>
            <w:tcW w:w="189" w:type="pct"/>
            <w:shd w:val="clear" w:color="auto" w:fill="FFFFFF"/>
            <w:noWrap/>
            <w:tcMar>
              <w:top w:w="0" w:type="dxa"/>
              <w:left w:w="70" w:type="dxa"/>
              <w:bottom w:w="0" w:type="dxa"/>
              <w:right w:w="70" w:type="dxa"/>
            </w:tcMar>
            <w:vAlign w:val="bottom"/>
            <w:hideMark/>
          </w:tcPr>
          <w:p w14:paraId="4DA6B77B" w14:textId="77777777" w:rsidR="00463081" w:rsidRPr="00A4495C" w:rsidRDefault="00463081" w:rsidP="00A51D40">
            <w:r w:rsidRPr="00A4495C">
              <w:rPr>
                <w:rFonts w:ascii="Arial" w:hAnsi="Arial"/>
                <w:color w:val="000000"/>
              </w:rPr>
              <w:t> </w:t>
            </w:r>
          </w:p>
        </w:tc>
        <w:tc>
          <w:tcPr>
            <w:tcW w:w="565" w:type="pct"/>
            <w:shd w:val="clear" w:color="auto" w:fill="FFFFFF"/>
            <w:noWrap/>
            <w:tcMar>
              <w:top w:w="0" w:type="dxa"/>
              <w:left w:w="70" w:type="dxa"/>
              <w:bottom w:w="0" w:type="dxa"/>
              <w:right w:w="70" w:type="dxa"/>
            </w:tcMar>
            <w:vAlign w:val="center"/>
            <w:hideMark/>
          </w:tcPr>
          <w:p w14:paraId="0FD9BFB4" w14:textId="77777777" w:rsidR="00463081" w:rsidRPr="00A4495C" w:rsidRDefault="00463081" w:rsidP="00A51D40">
            <w:pPr>
              <w:jc w:val="center"/>
            </w:pPr>
            <w:r w:rsidRPr="00A4495C">
              <w:rPr>
                <w:rFonts w:ascii="Arial" w:hAnsi="Arial"/>
                <w:color w:val="000000"/>
              </w:rPr>
              <w:t>5</w:t>
            </w:r>
          </w:p>
        </w:tc>
        <w:tc>
          <w:tcPr>
            <w:tcW w:w="130" w:type="pct"/>
            <w:noWrap/>
            <w:tcMar>
              <w:top w:w="0" w:type="dxa"/>
              <w:left w:w="70" w:type="dxa"/>
              <w:bottom w:w="0" w:type="dxa"/>
              <w:right w:w="70" w:type="dxa"/>
            </w:tcMar>
            <w:vAlign w:val="bottom"/>
            <w:hideMark/>
          </w:tcPr>
          <w:p w14:paraId="2F9C23F3" w14:textId="77777777" w:rsidR="00463081" w:rsidRPr="00A4495C" w:rsidRDefault="00463081" w:rsidP="00A51D40"/>
        </w:tc>
      </w:tr>
      <w:tr w:rsidR="00463081" w:rsidRPr="00A4495C" w14:paraId="1F041E79" w14:textId="77777777" w:rsidTr="009B5135">
        <w:trPr>
          <w:trHeight w:val="300"/>
          <w:jc w:val="center"/>
        </w:trPr>
        <w:tc>
          <w:tcPr>
            <w:tcW w:w="4116" w:type="pct"/>
            <w:shd w:val="clear" w:color="auto" w:fill="FFFFFF"/>
            <w:noWrap/>
            <w:tcMar>
              <w:top w:w="0" w:type="dxa"/>
              <w:left w:w="70" w:type="dxa"/>
              <w:bottom w:w="0" w:type="dxa"/>
              <w:right w:w="70" w:type="dxa"/>
            </w:tcMar>
            <w:vAlign w:val="center"/>
            <w:hideMark/>
          </w:tcPr>
          <w:p w14:paraId="0D6CC2E1" w14:textId="77777777" w:rsidR="00463081" w:rsidRPr="00A4495C" w:rsidRDefault="00463081" w:rsidP="00A51D40">
            <w:pPr>
              <w:rPr>
                <w:rFonts w:ascii="Roboto Light" w:hAnsi="Roboto Light"/>
              </w:rPr>
            </w:pPr>
            <w:r w:rsidRPr="00A4495C">
              <w:rPr>
                <w:rFonts w:ascii="Roboto Light" w:hAnsi="Roboto Light"/>
              </w:rPr>
              <w:t>of which participati</w:t>
            </w:r>
            <w:r>
              <w:rPr>
                <w:rFonts w:ascii="Roboto Light" w:hAnsi="Roboto Light"/>
              </w:rPr>
              <w:t>on</w:t>
            </w:r>
            <w:r w:rsidRPr="00A4495C">
              <w:rPr>
                <w:rFonts w:ascii="Roboto Light" w:hAnsi="Roboto Light"/>
              </w:rPr>
              <w:t xml:space="preserve"> windows</w:t>
            </w:r>
          </w:p>
        </w:tc>
        <w:tc>
          <w:tcPr>
            <w:tcW w:w="189" w:type="pct"/>
            <w:shd w:val="clear" w:color="auto" w:fill="FFFFFF"/>
            <w:noWrap/>
            <w:tcMar>
              <w:top w:w="0" w:type="dxa"/>
              <w:left w:w="70" w:type="dxa"/>
              <w:bottom w:w="0" w:type="dxa"/>
              <w:right w:w="70" w:type="dxa"/>
            </w:tcMar>
            <w:vAlign w:val="bottom"/>
            <w:hideMark/>
          </w:tcPr>
          <w:p w14:paraId="207CF148" w14:textId="77777777" w:rsidR="00463081" w:rsidRPr="00A4495C" w:rsidRDefault="00463081" w:rsidP="00A51D40">
            <w:r w:rsidRPr="00A4495C">
              <w:rPr>
                <w:rFonts w:ascii="Arial" w:hAnsi="Arial"/>
                <w:color w:val="000000"/>
              </w:rPr>
              <w:t> </w:t>
            </w:r>
          </w:p>
        </w:tc>
        <w:tc>
          <w:tcPr>
            <w:tcW w:w="565" w:type="pct"/>
            <w:shd w:val="clear" w:color="auto" w:fill="FFFFFF"/>
            <w:noWrap/>
            <w:tcMar>
              <w:top w:w="0" w:type="dxa"/>
              <w:left w:w="70" w:type="dxa"/>
              <w:bottom w:w="0" w:type="dxa"/>
              <w:right w:w="70" w:type="dxa"/>
            </w:tcMar>
            <w:vAlign w:val="center"/>
            <w:hideMark/>
          </w:tcPr>
          <w:p w14:paraId="74410BD4" w14:textId="77777777" w:rsidR="00463081" w:rsidRPr="00A4495C" w:rsidRDefault="00463081" w:rsidP="00A51D40">
            <w:pPr>
              <w:jc w:val="center"/>
            </w:pPr>
            <w:r w:rsidRPr="00A4495C">
              <w:rPr>
                <w:rFonts w:ascii="Arial" w:hAnsi="Arial"/>
                <w:color w:val="000000"/>
              </w:rPr>
              <w:t>3</w:t>
            </w:r>
          </w:p>
        </w:tc>
        <w:tc>
          <w:tcPr>
            <w:tcW w:w="130" w:type="pct"/>
            <w:noWrap/>
            <w:tcMar>
              <w:top w:w="0" w:type="dxa"/>
              <w:left w:w="70" w:type="dxa"/>
              <w:bottom w:w="0" w:type="dxa"/>
              <w:right w:w="70" w:type="dxa"/>
            </w:tcMar>
            <w:vAlign w:val="bottom"/>
            <w:hideMark/>
          </w:tcPr>
          <w:p w14:paraId="7E6FB873" w14:textId="77777777" w:rsidR="00463081" w:rsidRPr="00A4495C" w:rsidRDefault="00463081" w:rsidP="00A51D40">
            <w:pPr>
              <w:jc w:val="center"/>
            </w:pPr>
            <w:r w:rsidRPr="00A4495C">
              <w:rPr>
                <w:rFonts w:ascii="Arial" w:hAnsi="Arial"/>
                <w:color w:val="000000"/>
              </w:rPr>
              <w:t> </w:t>
            </w:r>
          </w:p>
        </w:tc>
      </w:tr>
      <w:tr w:rsidR="00463081" w:rsidRPr="00A4495C" w14:paraId="5D830A6D" w14:textId="77777777" w:rsidTr="009B5135">
        <w:trPr>
          <w:trHeight w:val="300"/>
          <w:jc w:val="center"/>
        </w:trPr>
        <w:tc>
          <w:tcPr>
            <w:tcW w:w="4116" w:type="pct"/>
            <w:shd w:val="clear" w:color="auto" w:fill="F2F2F2"/>
            <w:noWrap/>
            <w:tcMar>
              <w:top w:w="0" w:type="dxa"/>
              <w:left w:w="70" w:type="dxa"/>
              <w:bottom w:w="0" w:type="dxa"/>
              <w:right w:w="70" w:type="dxa"/>
            </w:tcMar>
            <w:vAlign w:val="center"/>
            <w:hideMark/>
          </w:tcPr>
          <w:p w14:paraId="7C11C3D2" w14:textId="77777777" w:rsidR="00463081" w:rsidRPr="00A4495C" w:rsidRDefault="00463081" w:rsidP="00A51D40">
            <w:pPr>
              <w:rPr>
                <w:rFonts w:ascii="Roboto Light" w:hAnsi="Roboto Light"/>
              </w:rPr>
            </w:pPr>
            <w:r w:rsidRPr="00A4495C">
              <w:rPr>
                <w:rFonts w:ascii="Roboto Light" w:hAnsi="Roboto Light"/>
              </w:rPr>
              <w:t>Finance companies</w:t>
            </w:r>
          </w:p>
        </w:tc>
        <w:tc>
          <w:tcPr>
            <w:tcW w:w="189" w:type="pct"/>
            <w:shd w:val="clear" w:color="auto" w:fill="F2F2F2"/>
            <w:noWrap/>
            <w:tcMar>
              <w:top w:w="0" w:type="dxa"/>
              <w:left w:w="70" w:type="dxa"/>
              <w:bottom w:w="0" w:type="dxa"/>
              <w:right w:w="70" w:type="dxa"/>
            </w:tcMar>
            <w:vAlign w:val="bottom"/>
            <w:hideMark/>
          </w:tcPr>
          <w:p w14:paraId="50925483" w14:textId="77777777" w:rsidR="00463081" w:rsidRPr="00A4495C" w:rsidRDefault="00463081" w:rsidP="00A51D40">
            <w:r w:rsidRPr="00A4495C">
              <w:rPr>
                <w:rFonts w:ascii="Arial" w:hAnsi="Arial"/>
                <w:color w:val="000000"/>
              </w:rPr>
              <w:t> </w:t>
            </w:r>
          </w:p>
        </w:tc>
        <w:tc>
          <w:tcPr>
            <w:tcW w:w="565" w:type="pct"/>
            <w:shd w:val="clear" w:color="auto" w:fill="F2F2F2"/>
            <w:noWrap/>
            <w:tcMar>
              <w:top w:w="0" w:type="dxa"/>
              <w:left w:w="70" w:type="dxa"/>
              <w:bottom w:w="0" w:type="dxa"/>
              <w:right w:w="70" w:type="dxa"/>
            </w:tcMar>
            <w:vAlign w:val="center"/>
            <w:hideMark/>
          </w:tcPr>
          <w:p w14:paraId="18C0FDEF" w14:textId="77777777" w:rsidR="00463081" w:rsidRPr="00A4495C" w:rsidRDefault="00463081" w:rsidP="00A51D40">
            <w:pPr>
              <w:jc w:val="center"/>
            </w:pPr>
            <w:r w:rsidRPr="00A4495C">
              <w:rPr>
                <w:rFonts w:ascii="Arial" w:hAnsi="Arial"/>
                <w:color w:val="000000"/>
              </w:rPr>
              <w:t>2</w:t>
            </w:r>
            <w:r>
              <w:rPr>
                <w:rFonts w:ascii="Arial" w:hAnsi="Arial"/>
                <w:color w:val="000000"/>
              </w:rPr>
              <w:t>9</w:t>
            </w:r>
          </w:p>
        </w:tc>
        <w:tc>
          <w:tcPr>
            <w:tcW w:w="130" w:type="pct"/>
            <w:noWrap/>
            <w:tcMar>
              <w:top w:w="0" w:type="dxa"/>
              <w:left w:w="70" w:type="dxa"/>
              <w:bottom w:w="0" w:type="dxa"/>
              <w:right w:w="70" w:type="dxa"/>
            </w:tcMar>
            <w:vAlign w:val="bottom"/>
            <w:hideMark/>
          </w:tcPr>
          <w:p w14:paraId="3EDA7338" w14:textId="77777777" w:rsidR="00463081" w:rsidRPr="00A4495C" w:rsidRDefault="00463081" w:rsidP="00A51D40"/>
        </w:tc>
      </w:tr>
      <w:tr w:rsidR="00463081" w:rsidRPr="00A4495C" w14:paraId="686450B5" w14:textId="77777777" w:rsidTr="009B5135">
        <w:trPr>
          <w:trHeight w:val="300"/>
          <w:jc w:val="center"/>
        </w:trPr>
        <w:tc>
          <w:tcPr>
            <w:tcW w:w="4116" w:type="pct"/>
            <w:shd w:val="clear" w:color="auto" w:fill="FFFFFF"/>
            <w:noWrap/>
            <w:tcMar>
              <w:top w:w="0" w:type="dxa"/>
              <w:left w:w="70" w:type="dxa"/>
              <w:bottom w:w="0" w:type="dxa"/>
              <w:right w:w="70" w:type="dxa"/>
            </w:tcMar>
            <w:vAlign w:val="center"/>
            <w:hideMark/>
          </w:tcPr>
          <w:p w14:paraId="0733E4B2" w14:textId="77777777" w:rsidR="00463081" w:rsidRPr="00A4495C" w:rsidRDefault="00463081" w:rsidP="00A51D40">
            <w:pPr>
              <w:rPr>
                <w:rFonts w:ascii="Roboto Light" w:hAnsi="Roboto Light"/>
              </w:rPr>
            </w:pPr>
            <w:r w:rsidRPr="00A4495C">
              <w:rPr>
                <w:rFonts w:ascii="Roboto Light" w:hAnsi="Roboto Light"/>
              </w:rPr>
              <w:t>Offshore banks</w:t>
            </w:r>
          </w:p>
        </w:tc>
        <w:tc>
          <w:tcPr>
            <w:tcW w:w="189" w:type="pct"/>
            <w:shd w:val="clear" w:color="auto" w:fill="FFFFFF"/>
            <w:noWrap/>
            <w:tcMar>
              <w:top w:w="0" w:type="dxa"/>
              <w:left w:w="70" w:type="dxa"/>
              <w:bottom w:w="0" w:type="dxa"/>
              <w:right w:w="70" w:type="dxa"/>
            </w:tcMar>
            <w:vAlign w:val="bottom"/>
            <w:hideMark/>
          </w:tcPr>
          <w:p w14:paraId="6CD9461F" w14:textId="77777777" w:rsidR="00463081" w:rsidRPr="00A4495C" w:rsidRDefault="00463081" w:rsidP="00A51D40">
            <w:r w:rsidRPr="00A4495C">
              <w:rPr>
                <w:rFonts w:ascii="Arial" w:hAnsi="Arial"/>
                <w:color w:val="000000"/>
              </w:rPr>
              <w:t> </w:t>
            </w:r>
          </w:p>
        </w:tc>
        <w:tc>
          <w:tcPr>
            <w:tcW w:w="565" w:type="pct"/>
            <w:shd w:val="clear" w:color="auto" w:fill="FFFFFF"/>
            <w:noWrap/>
            <w:tcMar>
              <w:top w:w="0" w:type="dxa"/>
              <w:left w:w="70" w:type="dxa"/>
              <w:bottom w:w="0" w:type="dxa"/>
              <w:right w:w="70" w:type="dxa"/>
            </w:tcMar>
            <w:vAlign w:val="center"/>
            <w:hideMark/>
          </w:tcPr>
          <w:p w14:paraId="6663FBB6" w14:textId="77777777" w:rsidR="00463081" w:rsidRPr="00A4495C" w:rsidRDefault="00463081" w:rsidP="00A51D40">
            <w:pPr>
              <w:jc w:val="center"/>
            </w:pPr>
            <w:r w:rsidRPr="00A4495C">
              <w:rPr>
                <w:rFonts w:ascii="Arial" w:hAnsi="Arial"/>
                <w:color w:val="000000"/>
              </w:rPr>
              <w:t>6</w:t>
            </w:r>
          </w:p>
        </w:tc>
        <w:tc>
          <w:tcPr>
            <w:tcW w:w="130" w:type="pct"/>
            <w:noWrap/>
            <w:tcMar>
              <w:top w:w="0" w:type="dxa"/>
              <w:left w:w="70" w:type="dxa"/>
              <w:bottom w:w="0" w:type="dxa"/>
              <w:right w:w="70" w:type="dxa"/>
            </w:tcMar>
            <w:vAlign w:val="bottom"/>
            <w:hideMark/>
          </w:tcPr>
          <w:p w14:paraId="24BC570D" w14:textId="77777777" w:rsidR="00463081" w:rsidRPr="00A4495C" w:rsidRDefault="00463081" w:rsidP="00A51D40"/>
        </w:tc>
      </w:tr>
      <w:tr w:rsidR="00463081" w:rsidRPr="00A4495C" w14:paraId="7067DF00" w14:textId="77777777" w:rsidTr="009B5135">
        <w:trPr>
          <w:trHeight w:val="300"/>
          <w:jc w:val="center"/>
        </w:trPr>
        <w:tc>
          <w:tcPr>
            <w:tcW w:w="4116" w:type="pct"/>
            <w:shd w:val="clear" w:color="auto" w:fill="F2F2F2"/>
            <w:noWrap/>
            <w:tcMar>
              <w:top w:w="0" w:type="dxa"/>
              <w:left w:w="70" w:type="dxa"/>
              <w:bottom w:w="0" w:type="dxa"/>
              <w:right w:w="70" w:type="dxa"/>
            </w:tcMar>
            <w:vAlign w:val="center"/>
            <w:hideMark/>
          </w:tcPr>
          <w:p w14:paraId="6B79186D" w14:textId="77777777" w:rsidR="00463081" w:rsidRPr="00A4495C" w:rsidRDefault="00463081" w:rsidP="00A51D40">
            <w:pPr>
              <w:rPr>
                <w:rFonts w:ascii="Roboto Light" w:hAnsi="Roboto Light"/>
              </w:rPr>
            </w:pPr>
            <w:r w:rsidRPr="00A4495C">
              <w:rPr>
                <w:rFonts w:ascii="Roboto Light" w:hAnsi="Roboto Light"/>
              </w:rPr>
              <w:t>Micro credit associations</w:t>
            </w:r>
          </w:p>
        </w:tc>
        <w:tc>
          <w:tcPr>
            <w:tcW w:w="189" w:type="pct"/>
            <w:shd w:val="clear" w:color="auto" w:fill="F2F2F2"/>
            <w:noWrap/>
            <w:tcMar>
              <w:top w:w="0" w:type="dxa"/>
              <w:left w:w="70" w:type="dxa"/>
              <w:bottom w:w="0" w:type="dxa"/>
              <w:right w:w="70" w:type="dxa"/>
            </w:tcMar>
            <w:vAlign w:val="bottom"/>
            <w:hideMark/>
          </w:tcPr>
          <w:p w14:paraId="1FAB0449" w14:textId="77777777" w:rsidR="00463081" w:rsidRPr="00A4495C" w:rsidRDefault="00463081" w:rsidP="00A51D40">
            <w:r w:rsidRPr="00A4495C">
              <w:rPr>
                <w:rFonts w:ascii="Arial" w:hAnsi="Arial"/>
                <w:color w:val="000000"/>
              </w:rPr>
              <w:t> </w:t>
            </w:r>
          </w:p>
        </w:tc>
        <w:tc>
          <w:tcPr>
            <w:tcW w:w="565" w:type="pct"/>
            <w:shd w:val="clear" w:color="auto" w:fill="F2F2F2"/>
            <w:noWrap/>
            <w:tcMar>
              <w:top w:w="0" w:type="dxa"/>
              <w:left w:w="70" w:type="dxa"/>
              <w:bottom w:w="0" w:type="dxa"/>
              <w:right w:w="70" w:type="dxa"/>
            </w:tcMar>
            <w:vAlign w:val="center"/>
            <w:hideMark/>
          </w:tcPr>
          <w:p w14:paraId="7ED03391" w14:textId="77777777" w:rsidR="00463081" w:rsidRPr="00A4495C" w:rsidRDefault="00463081" w:rsidP="00A51D40">
            <w:pPr>
              <w:jc w:val="center"/>
            </w:pPr>
            <w:r w:rsidRPr="00A4495C">
              <w:rPr>
                <w:rFonts w:ascii="Arial" w:hAnsi="Arial"/>
                <w:color w:val="000000"/>
              </w:rPr>
              <w:t>1</w:t>
            </w:r>
            <w:r>
              <w:rPr>
                <w:rFonts w:ascii="Arial" w:hAnsi="Arial"/>
                <w:color w:val="000000"/>
              </w:rPr>
              <w:t>1</w:t>
            </w:r>
          </w:p>
        </w:tc>
        <w:tc>
          <w:tcPr>
            <w:tcW w:w="130" w:type="pct"/>
            <w:noWrap/>
            <w:tcMar>
              <w:top w:w="0" w:type="dxa"/>
              <w:left w:w="70" w:type="dxa"/>
              <w:bottom w:w="0" w:type="dxa"/>
              <w:right w:w="70" w:type="dxa"/>
            </w:tcMar>
            <w:vAlign w:val="bottom"/>
            <w:hideMark/>
          </w:tcPr>
          <w:p w14:paraId="145733B8" w14:textId="77777777" w:rsidR="00463081" w:rsidRPr="00A4495C" w:rsidRDefault="00463081" w:rsidP="00A51D40"/>
        </w:tc>
      </w:tr>
      <w:tr w:rsidR="00F54BFF" w:rsidRPr="00F54BFF" w14:paraId="39787B8F" w14:textId="77777777" w:rsidTr="00F54BFF">
        <w:trPr>
          <w:trHeight w:val="300"/>
          <w:jc w:val="center"/>
        </w:trPr>
        <w:tc>
          <w:tcPr>
            <w:tcW w:w="4116" w:type="pct"/>
            <w:noWrap/>
            <w:tcMar>
              <w:top w:w="0" w:type="dxa"/>
              <w:left w:w="70" w:type="dxa"/>
              <w:bottom w:w="0" w:type="dxa"/>
              <w:right w:w="70" w:type="dxa"/>
            </w:tcMar>
            <w:vAlign w:val="center"/>
          </w:tcPr>
          <w:p w14:paraId="4334BA67" w14:textId="628B0C55" w:rsidR="00F54BFF" w:rsidRPr="00A4495C" w:rsidRDefault="00F54BFF" w:rsidP="00A51D40">
            <w:pPr>
              <w:rPr>
                <w:rFonts w:ascii="Roboto Light" w:hAnsi="Roboto Light"/>
              </w:rPr>
            </w:pPr>
            <w:r w:rsidRPr="00F54BFF">
              <w:rPr>
                <w:rFonts w:ascii="Roboto Light" w:hAnsi="Roboto Light"/>
              </w:rPr>
              <w:t>Payment institutions</w:t>
            </w:r>
          </w:p>
        </w:tc>
        <w:tc>
          <w:tcPr>
            <w:tcW w:w="189" w:type="pct"/>
            <w:noWrap/>
            <w:tcMar>
              <w:top w:w="0" w:type="dxa"/>
              <w:left w:w="70" w:type="dxa"/>
              <w:bottom w:w="0" w:type="dxa"/>
              <w:right w:w="70" w:type="dxa"/>
            </w:tcMar>
            <w:vAlign w:val="bottom"/>
          </w:tcPr>
          <w:p w14:paraId="58DFD244" w14:textId="77777777" w:rsidR="00F54BFF" w:rsidRPr="00F54BFF" w:rsidRDefault="00F54BFF" w:rsidP="00A51D40">
            <w:pPr>
              <w:rPr>
                <w:rFonts w:ascii="Roboto Light" w:hAnsi="Roboto Light"/>
              </w:rPr>
            </w:pPr>
          </w:p>
        </w:tc>
        <w:tc>
          <w:tcPr>
            <w:tcW w:w="565" w:type="pct"/>
            <w:noWrap/>
            <w:tcMar>
              <w:top w:w="0" w:type="dxa"/>
              <w:left w:w="70" w:type="dxa"/>
              <w:bottom w:w="0" w:type="dxa"/>
              <w:right w:w="70" w:type="dxa"/>
            </w:tcMar>
            <w:vAlign w:val="center"/>
          </w:tcPr>
          <w:p w14:paraId="1D92542C" w14:textId="34555CB7" w:rsidR="00F54BFF" w:rsidRPr="00F54BFF" w:rsidRDefault="00F54BFF" w:rsidP="00F54BFF">
            <w:pPr>
              <w:rPr>
                <w:rFonts w:ascii="Roboto Light" w:hAnsi="Roboto Light"/>
              </w:rPr>
            </w:pPr>
            <w:r>
              <w:rPr>
                <w:rFonts w:ascii="Roboto Light" w:hAnsi="Roboto Light"/>
              </w:rPr>
              <w:t xml:space="preserve">     </w:t>
            </w:r>
            <w:r w:rsidRPr="00F54BFF">
              <w:rPr>
                <w:rFonts w:ascii="Roboto Light" w:hAnsi="Roboto Light"/>
              </w:rPr>
              <w:t>1</w:t>
            </w:r>
            <w:r w:rsidRPr="00F54BFF">
              <w:rPr>
                <w:rFonts w:ascii="Arial" w:hAnsi="Arial"/>
                <w:color w:val="000000"/>
              </w:rPr>
              <w:t>8</w:t>
            </w:r>
          </w:p>
        </w:tc>
        <w:tc>
          <w:tcPr>
            <w:tcW w:w="130" w:type="pct"/>
            <w:noWrap/>
            <w:tcMar>
              <w:top w:w="0" w:type="dxa"/>
              <w:left w:w="70" w:type="dxa"/>
              <w:bottom w:w="0" w:type="dxa"/>
              <w:right w:w="70" w:type="dxa"/>
            </w:tcMar>
            <w:vAlign w:val="bottom"/>
          </w:tcPr>
          <w:p w14:paraId="11B3CAD1" w14:textId="77777777" w:rsidR="00F54BFF" w:rsidRPr="00F54BFF" w:rsidRDefault="00F54BFF" w:rsidP="00A51D40">
            <w:pPr>
              <w:rPr>
                <w:rFonts w:ascii="Roboto Light" w:hAnsi="Roboto Light"/>
              </w:rPr>
            </w:pPr>
          </w:p>
        </w:tc>
      </w:tr>
      <w:tr w:rsidR="00F54BFF" w:rsidRPr="00A4495C" w14:paraId="49AADD7B" w14:textId="77777777" w:rsidTr="009B5135">
        <w:trPr>
          <w:trHeight w:val="300"/>
          <w:jc w:val="center"/>
        </w:trPr>
        <w:tc>
          <w:tcPr>
            <w:tcW w:w="4116" w:type="pct"/>
            <w:shd w:val="clear" w:color="auto" w:fill="F2F2F2"/>
            <w:noWrap/>
            <w:tcMar>
              <w:top w:w="0" w:type="dxa"/>
              <w:left w:w="70" w:type="dxa"/>
              <w:bottom w:w="0" w:type="dxa"/>
              <w:right w:w="70" w:type="dxa"/>
            </w:tcMar>
            <w:vAlign w:val="center"/>
          </w:tcPr>
          <w:p w14:paraId="34C3D384" w14:textId="3AFF9D5D" w:rsidR="00F54BFF" w:rsidRPr="00F54BFF" w:rsidRDefault="00F54BFF" w:rsidP="00A51D40">
            <w:pPr>
              <w:rPr>
                <w:rFonts w:ascii="Roboto Light" w:hAnsi="Roboto Light"/>
              </w:rPr>
            </w:pPr>
            <w:r w:rsidRPr="00F54BFF">
              <w:rPr>
                <w:rFonts w:ascii="Roboto Light" w:hAnsi="Roboto Light"/>
              </w:rPr>
              <w:t>Collaborative finance companies (crowdfunding)</w:t>
            </w:r>
          </w:p>
        </w:tc>
        <w:tc>
          <w:tcPr>
            <w:tcW w:w="189" w:type="pct"/>
            <w:shd w:val="clear" w:color="auto" w:fill="F2F2F2"/>
            <w:noWrap/>
            <w:tcMar>
              <w:top w:w="0" w:type="dxa"/>
              <w:left w:w="70" w:type="dxa"/>
              <w:bottom w:w="0" w:type="dxa"/>
              <w:right w:w="70" w:type="dxa"/>
            </w:tcMar>
            <w:vAlign w:val="bottom"/>
          </w:tcPr>
          <w:p w14:paraId="57963649" w14:textId="77777777" w:rsidR="00F54BFF" w:rsidRPr="00A4495C" w:rsidRDefault="00F54BFF" w:rsidP="00A51D40">
            <w:pPr>
              <w:rPr>
                <w:rFonts w:ascii="Arial" w:hAnsi="Arial"/>
                <w:color w:val="000000"/>
              </w:rPr>
            </w:pPr>
          </w:p>
        </w:tc>
        <w:tc>
          <w:tcPr>
            <w:tcW w:w="565" w:type="pct"/>
            <w:shd w:val="clear" w:color="auto" w:fill="F2F2F2"/>
            <w:noWrap/>
            <w:tcMar>
              <w:top w:w="0" w:type="dxa"/>
              <w:left w:w="70" w:type="dxa"/>
              <w:bottom w:w="0" w:type="dxa"/>
              <w:right w:w="70" w:type="dxa"/>
            </w:tcMar>
            <w:vAlign w:val="center"/>
          </w:tcPr>
          <w:p w14:paraId="38AD655D" w14:textId="7B44BEEA" w:rsidR="00F54BFF" w:rsidRDefault="00F54BFF" w:rsidP="00A51D40">
            <w:pPr>
              <w:jc w:val="center"/>
              <w:rPr>
                <w:rFonts w:ascii="Arial" w:hAnsi="Arial"/>
                <w:color w:val="000000"/>
              </w:rPr>
            </w:pPr>
            <w:r>
              <w:rPr>
                <w:rFonts w:ascii="Arial" w:hAnsi="Arial"/>
                <w:color w:val="000000"/>
              </w:rPr>
              <w:t>3</w:t>
            </w:r>
          </w:p>
        </w:tc>
        <w:tc>
          <w:tcPr>
            <w:tcW w:w="130" w:type="pct"/>
            <w:noWrap/>
            <w:tcMar>
              <w:top w:w="0" w:type="dxa"/>
              <w:left w:w="70" w:type="dxa"/>
              <w:bottom w:w="0" w:type="dxa"/>
              <w:right w:w="70" w:type="dxa"/>
            </w:tcMar>
            <w:vAlign w:val="bottom"/>
          </w:tcPr>
          <w:p w14:paraId="6F166844" w14:textId="77777777" w:rsidR="00F54BFF" w:rsidRPr="00A4495C" w:rsidRDefault="00F54BFF" w:rsidP="00A51D40"/>
        </w:tc>
      </w:tr>
      <w:tr w:rsidR="00F54BFF" w:rsidRPr="00A4495C" w14:paraId="15017DE2" w14:textId="77777777" w:rsidTr="00F54BFF">
        <w:trPr>
          <w:trHeight w:val="300"/>
          <w:jc w:val="center"/>
        </w:trPr>
        <w:tc>
          <w:tcPr>
            <w:tcW w:w="4116" w:type="pct"/>
            <w:noWrap/>
            <w:tcMar>
              <w:top w:w="0" w:type="dxa"/>
              <w:left w:w="70" w:type="dxa"/>
              <w:bottom w:w="0" w:type="dxa"/>
              <w:right w:w="70" w:type="dxa"/>
            </w:tcMar>
            <w:vAlign w:val="center"/>
          </w:tcPr>
          <w:p w14:paraId="4EE070BC" w14:textId="7546F69A" w:rsidR="00F54BFF" w:rsidRPr="00F54BFF" w:rsidRDefault="00F54BFF" w:rsidP="00A51D40">
            <w:pPr>
              <w:rPr>
                <w:rFonts w:ascii="Roboto Light" w:hAnsi="Roboto Light"/>
              </w:rPr>
            </w:pPr>
            <w:r w:rsidRPr="00F54BFF">
              <w:rPr>
                <w:rFonts w:ascii="Roboto Light" w:hAnsi="Roboto Light"/>
              </w:rPr>
              <w:t xml:space="preserve">Other institutions (CDG and </w:t>
            </w:r>
            <w:proofErr w:type="spellStart"/>
            <w:r w:rsidRPr="00F54BFF">
              <w:rPr>
                <w:rFonts w:ascii="Roboto Light" w:hAnsi="Roboto Light"/>
              </w:rPr>
              <w:t>Tamwilcom</w:t>
            </w:r>
            <w:proofErr w:type="spellEnd"/>
            <w:r w:rsidRPr="00F54BFF">
              <w:rPr>
                <w:rFonts w:ascii="Roboto Light" w:hAnsi="Roboto Light"/>
              </w:rPr>
              <w:t>)</w:t>
            </w:r>
          </w:p>
        </w:tc>
        <w:tc>
          <w:tcPr>
            <w:tcW w:w="189" w:type="pct"/>
            <w:noWrap/>
            <w:tcMar>
              <w:top w:w="0" w:type="dxa"/>
              <w:left w:w="70" w:type="dxa"/>
              <w:bottom w:w="0" w:type="dxa"/>
              <w:right w:w="70" w:type="dxa"/>
            </w:tcMar>
            <w:vAlign w:val="bottom"/>
          </w:tcPr>
          <w:p w14:paraId="1351C640" w14:textId="77777777" w:rsidR="00F54BFF" w:rsidRPr="00A4495C" w:rsidRDefault="00F54BFF" w:rsidP="00A51D40">
            <w:pPr>
              <w:rPr>
                <w:rFonts w:ascii="Arial" w:hAnsi="Arial"/>
                <w:color w:val="000000"/>
              </w:rPr>
            </w:pPr>
          </w:p>
        </w:tc>
        <w:tc>
          <w:tcPr>
            <w:tcW w:w="565" w:type="pct"/>
            <w:noWrap/>
            <w:tcMar>
              <w:top w:w="0" w:type="dxa"/>
              <w:left w:w="70" w:type="dxa"/>
              <w:bottom w:w="0" w:type="dxa"/>
              <w:right w:w="70" w:type="dxa"/>
            </w:tcMar>
            <w:vAlign w:val="center"/>
          </w:tcPr>
          <w:p w14:paraId="432F3295" w14:textId="3E6F784B" w:rsidR="00F54BFF" w:rsidRDefault="00F54BFF" w:rsidP="00A51D40">
            <w:pPr>
              <w:jc w:val="center"/>
              <w:rPr>
                <w:rFonts w:ascii="Arial" w:hAnsi="Arial"/>
                <w:color w:val="000000"/>
              </w:rPr>
            </w:pPr>
            <w:r>
              <w:rPr>
                <w:rFonts w:ascii="Arial" w:hAnsi="Arial"/>
                <w:color w:val="000000"/>
              </w:rPr>
              <w:t>2</w:t>
            </w:r>
          </w:p>
        </w:tc>
        <w:tc>
          <w:tcPr>
            <w:tcW w:w="130" w:type="pct"/>
            <w:noWrap/>
            <w:tcMar>
              <w:top w:w="0" w:type="dxa"/>
              <w:left w:w="70" w:type="dxa"/>
              <w:bottom w:w="0" w:type="dxa"/>
              <w:right w:w="70" w:type="dxa"/>
            </w:tcMar>
            <w:vAlign w:val="bottom"/>
          </w:tcPr>
          <w:p w14:paraId="04B453DA" w14:textId="77777777" w:rsidR="00F54BFF" w:rsidRPr="00A4495C" w:rsidRDefault="00F54BFF" w:rsidP="00A51D40"/>
        </w:tc>
      </w:tr>
    </w:tbl>
    <w:p w14:paraId="5BE2F5F0" w14:textId="77777777" w:rsidR="00463081" w:rsidRDefault="00463081" w:rsidP="00463081">
      <w:pPr>
        <w:rPr>
          <w:lang w:val="en-GB"/>
        </w:rPr>
      </w:pPr>
    </w:p>
    <w:p w14:paraId="2D01EA9B" w14:textId="77777777" w:rsidR="00463081" w:rsidRPr="00755F5D" w:rsidRDefault="00463081" w:rsidP="00463081">
      <w:pPr>
        <w:jc w:val="center"/>
        <w:rPr>
          <w:rFonts w:asciiTheme="majorBidi" w:hAnsiTheme="majorBidi" w:cstheme="majorBidi"/>
          <w:b/>
          <w:bCs/>
          <w:sz w:val="28"/>
          <w:szCs w:val="28"/>
        </w:rPr>
      </w:pPr>
      <w:r w:rsidRPr="00755F5D">
        <w:rPr>
          <w:rFonts w:asciiTheme="majorBidi" w:hAnsiTheme="majorBidi" w:cstheme="majorBidi"/>
          <w:b/>
          <w:bCs/>
          <w:sz w:val="28"/>
          <w:szCs w:val="28"/>
        </w:rPr>
        <w:t>Annex 1.4 : Examples of Current Regulatory Reporting</w:t>
      </w:r>
    </w:p>
    <w:p w14:paraId="24C24B82" w14:textId="77777777" w:rsidR="00463081" w:rsidRPr="00C9340D" w:rsidRDefault="00463081" w:rsidP="00463081">
      <w:pPr>
        <w:pStyle w:val="ListParagraph"/>
        <w:numPr>
          <w:ilvl w:val="0"/>
          <w:numId w:val="10"/>
        </w:numPr>
        <w:spacing w:after="160" w:line="259" w:lineRule="auto"/>
        <w:rPr>
          <w:lang w:val="en-GB"/>
        </w:rPr>
      </w:pPr>
      <w:r w:rsidRPr="00C9340D">
        <w:rPr>
          <w:lang w:val="en-GB"/>
        </w:rPr>
        <w:t>Reporting for participati</w:t>
      </w:r>
      <w:r>
        <w:rPr>
          <w:lang w:val="en-GB"/>
        </w:rPr>
        <w:t>on</w:t>
      </w:r>
      <w:r w:rsidRPr="00C9340D">
        <w:rPr>
          <w:lang w:val="en-GB"/>
        </w:rPr>
        <w:t xml:space="preserve"> banks</w:t>
      </w:r>
      <w:r>
        <w:rPr>
          <w:lang w:val="en-GB"/>
        </w:rPr>
        <w:t>.</w:t>
      </w:r>
    </w:p>
    <w:p w14:paraId="7C5153AC" w14:textId="77884B6C" w:rsidR="000E2B2C" w:rsidRDefault="00463081" w:rsidP="000D4F0F">
      <w:pPr>
        <w:pStyle w:val="ListParagraph"/>
        <w:numPr>
          <w:ilvl w:val="0"/>
          <w:numId w:val="10"/>
        </w:numPr>
        <w:suppressAutoHyphens/>
        <w:spacing w:after="0" w:line="240" w:lineRule="auto"/>
        <w:jc w:val="both"/>
      </w:pPr>
      <w:r w:rsidRPr="00F56A78">
        <w:rPr>
          <w:lang w:val="en-GB"/>
        </w:rPr>
        <w:t>Reporting for conventional banks.</w:t>
      </w:r>
    </w:p>
    <w:sectPr w:rsidR="000E2B2C" w:rsidSect="002244DC">
      <w:pgSz w:w="12240" w:h="15840"/>
      <w:pgMar w:top="126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aditional Arabic">
    <w:altName w:val="Times New Roman"/>
    <w:panose1 w:val="02020603050405020304"/>
    <w:charset w:val="B2"/>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3B7C"/>
    <w:multiLevelType w:val="hybridMultilevel"/>
    <w:tmpl w:val="64C665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5C7E87"/>
    <w:multiLevelType w:val="hybridMultilevel"/>
    <w:tmpl w:val="B948B6B4"/>
    <w:lvl w:ilvl="0" w:tplc="4CC0F86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A24A8E"/>
    <w:multiLevelType w:val="hybridMultilevel"/>
    <w:tmpl w:val="E3142E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AC1DAE"/>
    <w:multiLevelType w:val="hybridMultilevel"/>
    <w:tmpl w:val="9EC67D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B9F8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4897A02"/>
    <w:multiLevelType w:val="hybridMultilevel"/>
    <w:tmpl w:val="DA523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C4988"/>
    <w:multiLevelType w:val="hybridMultilevel"/>
    <w:tmpl w:val="EF74CDB0"/>
    <w:lvl w:ilvl="0" w:tplc="040C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BA2244"/>
    <w:multiLevelType w:val="hybridMultilevel"/>
    <w:tmpl w:val="42A06D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947F19"/>
    <w:multiLevelType w:val="hybridMultilevel"/>
    <w:tmpl w:val="70FE1B5C"/>
    <w:lvl w:ilvl="0" w:tplc="9F146BC0">
      <w:start w:val="2017"/>
      <w:numFmt w:val="bullet"/>
      <w:lvlText w:val="-"/>
      <w:lvlJc w:val="left"/>
      <w:pPr>
        <w:ind w:left="720" w:hanging="360"/>
      </w:pPr>
      <w:rPr>
        <w:rFonts w:ascii="Roboto Light" w:eastAsia="Calibri" w:hAnsi="Roboto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675719"/>
    <w:multiLevelType w:val="hybridMultilevel"/>
    <w:tmpl w:val="5AFCFAC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A35414D"/>
    <w:multiLevelType w:val="hybridMultilevel"/>
    <w:tmpl w:val="EDD6BA4A"/>
    <w:lvl w:ilvl="0" w:tplc="9404C73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C6329EE"/>
    <w:multiLevelType w:val="hybridMultilevel"/>
    <w:tmpl w:val="8E967B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0476E62"/>
    <w:multiLevelType w:val="hybridMultilevel"/>
    <w:tmpl w:val="C8003B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9D34118"/>
    <w:multiLevelType w:val="hybridMultilevel"/>
    <w:tmpl w:val="CCF6B9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BD6768A"/>
    <w:multiLevelType w:val="hybridMultilevel"/>
    <w:tmpl w:val="B9AEE4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C4C69ED"/>
    <w:multiLevelType w:val="hybridMultilevel"/>
    <w:tmpl w:val="67800464"/>
    <w:lvl w:ilvl="0" w:tplc="DAE29D14">
      <w:start w:val="1"/>
      <w:numFmt w:val="upp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C854EDF"/>
    <w:multiLevelType w:val="hybridMultilevel"/>
    <w:tmpl w:val="91C6D278"/>
    <w:lvl w:ilvl="0" w:tplc="040C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0029967">
    <w:abstractNumId w:val="12"/>
  </w:num>
  <w:num w:numId="2" w16cid:durableId="1876846971">
    <w:abstractNumId w:val="6"/>
  </w:num>
  <w:num w:numId="3" w16cid:durableId="1507477728">
    <w:abstractNumId w:val="15"/>
  </w:num>
  <w:num w:numId="4" w16cid:durableId="2075153651">
    <w:abstractNumId w:val="1"/>
  </w:num>
  <w:num w:numId="5" w16cid:durableId="1090274423">
    <w:abstractNumId w:val="11"/>
  </w:num>
  <w:num w:numId="6" w16cid:durableId="1527525119">
    <w:abstractNumId w:val="9"/>
  </w:num>
  <w:num w:numId="7" w16cid:durableId="684097075">
    <w:abstractNumId w:val="0"/>
  </w:num>
  <w:num w:numId="8" w16cid:durableId="935331809">
    <w:abstractNumId w:val="3"/>
  </w:num>
  <w:num w:numId="9" w16cid:durableId="2021468458">
    <w:abstractNumId w:val="7"/>
  </w:num>
  <w:num w:numId="10" w16cid:durableId="1693799460">
    <w:abstractNumId w:val="13"/>
  </w:num>
  <w:num w:numId="11" w16cid:durableId="812017022">
    <w:abstractNumId w:val="10"/>
  </w:num>
  <w:num w:numId="12" w16cid:durableId="1930842927">
    <w:abstractNumId w:val="5"/>
  </w:num>
  <w:num w:numId="13" w16cid:durableId="145126853">
    <w:abstractNumId w:val="16"/>
  </w:num>
  <w:num w:numId="14" w16cid:durableId="330451830">
    <w:abstractNumId w:val="8"/>
  </w:num>
  <w:num w:numId="15" w16cid:durableId="1441334461">
    <w:abstractNumId w:val="2"/>
  </w:num>
  <w:num w:numId="16" w16cid:durableId="1373265401">
    <w:abstractNumId w:val="14"/>
  </w:num>
  <w:num w:numId="17" w16cid:durableId="1418936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081"/>
    <w:rsid w:val="000D4F0F"/>
    <w:rsid w:val="000E2B2C"/>
    <w:rsid w:val="001E4D8F"/>
    <w:rsid w:val="002C3F18"/>
    <w:rsid w:val="00394DBC"/>
    <w:rsid w:val="003B6DBF"/>
    <w:rsid w:val="003F28F0"/>
    <w:rsid w:val="00426B1A"/>
    <w:rsid w:val="00463081"/>
    <w:rsid w:val="004D3115"/>
    <w:rsid w:val="00523A75"/>
    <w:rsid w:val="005B3D34"/>
    <w:rsid w:val="00672A8E"/>
    <w:rsid w:val="00694886"/>
    <w:rsid w:val="007F60B2"/>
    <w:rsid w:val="008E49B8"/>
    <w:rsid w:val="00935A6E"/>
    <w:rsid w:val="00960FB3"/>
    <w:rsid w:val="009B5135"/>
    <w:rsid w:val="00A359BE"/>
    <w:rsid w:val="00A41E5E"/>
    <w:rsid w:val="00B144BC"/>
    <w:rsid w:val="00B429CC"/>
    <w:rsid w:val="00B672E1"/>
    <w:rsid w:val="00BE74AA"/>
    <w:rsid w:val="00E12DFA"/>
    <w:rsid w:val="00E909EF"/>
    <w:rsid w:val="00E9678D"/>
    <w:rsid w:val="00EB2867"/>
    <w:rsid w:val="00F248AB"/>
    <w:rsid w:val="00F54BF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96AC2"/>
  <w15:chartTrackingRefBased/>
  <w15:docId w15:val="{215078FF-E7AF-4250-88B4-CA412D03D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081"/>
    <w:pPr>
      <w:spacing w:after="200" w:line="276" w:lineRule="auto"/>
    </w:pPr>
    <w:rPr>
      <w:kern w:val="0"/>
      <w:lang w:val="en-US"/>
    </w:rPr>
  </w:style>
  <w:style w:type="paragraph" w:styleId="Heading1">
    <w:name w:val="heading 1"/>
    <w:basedOn w:val="Normal"/>
    <w:next w:val="Normal"/>
    <w:link w:val="Heading1Char"/>
    <w:qFormat/>
    <w:rsid w:val="00463081"/>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3081"/>
    <w:rPr>
      <w:rFonts w:asciiTheme="majorHAnsi" w:eastAsiaTheme="majorEastAsia" w:hAnsiTheme="majorHAnsi" w:cstheme="majorBidi"/>
      <w:color w:val="2F5496" w:themeColor="accent1" w:themeShade="BF"/>
      <w:kern w:val="0"/>
      <w:sz w:val="40"/>
      <w:szCs w:val="40"/>
      <w:lang w:val="en-GB"/>
    </w:rPr>
  </w:style>
  <w:style w:type="paragraph" w:styleId="ListParagraph">
    <w:name w:val="List Paragraph"/>
    <w:aliases w:val="List Paragraph2,Bullets,List Paragraph nowy,References,Text,Citation List,سرد الفقرات,List Paragraph (numbered (a)),Use Case List Paragraph,본문(내용),Colorful List - Accent 11,List_Paragraph,Multilevel para_II,ADB Normal,List Paragraph1"/>
    <w:basedOn w:val="Normal"/>
    <w:link w:val="ListParagraphChar"/>
    <w:uiPriority w:val="34"/>
    <w:qFormat/>
    <w:rsid w:val="00463081"/>
    <w:pPr>
      <w:ind w:left="720"/>
      <w:contextualSpacing/>
    </w:pPr>
  </w:style>
  <w:style w:type="character" w:customStyle="1" w:styleId="ListParagraphChar">
    <w:name w:val="List Paragraph Char"/>
    <w:aliases w:val="List Paragraph2 Char,Bullets Char,List Paragraph nowy Char,References Char,Text Char,Citation List Char,سرد الفقرات Char,List Paragraph (numbered (a)) Char,Use Case List Paragraph Char,본문(내용) Char,Colorful List - Accent 11 Char"/>
    <w:link w:val="ListParagraph"/>
    <w:uiPriority w:val="34"/>
    <w:qFormat/>
    <w:locked/>
    <w:rsid w:val="00463081"/>
    <w:rPr>
      <w:kern w:val="0"/>
      <w:lang w:val="en-US"/>
    </w:rPr>
  </w:style>
  <w:style w:type="paragraph" w:styleId="BodyText">
    <w:name w:val="Body Text"/>
    <w:basedOn w:val="Normal"/>
    <w:link w:val="BodyTextChar"/>
    <w:rsid w:val="00463081"/>
    <w:pPr>
      <w:spacing w:after="0" w:line="240" w:lineRule="auto"/>
      <w:ind w:right="720"/>
      <w:jc w:val="lowKashida"/>
    </w:pPr>
    <w:rPr>
      <w:rFonts w:ascii="Times New Roman" w:eastAsia="Times New Roman" w:hAnsi="Times New Roman" w:cs="Traditional Arabic"/>
      <w:sz w:val="24"/>
      <w:szCs w:val="24"/>
      <w:lang w:val="en-GB" w:eastAsia="en-GB"/>
    </w:rPr>
  </w:style>
  <w:style w:type="character" w:customStyle="1" w:styleId="BodyTextChar">
    <w:name w:val="Body Text Char"/>
    <w:basedOn w:val="DefaultParagraphFont"/>
    <w:link w:val="BodyText"/>
    <w:rsid w:val="00463081"/>
    <w:rPr>
      <w:rFonts w:ascii="Times New Roman" w:eastAsia="Times New Roman" w:hAnsi="Times New Roman" w:cs="Traditional Arabic"/>
      <w:kern w:val="0"/>
      <w:sz w:val="24"/>
      <w:szCs w:val="24"/>
      <w:lang w:val="en-GB" w:eastAsia="en-GB"/>
    </w:rPr>
  </w:style>
  <w:style w:type="paragraph" w:styleId="NoSpacing">
    <w:name w:val="No Spacing"/>
    <w:link w:val="NoSpacingChar"/>
    <w:uiPriority w:val="1"/>
    <w:qFormat/>
    <w:rsid w:val="00463081"/>
    <w:pPr>
      <w:spacing w:after="0" w:line="240" w:lineRule="auto"/>
    </w:pPr>
    <w:rPr>
      <w:rFonts w:ascii="Calibri" w:eastAsia="Calibri" w:hAnsi="Calibri" w:cs="Arial"/>
      <w:kern w:val="0"/>
      <w:lang w:val="en-US"/>
    </w:rPr>
  </w:style>
  <w:style w:type="character" w:customStyle="1" w:styleId="NoSpacingChar">
    <w:name w:val="No Spacing Char"/>
    <w:link w:val="NoSpacing"/>
    <w:uiPriority w:val="1"/>
    <w:rsid w:val="00463081"/>
    <w:rPr>
      <w:rFonts w:ascii="Calibri" w:eastAsia="Calibri" w:hAnsi="Calibri" w:cs="Arial"/>
      <w:kern w:val="0"/>
      <w:lang w:val="en-US"/>
    </w:rPr>
  </w:style>
  <w:style w:type="paragraph" w:styleId="Revision">
    <w:name w:val="Revision"/>
    <w:hidden/>
    <w:uiPriority w:val="99"/>
    <w:semiHidden/>
    <w:rsid w:val="00BE74AA"/>
    <w:pPr>
      <w:spacing w:after="0" w:line="240" w:lineRule="auto"/>
    </w:pPr>
    <w:rPr>
      <w:kern w:val="0"/>
      <w:lang w:val="en-US"/>
    </w:rPr>
  </w:style>
  <w:style w:type="character" w:styleId="Hyperlink">
    <w:name w:val="Hyperlink"/>
    <w:basedOn w:val="DefaultParagraphFont"/>
    <w:uiPriority w:val="99"/>
    <w:unhideWhenUsed/>
    <w:rsid w:val="002C3F18"/>
    <w:rPr>
      <w:color w:val="0563C1" w:themeColor="hyperlink"/>
      <w:u w:val="single"/>
    </w:rPr>
  </w:style>
  <w:style w:type="character" w:styleId="UnresolvedMention">
    <w:name w:val="Unresolved Mention"/>
    <w:basedOn w:val="DefaultParagraphFont"/>
    <w:uiPriority w:val="99"/>
    <w:semiHidden/>
    <w:unhideWhenUsed/>
    <w:rsid w:val="002C3F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88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7</Pages>
  <Words>1760</Words>
  <Characters>11251</Characters>
  <Application>Microsoft Office Word</Application>
  <DocSecurity>0</DocSecurity>
  <Lines>260</Lines>
  <Paragraphs>177</Paragraphs>
  <ScaleCrop>false</ScaleCrop>
  <HeadingPairs>
    <vt:vector size="4" baseType="variant">
      <vt:variant>
        <vt:lpstr>Titre</vt:lpstr>
      </vt:variant>
      <vt:variant>
        <vt:i4>1</vt:i4>
      </vt:variant>
      <vt:variant>
        <vt:lpstr>Titres</vt:lpstr>
      </vt:variant>
      <vt:variant>
        <vt:i4>6</vt:i4>
      </vt:variant>
    </vt:vector>
  </HeadingPairs>
  <TitlesOfParts>
    <vt:vector size="7" baseType="lpstr">
      <vt:lpstr/>
      <vt:lpstr>Objectives of the Technical Assistance mission:</vt:lpstr>
      <vt:lpstr>Scope of Work:</vt:lpstr>
      <vt:lpstr>Deliverables:</vt:lpstr>
      <vt:lpstr>Project Management and reporting:</vt:lpstr>
      <vt:lpstr>Duration of Assignment:</vt:lpstr>
      <vt:lpstr>Key Experts required for the Assignments:</vt:lpstr>
    </vt:vector>
  </TitlesOfParts>
  <Company>Bank Al Maghrib</Company>
  <LinksUpToDate>false</LinksUpToDate>
  <CharactersWithSpaces>12951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CHADER RACHID</dc:creator>
  <cp:keywords/>
  <dc:description/>
  <cp:lastModifiedBy>Mehmet Fehmi Eken</cp:lastModifiedBy>
  <cp:revision>13</cp:revision>
  <dcterms:created xsi:type="dcterms:W3CDTF">2025-12-26T09:00:00Z</dcterms:created>
  <dcterms:modified xsi:type="dcterms:W3CDTF">2026-02-17T07:23:00Z</dcterms:modified>
</cp:coreProperties>
</file>