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E1C5" w14:textId="77777777" w:rsidR="009E4EA7" w:rsidRPr="00A55434" w:rsidRDefault="009E4EA7" w:rsidP="009E4EA7">
      <w:pPr>
        <w:jc w:val="center"/>
        <w:rPr>
          <w:rFonts w:ascii="Maiandra GD" w:hAnsi="Maiandra GD" w:cs="Tahoma"/>
          <w:b/>
          <w:lang w:val="fr-FR"/>
        </w:rPr>
      </w:pPr>
      <w:bookmarkStart w:id="0" w:name="_Hlk88745931"/>
      <w:r w:rsidRPr="00A55434">
        <w:rPr>
          <w:noProof/>
          <w:lang w:val="fr-FR" w:eastAsia="fr-FR"/>
        </w:rPr>
        <w:drawing>
          <wp:inline distT="0" distB="0" distL="0" distR="0" wp14:anchorId="6CA87380" wp14:editId="1563D590">
            <wp:extent cx="744944" cy="648000"/>
            <wp:effectExtent l="0" t="19050" r="3619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spect="1" noChangeArrowheads="1"/>
                    </pic:cNvPicPr>
                  </pic:nvPicPr>
                  <pic:blipFill>
                    <a:blip r:embed="rId7" cstate="print">
                      <a:extLst>
                        <a:ext uri="{28A0092B-C50C-407E-A947-70E740481C1C}">
                          <a14:useLocalDpi xmlns:a14="http://schemas.microsoft.com/office/drawing/2010/main" val="0"/>
                        </a:ext>
                      </a:extLst>
                    </a:blip>
                    <a:srcRect b="-24"/>
                    <a:stretch>
                      <a:fillRect/>
                    </a:stretch>
                  </pic:blipFill>
                  <pic:spPr bwMode="auto">
                    <a:xfrm>
                      <a:off x="0" y="0"/>
                      <a:ext cx="744944" cy="648000"/>
                    </a:xfrm>
                    <a:prstGeom prst="rect">
                      <a:avLst/>
                    </a:prstGeom>
                    <a:noFill/>
                    <a:ln>
                      <a:noFill/>
                    </a:ln>
                    <a:effectLst>
                      <a:outerShdw dist="28398" dir="20006097" algn="ctr" rotWithShape="0">
                        <a:srgbClr val="808080"/>
                      </a:outerShdw>
                    </a:effectLst>
                  </pic:spPr>
                </pic:pic>
              </a:graphicData>
            </a:graphic>
          </wp:inline>
        </w:drawing>
      </w:r>
    </w:p>
    <w:bookmarkEnd w:id="0"/>
    <w:p w14:paraId="4B9CF691" w14:textId="77777777" w:rsidR="009E4EA7" w:rsidRPr="00A55434" w:rsidRDefault="009E4EA7" w:rsidP="009E4EA7">
      <w:pPr>
        <w:tabs>
          <w:tab w:val="left" w:pos="0"/>
        </w:tabs>
        <w:rPr>
          <w:rFonts w:ascii="Maiandra GD" w:hAnsi="Maiandra GD"/>
          <w:b/>
          <w:sz w:val="22"/>
          <w:szCs w:val="22"/>
          <w:lang w:val="fr-FR"/>
        </w:rPr>
      </w:pPr>
    </w:p>
    <w:p w14:paraId="5FABF4C3" w14:textId="77777777" w:rsidR="009E4EA7" w:rsidRPr="00A55434" w:rsidRDefault="009E4EA7" w:rsidP="009E4EA7">
      <w:pPr>
        <w:tabs>
          <w:tab w:val="left" w:pos="0"/>
        </w:tabs>
        <w:jc w:val="center"/>
        <w:rPr>
          <w:rFonts w:ascii="Maiandra GD" w:hAnsi="Maiandra GD"/>
          <w:b/>
          <w:caps/>
          <w:lang w:val="fr-FR"/>
        </w:rPr>
      </w:pPr>
      <w:r w:rsidRPr="00A55434">
        <w:rPr>
          <w:rFonts w:ascii="Maiandra GD" w:hAnsi="Maiandra GD"/>
          <w:b/>
          <w:caps/>
          <w:lang w:val="fr-FR"/>
        </w:rPr>
        <w:t>RéPUBLIQUE DE COTE D’IVOIRE</w:t>
      </w:r>
    </w:p>
    <w:p w14:paraId="62D9BFBE" w14:textId="7A6CAAFD" w:rsidR="009E4EA7" w:rsidRPr="00A55434" w:rsidRDefault="009E4EA7" w:rsidP="009E4EA7">
      <w:pPr>
        <w:tabs>
          <w:tab w:val="left" w:pos="0"/>
        </w:tabs>
        <w:jc w:val="center"/>
        <w:rPr>
          <w:rFonts w:ascii="Maiandra GD" w:hAnsi="Maiandra GD"/>
          <w:b/>
          <w:sz w:val="22"/>
          <w:szCs w:val="22"/>
          <w:lang w:val="fr-FR"/>
        </w:rPr>
      </w:pPr>
      <w:r w:rsidRPr="00A55434">
        <w:rPr>
          <w:rFonts w:ascii="Maiandra GD" w:hAnsi="Maiandra GD"/>
          <w:b/>
          <w:sz w:val="22"/>
          <w:szCs w:val="22"/>
          <w:lang w:val="fr-FR"/>
        </w:rPr>
        <w:t>Ministère de l’Equipement et de l’Entretien Routier</w:t>
      </w:r>
      <w:r w:rsidR="006E387A" w:rsidRPr="00A55434">
        <w:rPr>
          <w:rFonts w:ascii="Maiandra GD" w:hAnsi="Maiandra GD"/>
          <w:b/>
          <w:sz w:val="22"/>
          <w:szCs w:val="22"/>
          <w:lang w:val="fr-FR"/>
        </w:rPr>
        <w:t xml:space="preserve"> (MEER)</w:t>
      </w:r>
    </w:p>
    <w:p w14:paraId="7FBD7E42" w14:textId="69559372" w:rsidR="009E4EA7" w:rsidRPr="00A55434" w:rsidRDefault="009E4EA7" w:rsidP="00652598">
      <w:pPr>
        <w:tabs>
          <w:tab w:val="left" w:pos="0"/>
        </w:tabs>
        <w:jc w:val="center"/>
        <w:rPr>
          <w:rFonts w:ascii="Maiandra GD" w:hAnsi="Maiandra GD"/>
          <w:b/>
          <w:sz w:val="20"/>
          <w:szCs w:val="20"/>
          <w:lang w:val="fr-FR"/>
        </w:rPr>
      </w:pPr>
      <w:r w:rsidRPr="00A55434">
        <w:rPr>
          <w:rFonts w:ascii="Maiandra GD" w:hAnsi="Maiandra GD"/>
          <w:b/>
          <w:sz w:val="20"/>
          <w:szCs w:val="20"/>
          <w:lang w:val="fr-FR"/>
        </w:rPr>
        <w:t>Agence de Gestion des Routes</w:t>
      </w:r>
      <w:r w:rsidR="006E387A" w:rsidRPr="00A55434">
        <w:rPr>
          <w:rFonts w:ascii="Maiandra GD" w:hAnsi="Maiandra GD"/>
          <w:b/>
          <w:sz w:val="20"/>
          <w:szCs w:val="20"/>
          <w:lang w:val="fr-FR"/>
        </w:rPr>
        <w:t xml:space="preserve"> (AGEROUTE)</w:t>
      </w:r>
    </w:p>
    <w:p w14:paraId="7A1B7440" w14:textId="7CA43104" w:rsidR="006E387A" w:rsidRPr="00A55434" w:rsidRDefault="006E387A" w:rsidP="00652598">
      <w:pPr>
        <w:tabs>
          <w:tab w:val="left" w:pos="0"/>
        </w:tabs>
        <w:jc w:val="center"/>
        <w:rPr>
          <w:rFonts w:ascii="Maiandra GD" w:hAnsi="Maiandra GD"/>
          <w:b/>
          <w:sz w:val="18"/>
          <w:szCs w:val="18"/>
          <w:lang w:val="fr-FR"/>
        </w:rPr>
      </w:pPr>
      <w:r w:rsidRPr="00A55434">
        <w:rPr>
          <w:rFonts w:ascii="Maiandra GD" w:hAnsi="Maiandra GD"/>
          <w:b/>
          <w:sz w:val="18"/>
          <w:szCs w:val="18"/>
          <w:lang w:val="fr-FR"/>
        </w:rPr>
        <w:t>Unité de Gestion des Projet de la Banque Islamique de Développement (UGPBID)</w:t>
      </w:r>
    </w:p>
    <w:p w14:paraId="01D3D988" w14:textId="3DFEB54E" w:rsidR="009E4EA7" w:rsidRPr="00E97AF1" w:rsidRDefault="009E4EA7" w:rsidP="00E97AF1">
      <w:pPr>
        <w:tabs>
          <w:tab w:val="left" w:pos="0"/>
        </w:tabs>
        <w:jc w:val="center"/>
        <w:rPr>
          <w:rFonts w:ascii="Maiandra GD" w:hAnsi="Maiandra GD"/>
          <w:lang w:val="fr-FR"/>
        </w:rPr>
      </w:pPr>
      <w:r w:rsidRPr="00A55434">
        <w:rPr>
          <w:rFonts w:ascii="Maiandra GD" w:hAnsi="Maiandra GD"/>
          <w:lang w:val="fr-FR"/>
        </w:rPr>
        <w:t>-------------------------------------------------------------</w:t>
      </w:r>
    </w:p>
    <w:p w14:paraId="374CD5E1" w14:textId="77777777" w:rsidR="009E4EA7" w:rsidRPr="00A55434" w:rsidRDefault="009E4EA7" w:rsidP="00073CB3">
      <w:pPr>
        <w:shd w:val="clear" w:color="auto" w:fill="ED7D31" w:themeFill="accent2"/>
        <w:tabs>
          <w:tab w:val="left" w:pos="0"/>
        </w:tabs>
        <w:jc w:val="center"/>
        <w:rPr>
          <w:rFonts w:ascii="Maiandra GD" w:hAnsi="Maiandra GD"/>
          <w:caps/>
          <w:sz w:val="32"/>
          <w:szCs w:val="32"/>
          <w:lang w:val="fr-FR"/>
        </w:rPr>
      </w:pPr>
      <w:r w:rsidRPr="00A55434">
        <w:rPr>
          <w:rFonts w:ascii="Maiandra GD" w:hAnsi="Maiandra GD"/>
          <w:b/>
          <w:caps/>
          <w:sz w:val="32"/>
          <w:szCs w:val="32"/>
          <w:lang w:val="fr-FR"/>
        </w:rPr>
        <w:t>AVIS Général DE PASSATION DES Marchés</w:t>
      </w:r>
    </w:p>
    <w:p w14:paraId="19B5D74F" w14:textId="003BFA7F" w:rsidR="009E4EA7" w:rsidRDefault="009E4EA7" w:rsidP="00E36AB5">
      <w:pPr>
        <w:tabs>
          <w:tab w:val="left" w:pos="0"/>
        </w:tabs>
        <w:jc w:val="both"/>
        <w:rPr>
          <w:rFonts w:ascii="Maiandra GD" w:hAnsi="Maiandra GD"/>
          <w:spacing w:val="-2"/>
          <w:lang w:val="fr-FR"/>
        </w:rPr>
      </w:pPr>
    </w:p>
    <w:tbl>
      <w:tblPr>
        <w:tblStyle w:val="Grilledutableau"/>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3"/>
      </w:tblGrid>
      <w:tr w:rsidR="003B1B6D" w:rsidRPr="00E00D7C" w14:paraId="41AF44D9" w14:textId="77777777" w:rsidTr="00F45275">
        <w:trPr>
          <w:trHeight w:val="300"/>
        </w:trPr>
        <w:tc>
          <w:tcPr>
            <w:tcW w:w="2694" w:type="dxa"/>
            <w:vAlign w:val="center"/>
          </w:tcPr>
          <w:p w14:paraId="30E0780D" w14:textId="18DC90A0" w:rsidR="003B1B6D" w:rsidRPr="00A55434" w:rsidRDefault="003B1B6D" w:rsidP="00B57237">
            <w:pPr>
              <w:pStyle w:val="ChapterNumber"/>
              <w:tabs>
                <w:tab w:val="clear" w:pos="-720"/>
              </w:tabs>
              <w:ind w:right="-21"/>
              <w:jc w:val="right"/>
              <w:rPr>
                <w:rFonts w:ascii="Maiandra GD" w:hAnsi="Maiandra GD"/>
                <w:sz w:val="18"/>
                <w:szCs w:val="18"/>
                <w:lang w:val="fr-FR"/>
              </w:rPr>
            </w:pPr>
            <w:r>
              <w:rPr>
                <w:rFonts w:ascii="Maiandra GD" w:hAnsi="Maiandra GD"/>
                <w:sz w:val="18"/>
                <w:szCs w:val="18"/>
                <w:lang w:val="fr-FR"/>
              </w:rPr>
              <w:t>Pays</w:t>
            </w:r>
            <w:r w:rsidR="003170EB">
              <w:rPr>
                <w:rFonts w:ascii="Maiandra GD" w:hAnsi="Maiandra GD"/>
                <w:sz w:val="18"/>
                <w:szCs w:val="18"/>
                <w:lang w:val="fr-FR"/>
              </w:rPr>
              <w:t> :</w:t>
            </w:r>
          </w:p>
        </w:tc>
        <w:tc>
          <w:tcPr>
            <w:tcW w:w="6373" w:type="dxa"/>
            <w:vAlign w:val="center"/>
          </w:tcPr>
          <w:p w14:paraId="2E6A5E45" w14:textId="57B0E5A1" w:rsidR="003B1B6D" w:rsidRPr="00A55434" w:rsidRDefault="003170EB" w:rsidP="00B53C13">
            <w:pPr>
              <w:pStyle w:val="ChapterNumber"/>
              <w:ind w:hanging="53"/>
              <w:rPr>
                <w:rFonts w:ascii="Maiandra GD" w:hAnsi="Maiandra GD"/>
                <w:b/>
                <w:bCs/>
                <w:sz w:val="18"/>
                <w:szCs w:val="18"/>
                <w:lang w:val="fr-FR"/>
              </w:rPr>
            </w:pPr>
            <w:r>
              <w:rPr>
                <w:rFonts w:ascii="Maiandra GD" w:hAnsi="Maiandra GD"/>
                <w:b/>
                <w:bCs/>
                <w:sz w:val="18"/>
                <w:szCs w:val="18"/>
                <w:lang w:val="fr-FR"/>
              </w:rPr>
              <w:t>REPUBLIQUE DE LA COTE D’IVOIRE</w:t>
            </w:r>
          </w:p>
        </w:tc>
      </w:tr>
      <w:tr w:rsidR="003B1B6D" w:rsidRPr="00E00D7C" w14:paraId="41ECCD56" w14:textId="77777777" w:rsidTr="00F45275">
        <w:trPr>
          <w:trHeight w:val="300"/>
        </w:trPr>
        <w:tc>
          <w:tcPr>
            <w:tcW w:w="2694" w:type="dxa"/>
            <w:vAlign w:val="center"/>
          </w:tcPr>
          <w:p w14:paraId="00DFAD45" w14:textId="058736D7" w:rsidR="003B1B6D" w:rsidRPr="00A55434" w:rsidRDefault="003170EB" w:rsidP="00B57237">
            <w:pPr>
              <w:pStyle w:val="ChapterNumber"/>
              <w:tabs>
                <w:tab w:val="clear" w:pos="-720"/>
              </w:tabs>
              <w:ind w:right="-21"/>
              <w:jc w:val="right"/>
              <w:rPr>
                <w:rFonts w:ascii="Maiandra GD" w:hAnsi="Maiandra GD"/>
                <w:sz w:val="18"/>
                <w:szCs w:val="18"/>
                <w:lang w:val="fr-FR"/>
              </w:rPr>
            </w:pPr>
            <w:r>
              <w:rPr>
                <w:rFonts w:ascii="Maiandra GD" w:hAnsi="Maiandra GD"/>
                <w:sz w:val="18"/>
                <w:szCs w:val="18"/>
                <w:lang w:val="fr-FR"/>
              </w:rPr>
              <w:t>Projet :</w:t>
            </w:r>
          </w:p>
        </w:tc>
        <w:tc>
          <w:tcPr>
            <w:tcW w:w="6373" w:type="dxa"/>
            <w:vAlign w:val="center"/>
          </w:tcPr>
          <w:p w14:paraId="2006DA2E" w14:textId="7F81ABD1" w:rsidR="003B1B6D" w:rsidRPr="00A55434" w:rsidRDefault="003170EB" w:rsidP="003170EB">
            <w:pPr>
              <w:pStyle w:val="ChapterNumber"/>
              <w:ind w:hanging="53"/>
              <w:rPr>
                <w:rFonts w:ascii="Maiandra GD" w:hAnsi="Maiandra GD"/>
                <w:b/>
                <w:bCs/>
                <w:sz w:val="18"/>
                <w:szCs w:val="18"/>
                <w:lang w:val="fr-FR"/>
              </w:rPr>
            </w:pPr>
            <w:r w:rsidRPr="003170EB">
              <w:rPr>
                <w:rFonts w:ascii="Maiandra GD" w:hAnsi="Maiandra GD"/>
                <w:b/>
                <w:bCs/>
                <w:sz w:val="18"/>
                <w:szCs w:val="18"/>
                <w:lang w:val="fr-FR"/>
              </w:rPr>
              <w:t xml:space="preserve">Projet de construction de l’autoroute </w:t>
            </w:r>
            <w:r w:rsidR="00536F35" w:rsidRPr="00536F35">
              <w:rPr>
                <w:rFonts w:ascii="Maiandra GD" w:hAnsi="Maiandra GD"/>
                <w:b/>
                <w:bCs/>
                <w:sz w:val="18"/>
                <w:szCs w:val="18"/>
                <w:lang w:val="fr-FR"/>
              </w:rPr>
              <w:t>Tafire-Ferkessédougou</w:t>
            </w:r>
            <w:r w:rsidR="00536F35" w:rsidRPr="00536F35">
              <w:rPr>
                <w:rFonts w:ascii="Arial Narrow" w:hAnsi="Arial Narrow"/>
                <w:color w:val="000000"/>
                <w:sz w:val="24"/>
                <w:szCs w:val="24"/>
                <w:lang w:val="fr-CI"/>
              </w:rPr>
              <w:t> </w:t>
            </w:r>
            <w:r w:rsidRPr="003170EB">
              <w:rPr>
                <w:rFonts w:ascii="Maiandra GD" w:hAnsi="Maiandra GD"/>
                <w:b/>
                <w:bCs/>
                <w:sz w:val="18"/>
                <w:szCs w:val="18"/>
                <w:lang w:val="fr-FR"/>
              </w:rPr>
              <w:t>(</w:t>
            </w:r>
            <w:r w:rsidR="00536F35">
              <w:rPr>
                <w:rFonts w:ascii="Maiandra GD" w:hAnsi="Maiandra GD"/>
                <w:b/>
                <w:bCs/>
                <w:sz w:val="18"/>
                <w:szCs w:val="18"/>
                <w:lang w:val="fr-FR"/>
              </w:rPr>
              <w:t>58</w:t>
            </w:r>
            <w:r w:rsidRPr="003170EB">
              <w:rPr>
                <w:rFonts w:ascii="Maiandra GD" w:hAnsi="Maiandra GD"/>
                <w:b/>
                <w:bCs/>
                <w:sz w:val="18"/>
                <w:szCs w:val="18"/>
                <w:lang w:val="fr-FR"/>
              </w:rPr>
              <w:t xml:space="preserve"> km)</w:t>
            </w:r>
          </w:p>
        </w:tc>
      </w:tr>
      <w:tr w:rsidR="00B57237" w:rsidRPr="00A55434" w14:paraId="543E1377" w14:textId="77777777" w:rsidTr="00F45275">
        <w:trPr>
          <w:trHeight w:val="300"/>
        </w:trPr>
        <w:tc>
          <w:tcPr>
            <w:tcW w:w="2694" w:type="dxa"/>
            <w:vAlign w:val="center"/>
          </w:tcPr>
          <w:p w14:paraId="5EF3EA0C" w14:textId="77777777" w:rsidR="00B57237" w:rsidRPr="00A55434" w:rsidRDefault="00B57237" w:rsidP="00B57237">
            <w:pPr>
              <w:pStyle w:val="ChapterNumber"/>
              <w:tabs>
                <w:tab w:val="clear" w:pos="-720"/>
              </w:tabs>
              <w:ind w:right="-21"/>
              <w:jc w:val="right"/>
              <w:rPr>
                <w:rFonts w:ascii="Maiandra GD" w:hAnsi="Maiandra GD"/>
                <w:spacing w:val="-2"/>
                <w:sz w:val="18"/>
                <w:szCs w:val="18"/>
                <w:lang w:val="fr-FR"/>
              </w:rPr>
            </w:pPr>
            <w:r w:rsidRPr="00A55434">
              <w:rPr>
                <w:rFonts w:ascii="Maiandra GD" w:hAnsi="Maiandra GD"/>
                <w:sz w:val="18"/>
                <w:szCs w:val="18"/>
                <w:lang w:val="fr-FR"/>
              </w:rPr>
              <w:t>Secteur :</w:t>
            </w:r>
          </w:p>
        </w:tc>
        <w:tc>
          <w:tcPr>
            <w:tcW w:w="6373" w:type="dxa"/>
            <w:vAlign w:val="center"/>
          </w:tcPr>
          <w:p w14:paraId="4E66AE6B" w14:textId="77777777" w:rsidR="00B57237" w:rsidRPr="00A55434" w:rsidRDefault="00B57237" w:rsidP="00B53C13">
            <w:pPr>
              <w:pStyle w:val="ChapterNumber"/>
              <w:ind w:hanging="53"/>
              <w:rPr>
                <w:rFonts w:ascii="Maiandra GD" w:hAnsi="Maiandra GD"/>
                <w:b/>
                <w:bCs/>
                <w:spacing w:val="-2"/>
                <w:sz w:val="18"/>
                <w:szCs w:val="18"/>
                <w:lang w:val="fr-FR"/>
              </w:rPr>
            </w:pPr>
            <w:r w:rsidRPr="00A55434">
              <w:rPr>
                <w:rFonts w:ascii="Maiandra GD" w:hAnsi="Maiandra GD"/>
                <w:b/>
                <w:bCs/>
                <w:sz w:val="18"/>
                <w:szCs w:val="18"/>
                <w:lang w:val="fr-FR"/>
              </w:rPr>
              <w:t>Infrastructures des transports</w:t>
            </w:r>
          </w:p>
        </w:tc>
      </w:tr>
      <w:tr w:rsidR="00C46713" w:rsidRPr="00A55434" w14:paraId="6AE2CE79" w14:textId="77777777" w:rsidTr="00F45275">
        <w:trPr>
          <w:trHeight w:val="300"/>
        </w:trPr>
        <w:tc>
          <w:tcPr>
            <w:tcW w:w="2694" w:type="dxa"/>
            <w:vAlign w:val="center"/>
          </w:tcPr>
          <w:p w14:paraId="70CE5D38" w14:textId="0126769A" w:rsidR="00C46713" w:rsidRPr="00A55434" w:rsidRDefault="00C46713" w:rsidP="00B57237">
            <w:pPr>
              <w:pStyle w:val="ChapterNumber"/>
              <w:tabs>
                <w:tab w:val="clear" w:pos="-720"/>
              </w:tabs>
              <w:ind w:right="-21"/>
              <w:jc w:val="right"/>
              <w:rPr>
                <w:rFonts w:ascii="Maiandra GD" w:hAnsi="Maiandra GD"/>
                <w:sz w:val="18"/>
                <w:szCs w:val="18"/>
                <w:lang w:val="fr-FR"/>
              </w:rPr>
            </w:pPr>
            <w:r>
              <w:rPr>
                <w:rFonts w:ascii="Maiandra GD" w:hAnsi="Maiandra GD"/>
                <w:sz w:val="18"/>
                <w:szCs w:val="18"/>
                <w:lang w:val="fr-FR"/>
              </w:rPr>
              <w:t>Mode de financement :</w:t>
            </w:r>
          </w:p>
        </w:tc>
        <w:tc>
          <w:tcPr>
            <w:tcW w:w="6373" w:type="dxa"/>
            <w:vAlign w:val="center"/>
          </w:tcPr>
          <w:p w14:paraId="37DB15DF" w14:textId="342C53F0" w:rsidR="00C46713" w:rsidRPr="00A55434" w:rsidRDefault="007648C5" w:rsidP="00B53C13">
            <w:pPr>
              <w:pStyle w:val="ChapterNumber"/>
              <w:ind w:hanging="53"/>
              <w:rPr>
                <w:rFonts w:ascii="Maiandra GD" w:hAnsi="Maiandra GD"/>
                <w:b/>
                <w:bCs/>
                <w:sz w:val="18"/>
                <w:szCs w:val="18"/>
                <w:lang w:val="fr-FR"/>
              </w:rPr>
            </w:pPr>
            <w:r>
              <w:rPr>
                <w:rFonts w:ascii="Maiandra GD" w:hAnsi="Maiandra GD"/>
                <w:b/>
                <w:bCs/>
                <w:sz w:val="18"/>
                <w:szCs w:val="18"/>
                <w:lang w:val="fr-FR"/>
              </w:rPr>
              <w:t>V</w:t>
            </w:r>
            <w:r w:rsidR="00B02F37" w:rsidRPr="00B02F37">
              <w:rPr>
                <w:rFonts w:ascii="Maiandra GD" w:hAnsi="Maiandra GD"/>
                <w:b/>
                <w:bCs/>
                <w:sz w:val="18"/>
                <w:szCs w:val="18"/>
                <w:lang w:val="fr-FR"/>
              </w:rPr>
              <w:t>ente à tempérament</w:t>
            </w:r>
          </w:p>
        </w:tc>
      </w:tr>
      <w:tr w:rsidR="00B57237" w:rsidRPr="00A55434" w14:paraId="7DD5F908" w14:textId="77777777" w:rsidTr="00F45275">
        <w:trPr>
          <w:trHeight w:val="300"/>
        </w:trPr>
        <w:tc>
          <w:tcPr>
            <w:tcW w:w="2694" w:type="dxa"/>
            <w:vAlign w:val="center"/>
          </w:tcPr>
          <w:p w14:paraId="6C7D98D7" w14:textId="5FBD1653" w:rsidR="00B57237" w:rsidRPr="00A55434" w:rsidRDefault="00B57237" w:rsidP="00B57237">
            <w:pPr>
              <w:pStyle w:val="ChapterNumber"/>
              <w:ind w:right="-21"/>
              <w:jc w:val="right"/>
              <w:rPr>
                <w:rFonts w:ascii="Maiandra GD" w:hAnsi="Maiandra GD"/>
                <w:spacing w:val="-2"/>
                <w:sz w:val="18"/>
                <w:szCs w:val="18"/>
                <w:lang w:val="fr-FR"/>
              </w:rPr>
            </w:pPr>
            <w:r w:rsidRPr="00A55434">
              <w:rPr>
                <w:rFonts w:ascii="Maiandra GD" w:hAnsi="Maiandra GD"/>
                <w:sz w:val="18"/>
                <w:szCs w:val="18"/>
                <w:lang w:val="fr-FR"/>
              </w:rPr>
              <w:t>N° d</w:t>
            </w:r>
            <w:r w:rsidR="00395C1C">
              <w:rPr>
                <w:rFonts w:ascii="Maiandra GD" w:hAnsi="Maiandra GD"/>
                <w:sz w:val="18"/>
                <w:szCs w:val="18"/>
                <w:lang w:val="fr-FR"/>
              </w:rPr>
              <w:t>u</w:t>
            </w:r>
            <w:r w:rsidRPr="00A55434">
              <w:rPr>
                <w:rFonts w:ascii="Maiandra GD" w:hAnsi="Maiandra GD"/>
                <w:sz w:val="18"/>
                <w:szCs w:val="18"/>
                <w:lang w:val="fr-FR"/>
              </w:rPr>
              <w:t xml:space="preserve"> Financement :</w:t>
            </w:r>
          </w:p>
        </w:tc>
        <w:tc>
          <w:tcPr>
            <w:tcW w:w="6373" w:type="dxa"/>
            <w:vAlign w:val="center"/>
          </w:tcPr>
          <w:p w14:paraId="295D5D6D" w14:textId="2AB068F7" w:rsidR="00B57237" w:rsidRPr="00A55434" w:rsidRDefault="00B57237" w:rsidP="00B53C13">
            <w:pPr>
              <w:pStyle w:val="ChapterNumber"/>
              <w:ind w:hanging="53"/>
              <w:rPr>
                <w:rFonts w:ascii="Maiandra GD" w:hAnsi="Maiandra GD"/>
                <w:spacing w:val="-2"/>
                <w:sz w:val="18"/>
                <w:szCs w:val="18"/>
                <w:lang w:val="fr-FR"/>
              </w:rPr>
            </w:pPr>
            <w:r w:rsidRPr="00A55434">
              <w:rPr>
                <w:rFonts w:ascii="Maiandra GD" w:hAnsi="Maiandra GD"/>
                <w:b/>
                <w:bCs/>
                <w:sz w:val="18"/>
                <w:szCs w:val="18"/>
                <w:lang w:val="fr-FR"/>
              </w:rPr>
              <w:t>CIV-10</w:t>
            </w:r>
            <w:r w:rsidR="00536F35">
              <w:rPr>
                <w:rFonts w:ascii="Maiandra GD" w:hAnsi="Maiandra GD"/>
                <w:b/>
                <w:bCs/>
                <w:sz w:val="18"/>
                <w:szCs w:val="18"/>
                <w:lang w:val="fr-FR"/>
              </w:rPr>
              <w:t>41</w:t>
            </w:r>
          </w:p>
        </w:tc>
      </w:tr>
    </w:tbl>
    <w:p w14:paraId="38EDA3E5" w14:textId="77777777" w:rsidR="00B57237" w:rsidRPr="00B57237" w:rsidRDefault="00B57237" w:rsidP="00E36AB5">
      <w:pPr>
        <w:tabs>
          <w:tab w:val="left" w:pos="0"/>
        </w:tabs>
        <w:jc w:val="both"/>
        <w:rPr>
          <w:spacing w:val="-2"/>
          <w:lang w:val="fr-FR"/>
        </w:rPr>
      </w:pPr>
    </w:p>
    <w:tbl>
      <w:tblPr>
        <w:tblStyle w:val="Grilledutableau"/>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396"/>
        <w:gridCol w:w="416"/>
        <w:gridCol w:w="8930"/>
        <w:gridCol w:w="147"/>
      </w:tblGrid>
      <w:tr w:rsidR="009E4EA7" w:rsidRPr="00E00D7C" w14:paraId="1E641774" w14:textId="77777777" w:rsidTr="00EB55E4">
        <w:trPr>
          <w:gridAfter w:val="1"/>
          <w:wAfter w:w="147" w:type="dxa"/>
        </w:trPr>
        <w:tc>
          <w:tcPr>
            <w:tcW w:w="846" w:type="dxa"/>
            <w:gridSpan w:val="3"/>
            <w:tcBorders>
              <w:right w:val="single" w:sz="4" w:space="0" w:color="auto"/>
            </w:tcBorders>
          </w:tcPr>
          <w:p w14:paraId="7011AF83" w14:textId="77777777" w:rsidR="009E4EA7" w:rsidRPr="00A55434" w:rsidRDefault="009E4EA7" w:rsidP="00F10BC4">
            <w:pPr>
              <w:jc w:val="right"/>
              <w:rPr>
                <w:b/>
                <w:bCs/>
                <w:sz w:val="20"/>
                <w:szCs w:val="20"/>
                <w:lang w:val="fr-FR"/>
              </w:rPr>
            </w:pPr>
            <w:r w:rsidRPr="00A55434">
              <w:rPr>
                <w:b/>
                <w:bCs/>
                <w:sz w:val="20"/>
                <w:szCs w:val="20"/>
                <w:lang w:val="fr-FR"/>
              </w:rPr>
              <w:t>1.</w:t>
            </w:r>
          </w:p>
          <w:p w14:paraId="71872F2B" w14:textId="77777777" w:rsidR="009E4EA7" w:rsidRPr="00A55434" w:rsidRDefault="009E4EA7" w:rsidP="00F10BC4">
            <w:pPr>
              <w:rPr>
                <w:sz w:val="20"/>
                <w:szCs w:val="20"/>
                <w:lang w:val="fr-FR"/>
              </w:rPr>
            </w:pPr>
          </w:p>
          <w:p w14:paraId="6A298B1D" w14:textId="77777777" w:rsidR="009E4EA7" w:rsidRPr="00A55434" w:rsidRDefault="009E4EA7" w:rsidP="00F10BC4">
            <w:pPr>
              <w:rPr>
                <w:sz w:val="20"/>
                <w:szCs w:val="20"/>
                <w:lang w:val="fr-FR"/>
              </w:rPr>
            </w:pPr>
          </w:p>
          <w:p w14:paraId="56CAD989" w14:textId="77777777" w:rsidR="009E4EA7" w:rsidRPr="00A55434" w:rsidRDefault="009E4EA7" w:rsidP="00F10BC4">
            <w:pPr>
              <w:rPr>
                <w:sz w:val="20"/>
                <w:szCs w:val="20"/>
                <w:lang w:val="fr-FR"/>
              </w:rPr>
            </w:pPr>
          </w:p>
          <w:p w14:paraId="3F083C3B" w14:textId="77777777" w:rsidR="009E4EA7" w:rsidRPr="00A55434" w:rsidRDefault="009E4EA7" w:rsidP="00F10BC4">
            <w:pPr>
              <w:rPr>
                <w:sz w:val="20"/>
                <w:szCs w:val="20"/>
                <w:lang w:val="fr-FR"/>
              </w:rPr>
            </w:pPr>
          </w:p>
          <w:p w14:paraId="39FB66A5" w14:textId="77777777" w:rsidR="00EE1BEF" w:rsidRPr="00A55434" w:rsidRDefault="00EE1BEF" w:rsidP="00F10BC4">
            <w:pPr>
              <w:rPr>
                <w:sz w:val="20"/>
                <w:szCs w:val="20"/>
                <w:lang w:val="fr-FR"/>
              </w:rPr>
            </w:pPr>
          </w:p>
          <w:p w14:paraId="7C9D9F28" w14:textId="77777777" w:rsidR="00EE1BEF" w:rsidRPr="00A55434" w:rsidRDefault="00EE1BEF" w:rsidP="00F10BC4">
            <w:pPr>
              <w:rPr>
                <w:sz w:val="20"/>
                <w:szCs w:val="20"/>
                <w:lang w:val="fr-FR"/>
              </w:rPr>
            </w:pPr>
          </w:p>
          <w:p w14:paraId="7DFCF1C5" w14:textId="77777777" w:rsidR="0027710D" w:rsidRPr="00A55434" w:rsidRDefault="0027710D" w:rsidP="00EB55E4">
            <w:pPr>
              <w:tabs>
                <w:tab w:val="left" w:pos="300"/>
              </w:tabs>
              <w:rPr>
                <w:b/>
                <w:bCs/>
                <w:sz w:val="20"/>
                <w:szCs w:val="20"/>
                <w:lang w:val="fr-FR"/>
              </w:rPr>
            </w:pPr>
          </w:p>
          <w:p w14:paraId="31651A96" w14:textId="72895198" w:rsidR="009E4EA7" w:rsidRPr="00A55434" w:rsidRDefault="009E4EA7" w:rsidP="00043B66">
            <w:pPr>
              <w:tabs>
                <w:tab w:val="left" w:pos="300"/>
              </w:tabs>
              <w:rPr>
                <w:sz w:val="20"/>
                <w:szCs w:val="20"/>
                <w:lang w:val="fr-FR"/>
              </w:rPr>
            </w:pPr>
          </w:p>
        </w:tc>
        <w:tc>
          <w:tcPr>
            <w:tcW w:w="8930" w:type="dxa"/>
            <w:tcBorders>
              <w:top w:val="single" w:sz="4" w:space="0" w:color="auto"/>
              <w:left w:val="single" w:sz="4" w:space="0" w:color="auto"/>
              <w:bottom w:val="single" w:sz="4" w:space="0" w:color="auto"/>
              <w:right w:val="single" w:sz="4" w:space="0" w:color="auto"/>
            </w:tcBorders>
          </w:tcPr>
          <w:p w14:paraId="2B58A020" w14:textId="40E71E5D" w:rsidR="009E4EA7" w:rsidRPr="00010578" w:rsidRDefault="009E4EA7" w:rsidP="00EB55E4">
            <w:pPr>
              <w:tabs>
                <w:tab w:val="left" w:pos="0"/>
              </w:tabs>
              <w:jc w:val="both"/>
              <w:rPr>
                <w:b/>
                <w:sz w:val="20"/>
                <w:szCs w:val="20"/>
                <w:lang w:val="fr-CI"/>
              </w:rPr>
            </w:pPr>
            <w:r w:rsidRPr="00A55434">
              <w:rPr>
                <w:b/>
                <w:sz w:val="20"/>
                <w:szCs w:val="20"/>
                <w:lang w:val="fr-FR"/>
              </w:rPr>
              <w:t>La République de Côte d’Ivoire</w:t>
            </w:r>
            <w:r w:rsidRPr="00A55434">
              <w:rPr>
                <w:bCs/>
                <w:sz w:val="20"/>
                <w:szCs w:val="20"/>
                <w:lang w:val="fr-FR"/>
              </w:rPr>
              <w:t xml:space="preserve">, a sollicité un </w:t>
            </w:r>
            <w:r w:rsidR="00290126" w:rsidRPr="00A55434">
              <w:rPr>
                <w:bCs/>
                <w:sz w:val="20"/>
                <w:szCs w:val="20"/>
                <w:lang w:val="fr-FR"/>
              </w:rPr>
              <w:t xml:space="preserve">financement d’un montant de </w:t>
            </w:r>
            <w:r w:rsidR="0065738B">
              <w:rPr>
                <w:bCs/>
                <w:sz w:val="20"/>
                <w:szCs w:val="20"/>
                <w:lang w:val="fr-FR"/>
              </w:rPr>
              <w:t xml:space="preserve">deux cent </w:t>
            </w:r>
            <w:r w:rsidR="00290126" w:rsidRPr="00A55434">
              <w:rPr>
                <w:bCs/>
                <w:sz w:val="20"/>
                <w:szCs w:val="20"/>
                <w:lang w:val="fr-FR"/>
              </w:rPr>
              <w:t xml:space="preserve">millions </w:t>
            </w:r>
            <w:r w:rsidR="0065738B">
              <w:rPr>
                <w:bCs/>
                <w:sz w:val="20"/>
                <w:szCs w:val="20"/>
                <w:lang w:val="fr-FR"/>
              </w:rPr>
              <w:t>(</w:t>
            </w:r>
            <w:r w:rsidR="0065738B" w:rsidRPr="00A55434">
              <w:rPr>
                <w:bCs/>
                <w:sz w:val="20"/>
                <w:szCs w:val="20"/>
                <w:lang w:val="fr-FR"/>
              </w:rPr>
              <w:t>2</w:t>
            </w:r>
            <w:r w:rsidR="00536F35">
              <w:rPr>
                <w:bCs/>
                <w:sz w:val="20"/>
                <w:szCs w:val="20"/>
                <w:lang w:val="fr-FR"/>
              </w:rPr>
              <w:t>0</w:t>
            </w:r>
            <w:r w:rsidR="0065738B" w:rsidRPr="00A55434">
              <w:rPr>
                <w:bCs/>
                <w:sz w:val="20"/>
                <w:szCs w:val="20"/>
                <w:lang w:val="fr-FR"/>
              </w:rPr>
              <w:t>0</w:t>
            </w:r>
            <w:r w:rsidR="0065738B">
              <w:rPr>
                <w:bCs/>
                <w:sz w:val="20"/>
                <w:szCs w:val="20"/>
                <w:lang w:val="fr-FR"/>
              </w:rPr>
              <w:t xml:space="preserve"> 000 000) </w:t>
            </w:r>
            <w:r w:rsidR="00290126" w:rsidRPr="00A55434">
              <w:rPr>
                <w:bCs/>
                <w:sz w:val="20"/>
                <w:szCs w:val="20"/>
                <w:lang w:val="fr-FR"/>
              </w:rPr>
              <w:t>d’euro sous forme d</w:t>
            </w:r>
            <w:r w:rsidR="00873585">
              <w:rPr>
                <w:bCs/>
                <w:sz w:val="20"/>
                <w:szCs w:val="20"/>
                <w:lang w:val="fr-FR"/>
              </w:rPr>
              <w:t>’u</w:t>
            </w:r>
            <w:r w:rsidR="00F26F7B">
              <w:rPr>
                <w:bCs/>
                <w:sz w:val="20"/>
                <w:szCs w:val="20"/>
                <w:lang w:val="fr-FR"/>
              </w:rPr>
              <w:t>n</w:t>
            </w:r>
            <w:r w:rsidR="00290126" w:rsidRPr="00A55434">
              <w:rPr>
                <w:bCs/>
                <w:sz w:val="20"/>
                <w:szCs w:val="20"/>
                <w:lang w:val="fr-FR"/>
              </w:rPr>
              <w:t xml:space="preserve"> prêt</w:t>
            </w:r>
            <w:r w:rsidR="00F26F7B">
              <w:rPr>
                <w:bCs/>
                <w:sz w:val="20"/>
                <w:szCs w:val="20"/>
                <w:lang w:val="fr-FR"/>
              </w:rPr>
              <w:t xml:space="preserve"> (</w:t>
            </w:r>
            <w:r w:rsidR="00F26F7B" w:rsidRPr="00F26F7B">
              <w:rPr>
                <w:bCs/>
                <w:i/>
                <w:iCs/>
                <w:sz w:val="20"/>
                <w:szCs w:val="20"/>
                <w:lang w:val="fr-FR"/>
              </w:rPr>
              <w:t>Vente à tempérament</w:t>
            </w:r>
            <w:r w:rsidR="00F26F7B">
              <w:rPr>
                <w:bCs/>
                <w:sz w:val="20"/>
                <w:szCs w:val="20"/>
                <w:lang w:val="fr-FR"/>
              </w:rPr>
              <w:t>)</w:t>
            </w:r>
            <w:r w:rsidR="00290126" w:rsidRPr="00A55434">
              <w:rPr>
                <w:bCs/>
                <w:sz w:val="20"/>
                <w:szCs w:val="20"/>
                <w:lang w:val="fr-FR"/>
              </w:rPr>
              <w:t xml:space="preserve"> </w:t>
            </w:r>
            <w:r w:rsidRPr="00A55434">
              <w:rPr>
                <w:bCs/>
                <w:sz w:val="20"/>
                <w:szCs w:val="20"/>
                <w:lang w:val="fr-FR"/>
              </w:rPr>
              <w:t xml:space="preserve">de la Banque Islamique de Développement (BID) </w:t>
            </w:r>
            <w:r w:rsidR="00F26F7B">
              <w:rPr>
                <w:bCs/>
                <w:sz w:val="20"/>
                <w:szCs w:val="20"/>
                <w:lang w:val="fr-FR"/>
              </w:rPr>
              <w:t>pour</w:t>
            </w:r>
            <w:r w:rsidRPr="00A55434">
              <w:rPr>
                <w:bCs/>
                <w:sz w:val="20"/>
                <w:szCs w:val="20"/>
                <w:lang w:val="fr-FR"/>
              </w:rPr>
              <w:t xml:space="preserve"> finance</w:t>
            </w:r>
            <w:r w:rsidR="00F26F7B">
              <w:rPr>
                <w:bCs/>
                <w:sz w:val="20"/>
                <w:szCs w:val="20"/>
                <w:lang w:val="fr-FR"/>
              </w:rPr>
              <w:t xml:space="preserve">r </w:t>
            </w:r>
            <w:r w:rsidR="00997445">
              <w:rPr>
                <w:bCs/>
                <w:sz w:val="20"/>
                <w:szCs w:val="20"/>
                <w:lang w:val="fr-FR"/>
              </w:rPr>
              <w:t>le</w:t>
            </w:r>
            <w:r w:rsidRPr="00A55434">
              <w:rPr>
                <w:bCs/>
                <w:sz w:val="20"/>
                <w:szCs w:val="20"/>
                <w:lang w:val="fr-FR"/>
              </w:rPr>
              <w:t xml:space="preserve"> </w:t>
            </w:r>
            <w:r w:rsidRPr="00A55434">
              <w:rPr>
                <w:b/>
                <w:sz w:val="20"/>
                <w:szCs w:val="20"/>
                <w:lang w:val="fr-FR"/>
              </w:rPr>
              <w:t>Projet de Construction de l</w:t>
            </w:r>
            <w:r w:rsidR="00946B37" w:rsidRPr="00A55434">
              <w:rPr>
                <w:b/>
                <w:sz w:val="20"/>
                <w:szCs w:val="20"/>
                <w:lang w:val="fr-FR"/>
              </w:rPr>
              <w:t xml:space="preserve">’autoroute </w:t>
            </w:r>
            <w:r w:rsidR="00536F35">
              <w:rPr>
                <w:b/>
                <w:sz w:val="20"/>
                <w:szCs w:val="20"/>
                <w:lang w:val="fr-FR"/>
              </w:rPr>
              <w:t>Tafire-Ferkessédougou</w:t>
            </w:r>
            <w:r w:rsidR="00946B37" w:rsidRPr="00A55434">
              <w:rPr>
                <w:b/>
                <w:sz w:val="20"/>
                <w:szCs w:val="20"/>
                <w:lang w:val="fr-FR"/>
              </w:rPr>
              <w:t xml:space="preserve"> (</w:t>
            </w:r>
            <w:r w:rsidR="00536F35">
              <w:rPr>
                <w:b/>
                <w:sz w:val="20"/>
                <w:szCs w:val="20"/>
                <w:lang w:val="fr-FR"/>
              </w:rPr>
              <w:t>58</w:t>
            </w:r>
            <w:r w:rsidR="00946B37" w:rsidRPr="00A55434">
              <w:rPr>
                <w:b/>
                <w:sz w:val="20"/>
                <w:szCs w:val="20"/>
                <w:lang w:val="fr-FR"/>
              </w:rPr>
              <w:t xml:space="preserve"> km)</w:t>
            </w:r>
            <w:r w:rsidRPr="00A55434">
              <w:rPr>
                <w:bCs/>
                <w:sz w:val="20"/>
                <w:szCs w:val="20"/>
                <w:lang w:val="fr-FR"/>
              </w:rPr>
              <w:t xml:space="preserve"> et à l’intention d’utiliser une partie de ce financement pour effectuer des paiements pour l’acquisition de biens, travaux et services connexes et de services de consultants nécessaires dans le cadre de ce projet. </w:t>
            </w:r>
            <w:r w:rsidR="00C41A82" w:rsidRPr="00C41A82">
              <w:rPr>
                <w:b/>
                <w:sz w:val="20"/>
                <w:szCs w:val="20"/>
                <w:lang w:val="fr-CI"/>
              </w:rPr>
              <w:t xml:space="preserve">Le financement de ce projet sera assuré conjointement par </w:t>
            </w:r>
            <w:r w:rsidR="00C727A7" w:rsidRPr="00C41A82">
              <w:rPr>
                <w:b/>
                <w:sz w:val="20"/>
                <w:szCs w:val="20"/>
                <w:lang w:val="fr-CI"/>
              </w:rPr>
              <w:t>la Banque Islamique de Développement (</w:t>
            </w:r>
            <w:r w:rsidR="00536F35" w:rsidRPr="00C41A82">
              <w:rPr>
                <w:b/>
                <w:sz w:val="20"/>
                <w:szCs w:val="20"/>
                <w:lang w:val="fr-CI"/>
              </w:rPr>
              <w:t>BID)</w:t>
            </w:r>
            <w:r w:rsidR="00536F35">
              <w:rPr>
                <w:b/>
                <w:sz w:val="20"/>
                <w:szCs w:val="20"/>
                <w:lang w:val="fr-CI"/>
              </w:rPr>
              <w:t xml:space="preserve"> avec</w:t>
            </w:r>
            <w:r w:rsidR="00C41A82" w:rsidRPr="00C41A82">
              <w:rPr>
                <w:b/>
                <w:sz w:val="20"/>
                <w:szCs w:val="20"/>
                <w:lang w:val="fr-CI"/>
              </w:rPr>
              <w:t xml:space="preserve"> une contribution de </w:t>
            </w:r>
            <w:r w:rsidR="008A11EB" w:rsidRPr="00C41A82">
              <w:rPr>
                <w:b/>
                <w:sz w:val="20"/>
                <w:szCs w:val="20"/>
                <w:lang w:val="fr-CI"/>
              </w:rPr>
              <w:t>2</w:t>
            </w:r>
            <w:r w:rsidR="00536F35">
              <w:rPr>
                <w:b/>
                <w:sz w:val="20"/>
                <w:szCs w:val="20"/>
                <w:lang w:val="fr-CI"/>
              </w:rPr>
              <w:t>0</w:t>
            </w:r>
            <w:r w:rsidR="008A11EB" w:rsidRPr="00C41A82">
              <w:rPr>
                <w:b/>
                <w:sz w:val="20"/>
                <w:szCs w:val="20"/>
                <w:lang w:val="fr-CI"/>
              </w:rPr>
              <w:t>0 millions d’euros</w:t>
            </w:r>
            <w:r w:rsidR="00C41A82" w:rsidRPr="00C41A82">
              <w:rPr>
                <w:b/>
                <w:sz w:val="20"/>
                <w:szCs w:val="20"/>
                <w:lang w:val="fr-CI"/>
              </w:rPr>
              <w:t xml:space="preserve"> </w:t>
            </w:r>
            <w:r w:rsidR="00536F35">
              <w:rPr>
                <w:b/>
                <w:sz w:val="20"/>
                <w:szCs w:val="20"/>
                <w:lang w:val="fr-CI"/>
              </w:rPr>
              <w:t>et</w:t>
            </w:r>
            <w:r w:rsidR="00C41A82" w:rsidRPr="00C41A82">
              <w:rPr>
                <w:b/>
                <w:sz w:val="20"/>
                <w:szCs w:val="20"/>
                <w:lang w:val="fr-CI"/>
              </w:rPr>
              <w:t xml:space="preserve"> </w:t>
            </w:r>
            <w:r w:rsidR="008A11EB" w:rsidRPr="00C41A82">
              <w:rPr>
                <w:b/>
                <w:sz w:val="20"/>
                <w:szCs w:val="20"/>
                <w:lang w:val="fr-CI"/>
              </w:rPr>
              <w:t>l’État ivoirien avec</w:t>
            </w:r>
            <w:r w:rsidR="008A11EB">
              <w:rPr>
                <w:b/>
                <w:sz w:val="20"/>
                <w:szCs w:val="20"/>
                <w:lang w:val="fr-CI"/>
              </w:rPr>
              <w:t xml:space="preserve"> </w:t>
            </w:r>
            <w:r w:rsidR="00EB55E4">
              <w:rPr>
                <w:b/>
                <w:sz w:val="20"/>
                <w:szCs w:val="20"/>
                <w:lang w:val="fr-CI"/>
              </w:rPr>
              <w:t>18</w:t>
            </w:r>
            <w:r w:rsidR="008A11EB" w:rsidRPr="00C41A82">
              <w:rPr>
                <w:b/>
                <w:sz w:val="20"/>
                <w:szCs w:val="20"/>
                <w:lang w:val="fr-CI"/>
              </w:rPr>
              <w:t>,7</w:t>
            </w:r>
            <w:r w:rsidR="00EB55E4">
              <w:rPr>
                <w:b/>
                <w:sz w:val="20"/>
                <w:szCs w:val="20"/>
                <w:lang w:val="fr-CI"/>
              </w:rPr>
              <w:t>0</w:t>
            </w:r>
            <w:r w:rsidR="008A11EB" w:rsidRPr="00C41A82">
              <w:rPr>
                <w:b/>
                <w:sz w:val="20"/>
                <w:szCs w:val="20"/>
                <w:lang w:val="fr-CI"/>
              </w:rPr>
              <w:t xml:space="preserve"> millions d’euros</w:t>
            </w:r>
            <w:r w:rsidR="008A11EB">
              <w:rPr>
                <w:b/>
                <w:sz w:val="20"/>
                <w:szCs w:val="20"/>
                <w:lang w:val="fr-CI"/>
              </w:rPr>
              <w:t xml:space="preserve"> </w:t>
            </w:r>
            <w:r w:rsidR="00C41A82" w:rsidRPr="00C41A82">
              <w:rPr>
                <w:b/>
                <w:sz w:val="20"/>
                <w:szCs w:val="20"/>
                <w:lang w:val="fr-CI"/>
              </w:rPr>
              <w:t>portant ainsi le coût total du projet à</w:t>
            </w:r>
            <w:r w:rsidR="005D720C">
              <w:rPr>
                <w:b/>
                <w:sz w:val="20"/>
                <w:szCs w:val="20"/>
                <w:lang w:val="fr-CI"/>
              </w:rPr>
              <w:t xml:space="preserve"> </w:t>
            </w:r>
            <w:r w:rsidR="00EB55E4">
              <w:rPr>
                <w:b/>
                <w:sz w:val="20"/>
                <w:szCs w:val="20"/>
                <w:lang w:val="fr-CI"/>
              </w:rPr>
              <w:t>218</w:t>
            </w:r>
            <w:r w:rsidR="00C41A82" w:rsidRPr="00C41A82">
              <w:rPr>
                <w:b/>
                <w:sz w:val="20"/>
                <w:szCs w:val="20"/>
                <w:lang w:val="fr-CI"/>
              </w:rPr>
              <w:t>,</w:t>
            </w:r>
            <w:r w:rsidR="00EB55E4">
              <w:rPr>
                <w:b/>
                <w:sz w:val="20"/>
                <w:szCs w:val="20"/>
                <w:lang w:val="fr-CI"/>
              </w:rPr>
              <w:t>70</w:t>
            </w:r>
            <w:r w:rsidR="00C41A82" w:rsidRPr="00C41A82">
              <w:rPr>
                <w:b/>
                <w:sz w:val="20"/>
                <w:szCs w:val="20"/>
                <w:lang w:val="fr-CI"/>
              </w:rPr>
              <w:t xml:space="preserve"> millions d’euros</w:t>
            </w:r>
            <w:r w:rsidR="00010578">
              <w:rPr>
                <w:b/>
                <w:sz w:val="20"/>
                <w:szCs w:val="20"/>
                <w:lang w:val="fr-CI"/>
              </w:rPr>
              <w:t>.</w:t>
            </w:r>
          </w:p>
        </w:tc>
      </w:tr>
      <w:tr w:rsidR="009E4EA7" w:rsidRPr="00E00D7C" w14:paraId="64C24788" w14:textId="77777777" w:rsidTr="00EB55E4">
        <w:trPr>
          <w:gridAfter w:val="1"/>
          <w:wAfter w:w="147" w:type="dxa"/>
        </w:trPr>
        <w:tc>
          <w:tcPr>
            <w:tcW w:w="846" w:type="dxa"/>
            <w:gridSpan w:val="3"/>
            <w:tcBorders>
              <w:right w:val="single" w:sz="4" w:space="0" w:color="auto"/>
            </w:tcBorders>
          </w:tcPr>
          <w:p w14:paraId="60731CA5" w14:textId="77777777" w:rsidR="00AB54C5" w:rsidRDefault="00AB54C5" w:rsidP="00EB55E4">
            <w:pPr>
              <w:tabs>
                <w:tab w:val="left" w:pos="300"/>
              </w:tabs>
              <w:rPr>
                <w:b/>
                <w:bCs/>
                <w:sz w:val="20"/>
                <w:szCs w:val="20"/>
                <w:lang w:val="fr-FR"/>
              </w:rPr>
            </w:pPr>
          </w:p>
          <w:p w14:paraId="4CB80B03" w14:textId="159F13EF" w:rsidR="00010578" w:rsidRPr="00A55434" w:rsidRDefault="00010578" w:rsidP="00AB54C5">
            <w:pPr>
              <w:tabs>
                <w:tab w:val="left" w:pos="300"/>
              </w:tabs>
              <w:jc w:val="right"/>
              <w:rPr>
                <w:b/>
                <w:bCs/>
                <w:sz w:val="20"/>
                <w:szCs w:val="20"/>
                <w:lang w:val="fr-FR"/>
              </w:rPr>
            </w:pPr>
            <w:r w:rsidRPr="00A55434">
              <w:rPr>
                <w:b/>
                <w:bCs/>
                <w:sz w:val="20"/>
                <w:szCs w:val="20"/>
                <w:lang w:val="fr-FR"/>
              </w:rPr>
              <w:t>2.</w:t>
            </w:r>
          </w:p>
          <w:p w14:paraId="00E482AE" w14:textId="426235D5" w:rsidR="009E4EA7" w:rsidRPr="00A55434" w:rsidRDefault="009E4EA7" w:rsidP="00F10BC4">
            <w:pPr>
              <w:jc w:val="both"/>
              <w:rPr>
                <w:sz w:val="20"/>
                <w:szCs w:val="20"/>
                <w:lang w:val="fr-FR"/>
              </w:rPr>
            </w:pPr>
          </w:p>
        </w:tc>
        <w:tc>
          <w:tcPr>
            <w:tcW w:w="8930" w:type="dxa"/>
            <w:tcBorders>
              <w:top w:val="single" w:sz="4" w:space="0" w:color="auto"/>
              <w:left w:val="single" w:sz="4" w:space="0" w:color="auto"/>
              <w:bottom w:val="single" w:sz="4" w:space="0" w:color="auto"/>
              <w:right w:val="single" w:sz="4" w:space="0" w:color="auto"/>
            </w:tcBorders>
          </w:tcPr>
          <w:p w14:paraId="0CAB1365" w14:textId="77777777" w:rsidR="006247CE" w:rsidRPr="006247CE" w:rsidRDefault="006247CE" w:rsidP="00EF52B8">
            <w:pPr>
              <w:spacing w:before="60"/>
              <w:jc w:val="both"/>
              <w:rPr>
                <w:bCs/>
                <w:sz w:val="10"/>
                <w:szCs w:val="10"/>
                <w:lang w:val="fr-FR"/>
              </w:rPr>
            </w:pPr>
          </w:p>
          <w:p w14:paraId="5CE8AC18" w14:textId="7F66251F" w:rsidR="00010578" w:rsidRPr="00B942B3" w:rsidRDefault="00B942B3" w:rsidP="00EF52B8">
            <w:pPr>
              <w:spacing w:before="60"/>
              <w:jc w:val="both"/>
              <w:rPr>
                <w:bCs/>
                <w:sz w:val="20"/>
                <w:szCs w:val="20"/>
                <w:lang w:val="fr-FR"/>
              </w:rPr>
            </w:pPr>
            <w:r w:rsidRPr="00B942B3">
              <w:rPr>
                <w:bCs/>
                <w:sz w:val="20"/>
                <w:szCs w:val="20"/>
                <w:lang w:val="fr-FR"/>
              </w:rPr>
              <w:t xml:space="preserve">Le projet comprendra les </w:t>
            </w:r>
            <w:r w:rsidR="00EB55E4">
              <w:rPr>
                <w:bCs/>
                <w:sz w:val="20"/>
                <w:szCs w:val="20"/>
                <w:lang w:val="fr-FR"/>
              </w:rPr>
              <w:t>huit</w:t>
            </w:r>
            <w:r>
              <w:rPr>
                <w:bCs/>
                <w:sz w:val="20"/>
                <w:szCs w:val="20"/>
                <w:lang w:val="fr-FR"/>
              </w:rPr>
              <w:t xml:space="preserve"> (</w:t>
            </w:r>
            <w:r w:rsidR="00EB55E4">
              <w:rPr>
                <w:bCs/>
                <w:sz w:val="20"/>
                <w:szCs w:val="20"/>
                <w:lang w:val="fr-FR"/>
              </w:rPr>
              <w:t>8</w:t>
            </w:r>
            <w:r>
              <w:rPr>
                <w:bCs/>
                <w:sz w:val="20"/>
                <w:szCs w:val="20"/>
                <w:lang w:val="fr-FR"/>
              </w:rPr>
              <w:t xml:space="preserve">) </w:t>
            </w:r>
            <w:r w:rsidRPr="00B942B3">
              <w:rPr>
                <w:bCs/>
                <w:sz w:val="20"/>
                <w:szCs w:val="20"/>
                <w:lang w:val="fr-FR"/>
              </w:rPr>
              <w:t>composantes suivantes </w:t>
            </w:r>
          </w:p>
          <w:p w14:paraId="54C55721" w14:textId="03C57BC5" w:rsidR="0076330E" w:rsidRPr="00043B66" w:rsidRDefault="009E4EA7" w:rsidP="00043B66">
            <w:pPr>
              <w:pStyle w:val="Paragraphedeliste"/>
              <w:numPr>
                <w:ilvl w:val="0"/>
                <w:numId w:val="11"/>
              </w:numPr>
              <w:spacing w:before="60"/>
              <w:jc w:val="both"/>
              <w:rPr>
                <w:b/>
                <w:bCs/>
                <w:sz w:val="20"/>
                <w:szCs w:val="20"/>
                <w:lang w:val="fr-FR"/>
              </w:rPr>
            </w:pPr>
            <w:r w:rsidRPr="00043B66">
              <w:rPr>
                <w:b/>
                <w:bCs/>
                <w:sz w:val="20"/>
                <w:szCs w:val="20"/>
                <w:lang w:val="fr-FR"/>
              </w:rPr>
              <w:t xml:space="preserve">Composante </w:t>
            </w:r>
            <w:r w:rsidR="007F0F51">
              <w:rPr>
                <w:b/>
                <w:bCs/>
                <w:sz w:val="20"/>
                <w:szCs w:val="20"/>
                <w:lang w:val="fr-FR"/>
              </w:rPr>
              <w:t>1</w:t>
            </w:r>
            <w:r w:rsidR="0076330E" w:rsidRPr="00043B66">
              <w:rPr>
                <w:b/>
                <w:bCs/>
                <w:sz w:val="20"/>
                <w:szCs w:val="20"/>
                <w:lang w:val="fr-FR"/>
              </w:rPr>
              <w:t> :</w:t>
            </w:r>
            <w:r w:rsidRPr="00043B66">
              <w:rPr>
                <w:b/>
                <w:bCs/>
                <w:sz w:val="20"/>
                <w:szCs w:val="20"/>
                <w:lang w:val="fr-FR"/>
              </w:rPr>
              <w:t xml:space="preserve"> Travaux de génie civil</w:t>
            </w:r>
          </w:p>
          <w:p w14:paraId="5975EFE7" w14:textId="5475DAC2" w:rsidR="009E4EA7" w:rsidRPr="00A55434" w:rsidRDefault="0076330E" w:rsidP="00F10BC4">
            <w:pPr>
              <w:spacing w:before="60"/>
              <w:jc w:val="both"/>
              <w:rPr>
                <w:sz w:val="20"/>
                <w:szCs w:val="20"/>
                <w:lang w:val="fr-FR"/>
              </w:rPr>
            </w:pPr>
            <w:r w:rsidRPr="00A55434">
              <w:rPr>
                <w:sz w:val="20"/>
                <w:szCs w:val="20"/>
                <w:lang w:val="fr-FR"/>
              </w:rPr>
              <w:t>L</w:t>
            </w:r>
            <w:r w:rsidR="009E4EA7" w:rsidRPr="00A55434">
              <w:rPr>
                <w:spacing w:val="-3"/>
                <w:sz w:val="20"/>
                <w:szCs w:val="20"/>
                <w:lang w:val="fr-FR"/>
              </w:rPr>
              <w:t xml:space="preserve">’aménagement et le bitumage </w:t>
            </w:r>
            <w:r w:rsidR="00B935C2" w:rsidRPr="00A55434">
              <w:rPr>
                <w:spacing w:val="-3"/>
                <w:sz w:val="20"/>
                <w:szCs w:val="20"/>
                <w:lang w:val="fr-FR"/>
              </w:rPr>
              <w:t xml:space="preserve">suivant les règles de l’Art </w:t>
            </w:r>
            <w:r w:rsidR="00363FE9" w:rsidRPr="00A55434">
              <w:rPr>
                <w:spacing w:val="-3"/>
                <w:sz w:val="20"/>
                <w:szCs w:val="20"/>
                <w:lang w:val="fr-FR"/>
              </w:rPr>
              <w:t xml:space="preserve">de l’autoroute </w:t>
            </w:r>
            <w:r w:rsidR="007F0F51">
              <w:rPr>
                <w:spacing w:val="-3"/>
                <w:sz w:val="20"/>
                <w:szCs w:val="20"/>
                <w:lang w:val="fr-FR"/>
              </w:rPr>
              <w:t>Tafire-Ferkessédougou</w:t>
            </w:r>
            <w:r w:rsidR="00363FE9" w:rsidRPr="00A55434">
              <w:rPr>
                <w:spacing w:val="-3"/>
                <w:sz w:val="20"/>
                <w:szCs w:val="20"/>
                <w:lang w:val="fr-FR"/>
              </w:rPr>
              <w:t xml:space="preserve"> (Lot 1</w:t>
            </w:r>
            <w:r w:rsidR="007F0F51">
              <w:rPr>
                <w:spacing w:val="-3"/>
                <w:sz w:val="20"/>
                <w:szCs w:val="20"/>
                <w:lang w:val="fr-FR"/>
              </w:rPr>
              <w:t xml:space="preserve"> et</w:t>
            </w:r>
            <w:r w:rsidR="00216C28" w:rsidRPr="00A55434">
              <w:rPr>
                <w:spacing w:val="-3"/>
                <w:sz w:val="20"/>
                <w:szCs w:val="20"/>
                <w:lang w:val="fr-FR"/>
              </w:rPr>
              <w:t xml:space="preserve"> 2</w:t>
            </w:r>
            <w:r w:rsidR="00363FE9" w:rsidRPr="00A55434">
              <w:rPr>
                <w:spacing w:val="-3"/>
                <w:sz w:val="20"/>
                <w:szCs w:val="20"/>
                <w:lang w:val="fr-FR"/>
              </w:rPr>
              <w:t xml:space="preserve"> – </w:t>
            </w:r>
            <w:r w:rsidR="007F0F51">
              <w:rPr>
                <w:spacing w:val="-3"/>
                <w:sz w:val="20"/>
                <w:szCs w:val="20"/>
                <w:lang w:val="fr-FR"/>
              </w:rPr>
              <w:t>58</w:t>
            </w:r>
            <w:r w:rsidR="00363FE9" w:rsidRPr="00A55434">
              <w:rPr>
                <w:spacing w:val="-3"/>
                <w:sz w:val="20"/>
                <w:szCs w:val="20"/>
                <w:lang w:val="fr-FR"/>
              </w:rPr>
              <w:t xml:space="preserve"> km)</w:t>
            </w:r>
            <w:r w:rsidR="00766981" w:rsidRPr="00A55434">
              <w:rPr>
                <w:spacing w:val="-3"/>
                <w:sz w:val="20"/>
                <w:szCs w:val="20"/>
                <w:lang w:val="fr-FR"/>
              </w:rPr>
              <w:t> ;</w:t>
            </w:r>
          </w:p>
          <w:p w14:paraId="1C814E95" w14:textId="2C7A9F65" w:rsidR="009E4EA7" w:rsidRPr="00A55434" w:rsidRDefault="00363FE9" w:rsidP="009E4EA7">
            <w:pPr>
              <w:pStyle w:val="Paragraphedeliste"/>
              <w:widowControl w:val="0"/>
              <w:numPr>
                <w:ilvl w:val="0"/>
                <w:numId w:val="2"/>
              </w:numPr>
              <w:tabs>
                <w:tab w:val="left" w:pos="388"/>
              </w:tabs>
              <w:autoSpaceDE w:val="0"/>
              <w:autoSpaceDN w:val="0"/>
              <w:ind w:left="328" w:right="638" w:hanging="142"/>
              <w:jc w:val="both"/>
              <w:rPr>
                <w:spacing w:val="-3"/>
                <w:sz w:val="20"/>
                <w:szCs w:val="20"/>
                <w:lang w:val="fr-FR"/>
              </w:rPr>
            </w:pPr>
            <w:r w:rsidRPr="00A55434">
              <w:rPr>
                <w:spacing w:val="-3"/>
                <w:sz w:val="20"/>
                <w:szCs w:val="20"/>
                <w:lang w:val="fr-FR"/>
              </w:rPr>
              <w:t xml:space="preserve">Lot </w:t>
            </w:r>
            <w:r w:rsidR="006247CE" w:rsidRPr="00A55434">
              <w:rPr>
                <w:spacing w:val="-3"/>
                <w:sz w:val="20"/>
                <w:szCs w:val="20"/>
                <w:lang w:val="fr-FR"/>
              </w:rPr>
              <w:t>1 :</w:t>
            </w:r>
            <w:r w:rsidRPr="00A55434">
              <w:rPr>
                <w:spacing w:val="-3"/>
                <w:sz w:val="20"/>
                <w:szCs w:val="20"/>
                <w:lang w:val="fr-FR"/>
              </w:rPr>
              <w:t xml:space="preserve"> </w:t>
            </w:r>
            <w:r w:rsidR="007F0F51">
              <w:rPr>
                <w:spacing w:val="-3"/>
                <w:sz w:val="20"/>
                <w:szCs w:val="20"/>
                <w:lang w:val="fr-FR"/>
              </w:rPr>
              <w:t>Tafire</w:t>
            </w:r>
            <w:r w:rsidR="00766981" w:rsidRPr="00A55434">
              <w:rPr>
                <w:spacing w:val="-3"/>
                <w:sz w:val="20"/>
                <w:szCs w:val="20"/>
                <w:lang w:val="fr-FR"/>
              </w:rPr>
              <w:t>-</w:t>
            </w:r>
            <w:r w:rsidR="007F0F51">
              <w:rPr>
                <w:spacing w:val="-3"/>
                <w:sz w:val="20"/>
                <w:szCs w:val="20"/>
                <w:lang w:val="fr-FR"/>
              </w:rPr>
              <w:t>Kouroukouna</w:t>
            </w:r>
            <w:r w:rsidRPr="00A55434">
              <w:rPr>
                <w:spacing w:val="-3"/>
                <w:sz w:val="20"/>
                <w:szCs w:val="20"/>
                <w:lang w:val="fr-FR"/>
              </w:rPr>
              <w:t xml:space="preserve"> (</w:t>
            </w:r>
            <w:r w:rsidR="007F0F51">
              <w:rPr>
                <w:spacing w:val="-3"/>
                <w:sz w:val="20"/>
                <w:szCs w:val="20"/>
                <w:lang w:val="fr-FR"/>
              </w:rPr>
              <w:t>29</w:t>
            </w:r>
            <w:r w:rsidRPr="00A55434">
              <w:rPr>
                <w:spacing w:val="-3"/>
                <w:sz w:val="20"/>
                <w:szCs w:val="20"/>
                <w:lang w:val="fr-FR"/>
              </w:rPr>
              <w:t xml:space="preserve"> km</w:t>
            </w:r>
            <w:proofErr w:type="gramStart"/>
            <w:r w:rsidR="006F2C8C" w:rsidRPr="00A55434">
              <w:rPr>
                <w:spacing w:val="-3"/>
                <w:sz w:val="20"/>
                <w:szCs w:val="20"/>
                <w:lang w:val="fr-FR"/>
              </w:rPr>
              <w:t>);</w:t>
            </w:r>
            <w:proofErr w:type="gramEnd"/>
          </w:p>
          <w:p w14:paraId="36065DD5" w14:textId="4515A96C" w:rsidR="009E4EA7" w:rsidRPr="007F0F51" w:rsidRDefault="00363FE9" w:rsidP="007C03C1">
            <w:pPr>
              <w:pStyle w:val="Paragraphedeliste"/>
              <w:widowControl w:val="0"/>
              <w:numPr>
                <w:ilvl w:val="0"/>
                <w:numId w:val="2"/>
              </w:numPr>
              <w:tabs>
                <w:tab w:val="left" w:pos="388"/>
              </w:tabs>
              <w:autoSpaceDE w:val="0"/>
              <w:autoSpaceDN w:val="0"/>
              <w:ind w:left="328" w:right="638" w:hanging="142"/>
              <w:jc w:val="both"/>
              <w:rPr>
                <w:spacing w:val="-3"/>
                <w:sz w:val="20"/>
                <w:szCs w:val="20"/>
                <w:lang w:val="fr-FR"/>
              </w:rPr>
            </w:pPr>
            <w:r w:rsidRPr="007F0F51">
              <w:rPr>
                <w:spacing w:val="-3"/>
                <w:sz w:val="20"/>
                <w:szCs w:val="20"/>
                <w:lang w:val="fr-FR"/>
              </w:rPr>
              <w:t xml:space="preserve">Lot </w:t>
            </w:r>
            <w:r w:rsidR="006247CE" w:rsidRPr="007F0F51">
              <w:rPr>
                <w:spacing w:val="-3"/>
                <w:sz w:val="20"/>
                <w:szCs w:val="20"/>
                <w:lang w:val="fr-FR"/>
              </w:rPr>
              <w:t>2 :</w:t>
            </w:r>
            <w:r w:rsidRPr="007F0F51">
              <w:rPr>
                <w:spacing w:val="-3"/>
                <w:sz w:val="20"/>
                <w:szCs w:val="20"/>
                <w:lang w:val="fr-FR"/>
              </w:rPr>
              <w:t xml:space="preserve"> </w:t>
            </w:r>
            <w:r w:rsidR="007F0F51" w:rsidRPr="007F0F51">
              <w:rPr>
                <w:spacing w:val="-3"/>
                <w:sz w:val="20"/>
                <w:szCs w:val="20"/>
                <w:lang w:val="fr-FR"/>
              </w:rPr>
              <w:t>Kouroukouna-Ferkessédougou</w:t>
            </w:r>
            <w:r w:rsidRPr="007F0F51">
              <w:rPr>
                <w:spacing w:val="-3"/>
                <w:sz w:val="20"/>
                <w:szCs w:val="20"/>
                <w:lang w:val="fr-FR"/>
              </w:rPr>
              <w:t xml:space="preserve"> (</w:t>
            </w:r>
            <w:r w:rsidR="007F0F51" w:rsidRPr="007F0F51">
              <w:rPr>
                <w:spacing w:val="-3"/>
                <w:sz w:val="20"/>
                <w:szCs w:val="20"/>
                <w:lang w:val="fr-FR"/>
              </w:rPr>
              <w:t>29</w:t>
            </w:r>
            <w:r w:rsidRPr="007F0F51">
              <w:rPr>
                <w:spacing w:val="-3"/>
                <w:sz w:val="20"/>
                <w:szCs w:val="20"/>
                <w:lang w:val="fr-FR"/>
              </w:rPr>
              <w:t xml:space="preserve"> km</w:t>
            </w:r>
            <w:r w:rsidR="006F2C8C" w:rsidRPr="007F0F51">
              <w:rPr>
                <w:spacing w:val="-3"/>
                <w:sz w:val="20"/>
                <w:szCs w:val="20"/>
                <w:lang w:val="fr-FR"/>
              </w:rPr>
              <w:t>)</w:t>
            </w:r>
            <w:r w:rsidRPr="007F0F51">
              <w:rPr>
                <w:spacing w:val="-3"/>
                <w:sz w:val="20"/>
                <w:szCs w:val="20"/>
                <w:lang w:val="fr-FR"/>
              </w:rPr>
              <w:t>.</w:t>
            </w:r>
          </w:p>
          <w:p w14:paraId="2D4A8501" w14:textId="7AD386EB" w:rsidR="009E4EA7" w:rsidRDefault="00992F98" w:rsidP="00F10BC4">
            <w:pPr>
              <w:jc w:val="both"/>
              <w:rPr>
                <w:sz w:val="20"/>
                <w:szCs w:val="20"/>
                <w:lang w:val="fr-FR"/>
              </w:rPr>
            </w:pPr>
            <w:r w:rsidRPr="00A55434">
              <w:rPr>
                <w:sz w:val="20"/>
                <w:szCs w:val="20"/>
                <w:lang w:val="fr-FR"/>
              </w:rPr>
              <w:t>Le</w:t>
            </w:r>
            <w:r w:rsidR="007F0F51">
              <w:rPr>
                <w:sz w:val="20"/>
                <w:szCs w:val="20"/>
                <w:lang w:val="fr-FR"/>
              </w:rPr>
              <w:t xml:space="preserve"> marché de</w:t>
            </w:r>
            <w:r w:rsidRPr="00A55434">
              <w:rPr>
                <w:sz w:val="20"/>
                <w:szCs w:val="20"/>
                <w:lang w:val="fr-FR"/>
              </w:rPr>
              <w:t xml:space="preserve">s travaux </w:t>
            </w:r>
            <w:r w:rsidR="007F0F51">
              <w:rPr>
                <w:sz w:val="20"/>
                <w:szCs w:val="20"/>
                <w:lang w:val="fr-FR"/>
              </w:rPr>
              <w:t xml:space="preserve">de chaque lot </w:t>
            </w:r>
            <w:r w:rsidRPr="00A55434">
              <w:rPr>
                <w:sz w:val="20"/>
                <w:szCs w:val="20"/>
                <w:lang w:val="fr-FR"/>
              </w:rPr>
              <w:t>ser</w:t>
            </w:r>
            <w:r w:rsidR="007F0F51">
              <w:rPr>
                <w:sz w:val="20"/>
                <w:szCs w:val="20"/>
                <w:lang w:val="fr-FR"/>
              </w:rPr>
              <w:t>a</w:t>
            </w:r>
            <w:r w:rsidRPr="00A55434">
              <w:rPr>
                <w:sz w:val="20"/>
                <w:szCs w:val="20"/>
                <w:lang w:val="fr-FR"/>
              </w:rPr>
              <w:t xml:space="preserve"> </w:t>
            </w:r>
            <w:r w:rsidR="00CE7399">
              <w:rPr>
                <w:sz w:val="20"/>
                <w:szCs w:val="20"/>
                <w:lang w:val="fr-FR"/>
              </w:rPr>
              <w:t>passé</w:t>
            </w:r>
            <w:r w:rsidRPr="00A55434">
              <w:rPr>
                <w:sz w:val="20"/>
                <w:szCs w:val="20"/>
                <w:lang w:val="fr-FR"/>
              </w:rPr>
              <w:t xml:space="preserve"> par </w:t>
            </w:r>
            <w:r w:rsidRPr="00576CE3">
              <w:rPr>
                <w:b/>
                <w:bCs/>
                <w:i/>
                <w:iCs/>
                <w:sz w:val="20"/>
                <w:szCs w:val="20"/>
                <w:lang w:val="fr-FR"/>
              </w:rPr>
              <w:t>Appel d’Offres International (AOI</w:t>
            </w:r>
            <w:r w:rsidR="00576CE3" w:rsidRPr="00576CE3">
              <w:rPr>
                <w:b/>
                <w:bCs/>
                <w:i/>
                <w:iCs/>
                <w:sz w:val="20"/>
                <w:szCs w:val="20"/>
                <w:lang w:val="fr-FR"/>
              </w:rPr>
              <w:t>/PM</w:t>
            </w:r>
            <w:r w:rsidRPr="00576CE3">
              <w:rPr>
                <w:b/>
                <w:bCs/>
                <w:i/>
                <w:iCs/>
                <w:sz w:val="20"/>
                <w:szCs w:val="20"/>
                <w:lang w:val="fr-FR"/>
              </w:rPr>
              <w:t>)</w:t>
            </w:r>
            <w:r w:rsidR="00414187" w:rsidRPr="00576CE3">
              <w:rPr>
                <w:b/>
                <w:bCs/>
                <w:i/>
                <w:iCs/>
                <w:sz w:val="20"/>
                <w:szCs w:val="20"/>
                <w:lang w:val="fr-FR"/>
              </w:rPr>
              <w:t xml:space="preserve"> </w:t>
            </w:r>
            <w:r w:rsidRPr="00576CE3">
              <w:rPr>
                <w:b/>
                <w:bCs/>
                <w:i/>
                <w:iCs/>
                <w:sz w:val="20"/>
                <w:szCs w:val="20"/>
                <w:lang w:val="fr-FR"/>
              </w:rPr>
              <w:t>après préqualification réservé aux entreprises des Pays Membres</w:t>
            </w:r>
            <w:r w:rsidR="00414187">
              <w:rPr>
                <w:sz w:val="20"/>
                <w:szCs w:val="20"/>
                <w:lang w:val="fr-FR"/>
              </w:rPr>
              <w:t xml:space="preserve"> </w:t>
            </w:r>
            <w:r w:rsidR="00576CE3">
              <w:rPr>
                <w:sz w:val="20"/>
                <w:szCs w:val="20"/>
                <w:lang w:val="fr-FR"/>
              </w:rPr>
              <w:t>de la BID</w:t>
            </w:r>
            <w:r w:rsidR="007F0F51">
              <w:rPr>
                <w:sz w:val="20"/>
                <w:szCs w:val="20"/>
                <w:lang w:val="fr-FR"/>
              </w:rPr>
              <w:t>.</w:t>
            </w:r>
          </w:p>
          <w:p w14:paraId="5A13FA56" w14:textId="77777777" w:rsidR="00E26F72" w:rsidRPr="00A55434" w:rsidRDefault="00E26F72" w:rsidP="00F10BC4">
            <w:pPr>
              <w:jc w:val="both"/>
              <w:rPr>
                <w:sz w:val="20"/>
                <w:szCs w:val="20"/>
                <w:lang w:val="fr-FR"/>
              </w:rPr>
            </w:pPr>
          </w:p>
          <w:p w14:paraId="2497F23D" w14:textId="4CC01157" w:rsidR="00FF654C" w:rsidRPr="00A55434" w:rsidRDefault="009E4EA7" w:rsidP="00E26F72">
            <w:pPr>
              <w:pStyle w:val="Paragraphedeliste"/>
              <w:numPr>
                <w:ilvl w:val="0"/>
                <w:numId w:val="11"/>
              </w:numPr>
              <w:spacing w:before="60" w:after="120"/>
              <w:contextualSpacing w:val="0"/>
              <w:jc w:val="both"/>
              <w:rPr>
                <w:b/>
                <w:bCs/>
                <w:sz w:val="20"/>
                <w:szCs w:val="20"/>
                <w:lang w:val="fr-FR"/>
              </w:rPr>
            </w:pPr>
            <w:r w:rsidRPr="00A55434">
              <w:rPr>
                <w:b/>
                <w:bCs/>
                <w:sz w:val="20"/>
                <w:szCs w:val="20"/>
                <w:lang w:val="fr-FR"/>
              </w:rPr>
              <w:t xml:space="preserve">Composante </w:t>
            </w:r>
            <w:r w:rsidR="007F0F51">
              <w:rPr>
                <w:b/>
                <w:bCs/>
                <w:sz w:val="20"/>
                <w:szCs w:val="20"/>
                <w:lang w:val="fr-FR"/>
              </w:rPr>
              <w:t>2</w:t>
            </w:r>
            <w:r w:rsidR="00CD6B67" w:rsidRPr="00A55434">
              <w:rPr>
                <w:b/>
                <w:bCs/>
                <w:sz w:val="20"/>
                <w:szCs w:val="20"/>
                <w:lang w:val="fr-FR"/>
              </w:rPr>
              <w:t> :</w:t>
            </w:r>
            <w:r w:rsidRPr="00A55434">
              <w:rPr>
                <w:b/>
                <w:bCs/>
                <w:sz w:val="20"/>
                <w:szCs w:val="20"/>
                <w:lang w:val="fr-FR"/>
              </w:rPr>
              <w:t xml:space="preserve"> </w:t>
            </w:r>
            <w:r w:rsidR="006247CE">
              <w:rPr>
                <w:b/>
                <w:bCs/>
                <w:sz w:val="20"/>
                <w:szCs w:val="20"/>
                <w:lang w:val="fr-FR"/>
              </w:rPr>
              <w:t xml:space="preserve">Travaux </w:t>
            </w:r>
            <w:r w:rsidRPr="00A55434">
              <w:rPr>
                <w:b/>
                <w:bCs/>
                <w:sz w:val="20"/>
                <w:szCs w:val="20"/>
                <w:lang w:val="fr-FR"/>
              </w:rPr>
              <w:t>connexes</w:t>
            </w:r>
          </w:p>
          <w:p w14:paraId="1EDD3BED" w14:textId="4A4073D7" w:rsidR="009E4EA7" w:rsidRPr="00A55434" w:rsidRDefault="00FF654C" w:rsidP="00F10BC4">
            <w:pPr>
              <w:pStyle w:val="Paragraphedeliste"/>
              <w:spacing w:before="60" w:after="120"/>
              <w:ind w:left="0"/>
              <w:contextualSpacing w:val="0"/>
              <w:jc w:val="both"/>
              <w:rPr>
                <w:spacing w:val="-3"/>
                <w:sz w:val="20"/>
                <w:szCs w:val="20"/>
                <w:lang w:val="fr-FR"/>
              </w:rPr>
            </w:pPr>
            <w:r w:rsidRPr="00A55434">
              <w:rPr>
                <w:spacing w:val="-3"/>
                <w:sz w:val="20"/>
                <w:szCs w:val="20"/>
                <w:lang w:val="fr-FR"/>
              </w:rPr>
              <w:t>L</w:t>
            </w:r>
            <w:r w:rsidR="009E4EA7" w:rsidRPr="00A55434">
              <w:rPr>
                <w:spacing w:val="-3"/>
                <w:sz w:val="20"/>
                <w:szCs w:val="20"/>
                <w:lang w:val="fr-FR"/>
              </w:rPr>
              <w:t>a réalisation des activités connexes aura un effet multiplicateur de l’impact du projet. Leur identification s’appuie d’une part sur les études environnementales du projet et d’autre part sur les doléances et attentes des populations. Ces activités concernent entre autres :</w:t>
            </w:r>
          </w:p>
          <w:p w14:paraId="2850AE4B" w14:textId="12C1DB48" w:rsidR="009E4EA7" w:rsidRPr="00A55434" w:rsidRDefault="009E4EA7" w:rsidP="00F10BC4">
            <w:pPr>
              <w:jc w:val="both"/>
              <w:rPr>
                <w:sz w:val="20"/>
                <w:szCs w:val="20"/>
                <w:u w:val="single"/>
                <w:lang w:val="fr-FR"/>
              </w:rPr>
            </w:pPr>
            <w:r w:rsidRPr="00A55434">
              <w:rPr>
                <w:sz w:val="20"/>
                <w:szCs w:val="20"/>
                <w:u w:val="single"/>
                <w:lang w:val="fr-FR"/>
              </w:rPr>
              <w:t xml:space="preserve">Lot 1 : </w:t>
            </w:r>
            <w:r w:rsidR="00363FE9" w:rsidRPr="00A55434">
              <w:rPr>
                <w:sz w:val="20"/>
                <w:szCs w:val="20"/>
                <w:u w:val="single"/>
                <w:lang w:val="fr-FR"/>
              </w:rPr>
              <w:t>Construction de bâtiments</w:t>
            </w:r>
          </w:p>
          <w:p w14:paraId="4FDFBA60" w14:textId="644F4881" w:rsidR="00363FE9" w:rsidRPr="00A55434" w:rsidRDefault="00363FE9" w:rsidP="00363FE9">
            <w:pPr>
              <w:pStyle w:val="Paragraphedeliste"/>
              <w:numPr>
                <w:ilvl w:val="0"/>
                <w:numId w:val="2"/>
              </w:numPr>
              <w:jc w:val="both"/>
              <w:rPr>
                <w:sz w:val="20"/>
                <w:szCs w:val="20"/>
                <w:lang w:val="fr-FR"/>
              </w:rPr>
            </w:pPr>
            <w:r w:rsidRPr="00A55434">
              <w:rPr>
                <w:sz w:val="20"/>
                <w:szCs w:val="20"/>
                <w:lang w:val="fr-FR"/>
              </w:rPr>
              <w:t>Salles de classe ;</w:t>
            </w:r>
          </w:p>
          <w:p w14:paraId="509D6264" w14:textId="55C5C53B" w:rsidR="00363FE9" w:rsidRPr="00A55434" w:rsidRDefault="00363FE9" w:rsidP="00363FE9">
            <w:pPr>
              <w:pStyle w:val="Paragraphedeliste"/>
              <w:numPr>
                <w:ilvl w:val="0"/>
                <w:numId w:val="2"/>
              </w:numPr>
              <w:jc w:val="both"/>
              <w:rPr>
                <w:sz w:val="20"/>
                <w:szCs w:val="20"/>
                <w:lang w:val="fr-FR"/>
              </w:rPr>
            </w:pPr>
            <w:r w:rsidRPr="00A55434">
              <w:rPr>
                <w:sz w:val="20"/>
                <w:szCs w:val="20"/>
                <w:lang w:val="fr-FR"/>
              </w:rPr>
              <w:t>Centre de santé ;</w:t>
            </w:r>
          </w:p>
          <w:p w14:paraId="3F9C59A4" w14:textId="7A291A5A" w:rsidR="00363FE9" w:rsidRPr="00A55434" w:rsidRDefault="00363FE9" w:rsidP="00363FE9">
            <w:pPr>
              <w:pStyle w:val="Paragraphedeliste"/>
              <w:numPr>
                <w:ilvl w:val="0"/>
                <w:numId w:val="2"/>
              </w:numPr>
              <w:jc w:val="both"/>
              <w:rPr>
                <w:sz w:val="20"/>
                <w:szCs w:val="20"/>
                <w:lang w:val="fr-FR"/>
              </w:rPr>
            </w:pPr>
            <w:r w:rsidRPr="00A55434">
              <w:rPr>
                <w:sz w:val="20"/>
                <w:szCs w:val="20"/>
                <w:lang w:val="fr-FR"/>
              </w:rPr>
              <w:t>Marchés</w:t>
            </w:r>
            <w:r w:rsidR="00EF19E2" w:rsidRPr="00A55434">
              <w:rPr>
                <w:sz w:val="20"/>
                <w:szCs w:val="20"/>
                <w:lang w:val="fr-FR"/>
              </w:rPr>
              <w:t> ;</w:t>
            </w:r>
          </w:p>
          <w:p w14:paraId="05D81ED8" w14:textId="34E7FE90" w:rsidR="002506D5" w:rsidRDefault="00EF19E2" w:rsidP="00F32D70">
            <w:pPr>
              <w:pStyle w:val="Paragraphedeliste"/>
              <w:numPr>
                <w:ilvl w:val="0"/>
                <w:numId w:val="2"/>
              </w:numPr>
              <w:jc w:val="both"/>
              <w:rPr>
                <w:sz w:val="20"/>
                <w:szCs w:val="20"/>
                <w:lang w:val="fr-FR"/>
              </w:rPr>
            </w:pPr>
            <w:r w:rsidRPr="00A55434">
              <w:rPr>
                <w:sz w:val="20"/>
                <w:szCs w:val="20"/>
                <w:lang w:val="fr-FR"/>
              </w:rPr>
              <w:t>Centres multifonctionnels ;</w:t>
            </w:r>
          </w:p>
          <w:p w14:paraId="78CDC050" w14:textId="112B4FFC" w:rsidR="00B114E9" w:rsidRPr="00F32D70" w:rsidRDefault="00B114E9" w:rsidP="00F32D70">
            <w:pPr>
              <w:pStyle w:val="Paragraphedeliste"/>
              <w:numPr>
                <w:ilvl w:val="0"/>
                <w:numId w:val="2"/>
              </w:numPr>
              <w:jc w:val="both"/>
              <w:rPr>
                <w:sz w:val="20"/>
                <w:szCs w:val="20"/>
                <w:lang w:val="fr-FR"/>
              </w:rPr>
            </w:pPr>
            <w:r>
              <w:rPr>
                <w:sz w:val="20"/>
                <w:szCs w:val="20"/>
                <w:lang w:val="fr-FR"/>
              </w:rPr>
              <w:t>Clôture d’école.</w:t>
            </w:r>
          </w:p>
          <w:p w14:paraId="7E530CFD" w14:textId="77777777" w:rsidR="00576CE3" w:rsidRPr="00A55434" w:rsidRDefault="00576CE3" w:rsidP="00F10BC4">
            <w:pPr>
              <w:jc w:val="both"/>
              <w:rPr>
                <w:sz w:val="20"/>
                <w:szCs w:val="20"/>
                <w:lang w:val="fr-FR"/>
              </w:rPr>
            </w:pPr>
          </w:p>
          <w:p w14:paraId="24C0995C" w14:textId="455FC508" w:rsidR="009E4EA7" w:rsidRPr="00A55434" w:rsidRDefault="009E4EA7" w:rsidP="00F10BC4">
            <w:pPr>
              <w:jc w:val="both"/>
              <w:rPr>
                <w:sz w:val="20"/>
                <w:szCs w:val="20"/>
                <w:u w:val="single"/>
                <w:lang w:val="fr-FR"/>
              </w:rPr>
            </w:pPr>
            <w:r w:rsidRPr="00A55434">
              <w:rPr>
                <w:sz w:val="20"/>
                <w:szCs w:val="20"/>
                <w:u w:val="single"/>
                <w:lang w:val="fr-FR"/>
              </w:rPr>
              <w:t xml:space="preserve">Lot 2 : </w:t>
            </w:r>
            <w:r w:rsidR="00BF42B5" w:rsidRPr="00A55434">
              <w:rPr>
                <w:sz w:val="20"/>
                <w:szCs w:val="20"/>
                <w:u w:val="single"/>
                <w:lang w:val="fr-FR"/>
              </w:rPr>
              <w:t>Routes et plateforme</w:t>
            </w:r>
          </w:p>
          <w:p w14:paraId="1278F756" w14:textId="6DF4ED53" w:rsidR="00363FE9" w:rsidRPr="00A55434" w:rsidRDefault="00476C18" w:rsidP="00C96B15">
            <w:pPr>
              <w:pStyle w:val="Paragraphedeliste"/>
              <w:numPr>
                <w:ilvl w:val="0"/>
                <w:numId w:val="2"/>
              </w:numPr>
              <w:jc w:val="both"/>
              <w:rPr>
                <w:sz w:val="20"/>
                <w:szCs w:val="20"/>
                <w:lang w:val="fr-FR"/>
              </w:rPr>
            </w:pPr>
            <w:r w:rsidRPr="00A55434">
              <w:rPr>
                <w:sz w:val="20"/>
                <w:szCs w:val="20"/>
                <w:lang w:val="fr-FR"/>
              </w:rPr>
              <w:t>Routes en terre (P</w:t>
            </w:r>
            <w:r w:rsidR="0079036B" w:rsidRPr="00A55434">
              <w:rPr>
                <w:sz w:val="20"/>
                <w:szCs w:val="20"/>
                <w:lang w:val="fr-FR"/>
              </w:rPr>
              <w:t>rogramme d’</w:t>
            </w:r>
            <w:r w:rsidRPr="00A55434">
              <w:rPr>
                <w:sz w:val="20"/>
                <w:szCs w:val="20"/>
                <w:lang w:val="fr-FR"/>
              </w:rPr>
              <w:t>E</w:t>
            </w:r>
            <w:r w:rsidR="0079036B" w:rsidRPr="00A55434">
              <w:rPr>
                <w:sz w:val="20"/>
                <w:szCs w:val="20"/>
                <w:lang w:val="fr-FR"/>
              </w:rPr>
              <w:t xml:space="preserve">ntretien </w:t>
            </w:r>
            <w:r w:rsidRPr="00A55434">
              <w:rPr>
                <w:sz w:val="20"/>
                <w:szCs w:val="20"/>
                <w:lang w:val="fr-FR"/>
              </w:rPr>
              <w:t>R</w:t>
            </w:r>
            <w:r w:rsidR="0079036B" w:rsidRPr="00A55434">
              <w:rPr>
                <w:sz w:val="20"/>
                <w:szCs w:val="20"/>
                <w:lang w:val="fr-FR"/>
              </w:rPr>
              <w:t>outier PER 2023-2025) dans les régions</w:t>
            </w:r>
            <w:r w:rsidR="00BF42B5" w:rsidRPr="00A55434">
              <w:rPr>
                <w:sz w:val="20"/>
                <w:szCs w:val="20"/>
                <w:lang w:val="fr-FR"/>
              </w:rPr>
              <w:t xml:space="preserve"> du</w:t>
            </w:r>
            <w:r w:rsidR="0079036B" w:rsidRPr="00A55434">
              <w:rPr>
                <w:sz w:val="20"/>
                <w:szCs w:val="20"/>
                <w:lang w:val="fr-FR"/>
              </w:rPr>
              <w:t xml:space="preserve"> </w:t>
            </w:r>
            <w:r w:rsidR="00F32D70">
              <w:rPr>
                <w:sz w:val="20"/>
                <w:szCs w:val="20"/>
                <w:lang w:val="fr-FR"/>
              </w:rPr>
              <w:t xml:space="preserve">Hambol et du </w:t>
            </w:r>
            <w:proofErr w:type="spellStart"/>
            <w:r w:rsidR="00F32D70">
              <w:rPr>
                <w:sz w:val="20"/>
                <w:szCs w:val="20"/>
                <w:lang w:val="fr-FR"/>
              </w:rPr>
              <w:t>Tchologo</w:t>
            </w:r>
            <w:proofErr w:type="spellEnd"/>
            <w:r w:rsidR="0079036B" w:rsidRPr="00A55434">
              <w:rPr>
                <w:sz w:val="20"/>
                <w:szCs w:val="20"/>
                <w:lang w:val="fr-FR"/>
              </w:rPr>
              <w:t>.</w:t>
            </w:r>
          </w:p>
          <w:p w14:paraId="4C55B4B2" w14:textId="77777777" w:rsidR="00A55434" w:rsidRPr="00A55434" w:rsidRDefault="00A55434" w:rsidP="00F10BC4">
            <w:pPr>
              <w:jc w:val="both"/>
              <w:rPr>
                <w:sz w:val="20"/>
                <w:szCs w:val="20"/>
                <w:lang w:val="fr-FR"/>
              </w:rPr>
            </w:pPr>
          </w:p>
          <w:p w14:paraId="56C30C82" w14:textId="731BD58F" w:rsidR="009E4EA7" w:rsidRPr="00A55434" w:rsidRDefault="009E4EA7" w:rsidP="00F10BC4">
            <w:pPr>
              <w:jc w:val="both"/>
              <w:rPr>
                <w:sz w:val="20"/>
                <w:szCs w:val="20"/>
                <w:u w:val="single"/>
                <w:lang w:val="fr-FR"/>
              </w:rPr>
            </w:pPr>
            <w:r w:rsidRPr="00A55434">
              <w:rPr>
                <w:sz w:val="20"/>
                <w:szCs w:val="20"/>
                <w:u w:val="single"/>
                <w:lang w:val="fr-FR"/>
              </w:rPr>
              <w:t>Lot 3 : Forages</w:t>
            </w:r>
          </w:p>
          <w:p w14:paraId="00AD1DFD" w14:textId="164FA8FB" w:rsidR="00363FE9" w:rsidRPr="00A55434" w:rsidRDefault="00C44BC2" w:rsidP="00F10BC4">
            <w:pPr>
              <w:pStyle w:val="Paragraphedeliste"/>
              <w:numPr>
                <w:ilvl w:val="0"/>
                <w:numId w:val="2"/>
              </w:numPr>
              <w:jc w:val="both"/>
              <w:rPr>
                <w:sz w:val="20"/>
                <w:szCs w:val="20"/>
                <w:lang w:val="fr-FR"/>
              </w:rPr>
            </w:pPr>
            <w:r w:rsidRPr="00A55434">
              <w:rPr>
                <w:sz w:val="20"/>
                <w:szCs w:val="20"/>
                <w:lang w:val="fr-FR"/>
              </w:rPr>
              <w:t>Réalisation de forages</w:t>
            </w:r>
            <w:r w:rsidR="0079036B" w:rsidRPr="00A55434">
              <w:rPr>
                <w:sz w:val="20"/>
                <w:szCs w:val="20"/>
                <w:lang w:val="fr-FR"/>
              </w:rPr>
              <w:t xml:space="preserve"> dans les régions du Hambol</w:t>
            </w:r>
            <w:r w:rsidR="00B114E9">
              <w:rPr>
                <w:sz w:val="20"/>
                <w:szCs w:val="20"/>
                <w:lang w:val="fr-FR"/>
              </w:rPr>
              <w:t xml:space="preserve"> et du </w:t>
            </w:r>
            <w:proofErr w:type="spellStart"/>
            <w:r w:rsidR="00B114E9">
              <w:rPr>
                <w:sz w:val="20"/>
                <w:szCs w:val="20"/>
                <w:lang w:val="fr-FR"/>
              </w:rPr>
              <w:t>Tchologo</w:t>
            </w:r>
            <w:proofErr w:type="spellEnd"/>
            <w:r w:rsidR="0079036B" w:rsidRPr="00A55434">
              <w:rPr>
                <w:sz w:val="20"/>
                <w:szCs w:val="20"/>
                <w:lang w:val="fr-FR"/>
              </w:rPr>
              <w:t>.</w:t>
            </w:r>
          </w:p>
          <w:p w14:paraId="31EC492B" w14:textId="77777777" w:rsidR="00DD3542" w:rsidRDefault="00DD3542" w:rsidP="00F10BC4">
            <w:pPr>
              <w:jc w:val="both"/>
              <w:rPr>
                <w:sz w:val="20"/>
                <w:szCs w:val="20"/>
                <w:lang w:val="fr-FR"/>
              </w:rPr>
            </w:pPr>
          </w:p>
          <w:p w14:paraId="56266D22" w14:textId="4E55F58E" w:rsidR="00B114E9" w:rsidRPr="00A55434" w:rsidRDefault="00B114E9" w:rsidP="00B114E9">
            <w:pPr>
              <w:jc w:val="both"/>
              <w:rPr>
                <w:sz w:val="20"/>
                <w:szCs w:val="20"/>
                <w:u w:val="single"/>
                <w:lang w:val="fr-FR"/>
              </w:rPr>
            </w:pPr>
            <w:r w:rsidRPr="00A55434">
              <w:rPr>
                <w:sz w:val="20"/>
                <w:szCs w:val="20"/>
                <w:u w:val="single"/>
                <w:lang w:val="fr-FR"/>
              </w:rPr>
              <w:t xml:space="preserve">Lot </w:t>
            </w:r>
            <w:r>
              <w:rPr>
                <w:sz w:val="20"/>
                <w:szCs w:val="20"/>
                <w:u w:val="single"/>
                <w:lang w:val="fr-FR"/>
              </w:rPr>
              <w:t>4</w:t>
            </w:r>
            <w:r w:rsidRPr="00A55434">
              <w:rPr>
                <w:sz w:val="20"/>
                <w:szCs w:val="20"/>
                <w:u w:val="single"/>
                <w:lang w:val="fr-FR"/>
              </w:rPr>
              <w:t xml:space="preserve"> : </w:t>
            </w:r>
            <w:r w:rsidR="00273860">
              <w:rPr>
                <w:sz w:val="20"/>
                <w:szCs w:val="20"/>
                <w:u w:val="single"/>
                <w:lang w:val="fr-FR"/>
              </w:rPr>
              <w:t>Acquisition de biens pour la s</w:t>
            </w:r>
            <w:r>
              <w:rPr>
                <w:sz w:val="20"/>
                <w:szCs w:val="20"/>
                <w:u w:val="single"/>
                <w:lang w:val="fr-FR"/>
              </w:rPr>
              <w:t>écurité routière</w:t>
            </w:r>
          </w:p>
          <w:p w14:paraId="75089C52" w14:textId="1BE5C5D3" w:rsidR="00B114E9" w:rsidRDefault="00B114E9" w:rsidP="00B114E9">
            <w:pPr>
              <w:pStyle w:val="Paragraphedeliste"/>
              <w:numPr>
                <w:ilvl w:val="0"/>
                <w:numId w:val="2"/>
              </w:numPr>
              <w:jc w:val="both"/>
              <w:rPr>
                <w:sz w:val="20"/>
                <w:szCs w:val="20"/>
                <w:lang w:val="fr-FR"/>
              </w:rPr>
            </w:pPr>
            <w:r>
              <w:rPr>
                <w:sz w:val="20"/>
                <w:szCs w:val="20"/>
                <w:lang w:val="fr-FR"/>
              </w:rPr>
              <w:t>Acquisition de deux ambulances ;</w:t>
            </w:r>
          </w:p>
          <w:p w14:paraId="1B358BCB" w14:textId="16C53168" w:rsidR="00B114E9" w:rsidRDefault="00B114E9" w:rsidP="00B114E9">
            <w:pPr>
              <w:pStyle w:val="Paragraphedeliste"/>
              <w:numPr>
                <w:ilvl w:val="0"/>
                <w:numId w:val="2"/>
              </w:numPr>
              <w:jc w:val="both"/>
              <w:rPr>
                <w:sz w:val="20"/>
                <w:szCs w:val="20"/>
                <w:lang w:val="fr-FR"/>
              </w:rPr>
            </w:pPr>
            <w:r>
              <w:rPr>
                <w:sz w:val="20"/>
                <w:szCs w:val="20"/>
                <w:lang w:val="fr-FR"/>
              </w:rPr>
              <w:t>Acquisition de pèse-essieux mobiles ;</w:t>
            </w:r>
          </w:p>
          <w:p w14:paraId="1A6F06D5" w14:textId="305863EE" w:rsidR="00B114E9" w:rsidRPr="00A55434" w:rsidRDefault="00B114E9" w:rsidP="00B114E9">
            <w:pPr>
              <w:pStyle w:val="Paragraphedeliste"/>
              <w:numPr>
                <w:ilvl w:val="0"/>
                <w:numId w:val="2"/>
              </w:numPr>
              <w:jc w:val="both"/>
              <w:rPr>
                <w:sz w:val="20"/>
                <w:szCs w:val="20"/>
                <w:lang w:val="fr-FR"/>
              </w:rPr>
            </w:pPr>
            <w:r>
              <w:rPr>
                <w:sz w:val="20"/>
                <w:szCs w:val="20"/>
                <w:lang w:val="fr-FR"/>
              </w:rPr>
              <w:t>Acquisition de radars mobiles.</w:t>
            </w:r>
          </w:p>
          <w:p w14:paraId="7BB7D2FF" w14:textId="36F3A6D9" w:rsidR="00B114E9" w:rsidRPr="00A55434" w:rsidRDefault="00B114E9" w:rsidP="00F10BC4">
            <w:pPr>
              <w:jc w:val="both"/>
              <w:rPr>
                <w:sz w:val="20"/>
                <w:szCs w:val="20"/>
                <w:lang w:val="fr-FR"/>
              </w:rPr>
            </w:pPr>
          </w:p>
          <w:p w14:paraId="06721747" w14:textId="438768DE" w:rsidR="009E4EA7" w:rsidRPr="00A55434" w:rsidRDefault="00884319" w:rsidP="00F10BC4">
            <w:pPr>
              <w:jc w:val="both"/>
              <w:rPr>
                <w:sz w:val="20"/>
                <w:szCs w:val="20"/>
                <w:lang w:val="fr-FR"/>
              </w:rPr>
            </w:pPr>
            <w:r w:rsidRPr="00884319">
              <w:rPr>
                <w:sz w:val="20"/>
                <w:szCs w:val="20"/>
                <w:lang w:val="fr-FR"/>
              </w:rPr>
              <w:t xml:space="preserve">Les travaux seront passés </w:t>
            </w:r>
            <w:r w:rsidR="00DD3542" w:rsidRPr="00A55434">
              <w:rPr>
                <w:sz w:val="20"/>
                <w:szCs w:val="20"/>
                <w:lang w:val="fr-FR"/>
              </w:rPr>
              <w:t xml:space="preserve">par </w:t>
            </w:r>
            <w:r w:rsidR="00DD3542" w:rsidRPr="00576CE3">
              <w:rPr>
                <w:b/>
                <w:bCs/>
                <w:i/>
                <w:iCs/>
                <w:sz w:val="20"/>
                <w:szCs w:val="20"/>
                <w:lang w:val="fr-FR"/>
              </w:rPr>
              <w:t>Appel d’Offres National (AON)</w:t>
            </w:r>
            <w:r w:rsidR="00DD3542" w:rsidRPr="00A55434">
              <w:rPr>
                <w:sz w:val="20"/>
                <w:szCs w:val="20"/>
                <w:lang w:val="fr-FR"/>
              </w:rPr>
              <w:t xml:space="preserve"> conformément à la législation nationale sur les marchés publics, en utilisant les Dossiers Types d’Appel d’Offres de la BID.</w:t>
            </w:r>
          </w:p>
          <w:p w14:paraId="78A425BE" w14:textId="77777777" w:rsidR="00DD3542" w:rsidRPr="00A55434" w:rsidRDefault="00DD3542" w:rsidP="00F10BC4">
            <w:pPr>
              <w:jc w:val="both"/>
              <w:rPr>
                <w:sz w:val="20"/>
                <w:szCs w:val="20"/>
                <w:lang w:val="fr-FR"/>
              </w:rPr>
            </w:pPr>
          </w:p>
          <w:p w14:paraId="012C8EBF" w14:textId="77777777" w:rsidR="00B36A48" w:rsidRPr="00A55434" w:rsidRDefault="00B36A48" w:rsidP="00F10BC4">
            <w:pPr>
              <w:jc w:val="both"/>
              <w:rPr>
                <w:rFonts w:ascii="Segoe UI Symbol" w:hAnsi="Segoe UI Symbol" w:cs="Segoe UI Symbol"/>
                <w:sz w:val="20"/>
                <w:szCs w:val="20"/>
                <w:lang w:val="fr-FR"/>
              </w:rPr>
            </w:pPr>
          </w:p>
          <w:p w14:paraId="26C2F0D1" w14:textId="4BFBC71D" w:rsidR="002C4AA4" w:rsidRPr="002C4AA4" w:rsidRDefault="009E4EA7" w:rsidP="002C4AA4">
            <w:pPr>
              <w:pStyle w:val="Paragraphedeliste"/>
              <w:numPr>
                <w:ilvl w:val="0"/>
                <w:numId w:val="11"/>
              </w:numPr>
              <w:jc w:val="both"/>
              <w:rPr>
                <w:rFonts w:ascii="Segoe UI Symbol" w:hAnsi="Segoe UI Symbol" w:cs="Segoe UI Symbol"/>
                <w:sz w:val="20"/>
                <w:szCs w:val="20"/>
                <w:lang w:val="fr-FR"/>
              </w:rPr>
            </w:pPr>
            <w:r w:rsidRPr="00B65B75">
              <w:rPr>
                <w:b/>
                <w:bCs/>
                <w:sz w:val="20"/>
                <w:szCs w:val="20"/>
                <w:lang w:val="fr-FR"/>
              </w:rPr>
              <w:t xml:space="preserve">Composante </w:t>
            </w:r>
            <w:r w:rsidR="00273860">
              <w:rPr>
                <w:b/>
                <w:bCs/>
                <w:sz w:val="20"/>
                <w:szCs w:val="20"/>
                <w:lang w:val="fr-FR"/>
              </w:rPr>
              <w:t>3</w:t>
            </w:r>
            <w:r w:rsidR="00EB6A1B" w:rsidRPr="00B65B75">
              <w:rPr>
                <w:b/>
                <w:bCs/>
                <w:sz w:val="20"/>
                <w:szCs w:val="20"/>
                <w:lang w:val="fr-FR"/>
              </w:rPr>
              <w:t xml:space="preserve"> : </w:t>
            </w:r>
            <w:r w:rsidRPr="002C4AA4">
              <w:rPr>
                <w:b/>
                <w:bCs/>
                <w:sz w:val="20"/>
                <w:szCs w:val="20"/>
                <w:lang w:val="fr-FR"/>
              </w:rPr>
              <w:t>Contrôle et surveillance des travaux</w:t>
            </w:r>
          </w:p>
          <w:p w14:paraId="61F3C5AC" w14:textId="6D2F0A6A" w:rsidR="009E4EA7" w:rsidRPr="002C4AA4" w:rsidRDefault="009E4EA7" w:rsidP="002C4AA4">
            <w:pPr>
              <w:jc w:val="both"/>
              <w:rPr>
                <w:rFonts w:ascii="Segoe UI Symbol" w:hAnsi="Segoe UI Symbol" w:cs="Segoe UI Symbol"/>
                <w:sz w:val="20"/>
                <w:szCs w:val="20"/>
                <w:lang w:val="fr-FR"/>
              </w:rPr>
            </w:pPr>
            <w:proofErr w:type="gramStart"/>
            <w:r w:rsidRPr="002C4AA4">
              <w:rPr>
                <w:bCs/>
                <w:sz w:val="20"/>
                <w:szCs w:val="20"/>
                <w:lang w:val="fr-FR"/>
              </w:rPr>
              <w:t>les</w:t>
            </w:r>
            <w:proofErr w:type="gramEnd"/>
            <w:r w:rsidRPr="002C4AA4">
              <w:rPr>
                <w:bCs/>
                <w:sz w:val="20"/>
                <w:szCs w:val="20"/>
                <w:lang w:val="fr-FR"/>
              </w:rPr>
              <w:t xml:space="preserve"> prestations de contrôle et de surveillance des travaux comprendront</w:t>
            </w:r>
            <w:r w:rsidR="002C4AA4">
              <w:rPr>
                <w:bCs/>
                <w:sz w:val="20"/>
                <w:szCs w:val="20"/>
                <w:lang w:val="fr-FR"/>
              </w:rPr>
              <w:t> :</w:t>
            </w:r>
          </w:p>
          <w:p w14:paraId="5FF3513E" w14:textId="713104D8" w:rsidR="009E4EA7" w:rsidRPr="00A55434" w:rsidRDefault="009E4EA7" w:rsidP="008118C9">
            <w:pPr>
              <w:pStyle w:val="Paragraphedeliste"/>
              <w:numPr>
                <w:ilvl w:val="0"/>
                <w:numId w:val="9"/>
              </w:numPr>
              <w:jc w:val="both"/>
              <w:rPr>
                <w:bCs/>
                <w:sz w:val="20"/>
                <w:szCs w:val="20"/>
                <w:lang w:val="fr-FR"/>
              </w:rPr>
            </w:pPr>
            <w:proofErr w:type="gramStart"/>
            <w:r w:rsidRPr="00A55434">
              <w:rPr>
                <w:bCs/>
                <w:sz w:val="20"/>
                <w:szCs w:val="20"/>
                <w:lang w:val="fr-FR"/>
              </w:rPr>
              <w:t>le</w:t>
            </w:r>
            <w:proofErr w:type="gramEnd"/>
            <w:r w:rsidRPr="00A55434">
              <w:rPr>
                <w:bCs/>
                <w:sz w:val="20"/>
                <w:szCs w:val="20"/>
                <w:lang w:val="fr-FR"/>
              </w:rPr>
              <w:t xml:space="preserve"> suivi technique, administratif et financier de l’exécution des travaux ; </w:t>
            </w:r>
          </w:p>
          <w:p w14:paraId="2449C377" w14:textId="347DCB2D" w:rsidR="009E4EA7" w:rsidRPr="00A55434" w:rsidRDefault="009E4EA7" w:rsidP="008118C9">
            <w:pPr>
              <w:pStyle w:val="Paragraphedeliste"/>
              <w:numPr>
                <w:ilvl w:val="0"/>
                <w:numId w:val="9"/>
              </w:numPr>
              <w:jc w:val="both"/>
              <w:rPr>
                <w:bCs/>
                <w:sz w:val="20"/>
                <w:szCs w:val="20"/>
                <w:lang w:val="fr-FR"/>
              </w:rPr>
            </w:pPr>
            <w:proofErr w:type="gramStart"/>
            <w:r w:rsidRPr="00A55434">
              <w:rPr>
                <w:bCs/>
                <w:sz w:val="20"/>
                <w:szCs w:val="20"/>
                <w:lang w:val="fr-FR"/>
              </w:rPr>
              <w:t>la</w:t>
            </w:r>
            <w:proofErr w:type="gramEnd"/>
            <w:r w:rsidRPr="00A55434">
              <w:rPr>
                <w:bCs/>
                <w:sz w:val="20"/>
                <w:szCs w:val="20"/>
                <w:lang w:val="fr-FR"/>
              </w:rPr>
              <w:t xml:space="preserve"> vérification des notes de calcul détaillées et la validation des dossiers d’exécution des travaux ; </w:t>
            </w:r>
          </w:p>
          <w:p w14:paraId="3CDC809A" w14:textId="1904B2EC" w:rsidR="009E4EA7" w:rsidRPr="00A55434" w:rsidRDefault="009E4EA7" w:rsidP="008118C9">
            <w:pPr>
              <w:pStyle w:val="Paragraphedeliste"/>
              <w:numPr>
                <w:ilvl w:val="0"/>
                <w:numId w:val="9"/>
              </w:numPr>
              <w:jc w:val="both"/>
              <w:rPr>
                <w:bCs/>
                <w:sz w:val="20"/>
                <w:szCs w:val="20"/>
                <w:lang w:val="fr-FR"/>
              </w:rPr>
            </w:pPr>
            <w:proofErr w:type="gramStart"/>
            <w:r w:rsidRPr="00A55434">
              <w:rPr>
                <w:bCs/>
                <w:sz w:val="20"/>
                <w:szCs w:val="20"/>
                <w:lang w:val="fr-FR"/>
              </w:rPr>
              <w:t>le</w:t>
            </w:r>
            <w:proofErr w:type="gramEnd"/>
            <w:r w:rsidRPr="00A55434">
              <w:rPr>
                <w:bCs/>
                <w:sz w:val="20"/>
                <w:szCs w:val="20"/>
                <w:lang w:val="fr-FR"/>
              </w:rPr>
              <w:t xml:space="preserve"> contrôle de la qualité des travaux et des quantités mises en œuvre ; </w:t>
            </w:r>
          </w:p>
          <w:p w14:paraId="500D00FA" w14:textId="617416A5" w:rsidR="00E80A7A" w:rsidRPr="00A55434" w:rsidRDefault="009E4EA7" w:rsidP="008118C9">
            <w:pPr>
              <w:pStyle w:val="Paragraphedeliste"/>
              <w:numPr>
                <w:ilvl w:val="0"/>
                <w:numId w:val="9"/>
              </w:numPr>
              <w:jc w:val="both"/>
              <w:rPr>
                <w:bCs/>
                <w:sz w:val="20"/>
                <w:szCs w:val="20"/>
                <w:lang w:val="fr-FR"/>
              </w:rPr>
            </w:pPr>
            <w:proofErr w:type="gramStart"/>
            <w:r w:rsidRPr="00A55434">
              <w:rPr>
                <w:bCs/>
                <w:sz w:val="20"/>
                <w:szCs w:val="20"/>
                <w:lang w:val="fr-FR"/>
              </w:rPr>
              <w:t>le</w:t>
            </w:r>
            <w:proofErr w:type="gramEnd"/>
            <w:r w:rsidRPr="00A55434">
              <w:rPr>
                <w:bCs/>
                <w:sz w:val="20"/>
                <w:szCs w:val="20"/>
                <w:lang w:val="fr-FR"/>
              </w:rPr>
              <w:t xml:space="preserve"> contrôle et le suivi de la mise en œuvre des mesures environnementales et sociales du projet.</w:t>
            </w:r>
          </w:p>
          <w:p w14:paraId="6A21DC02" w14:textId="70C65D13" w:rsidR="0040356B" w:rsidRPr="00A55434" w:rsidRDefault="0040356B" w:rsidP="00F10BC4">
            <w:pPr>
              <w:jc w:val="both"/>
              <w:rPr>
                <w:spacing w:val="-3"/>
                <w:sz w:val="20"/>
                <w:szCs w:val="20"/>
                <w:lang w:val="fr-FR"/>
              </w:rPr>
            </w:pPr>
            <w:r w:rsidRPr="00A55434">
              <w:rPr>
                <w:spacing w:val="-3"/>
                <w:sz w:val="20"/>
                <w:szCs w:val="20"/>
                <w:lang w:val="fr-FR"/>
              </w:rPr>
              <w:t xml:space="preserve">L’acquisition des services s’effectuera à travers une liste restreinte de bureau d’études et la méthode d’évaluation sera la </w:t>
            </w:r>
            <w:r w:rsidRPr="00BC10CB">
              <w:rPr>
                <w:b/>
                <w:bCs/>
                <w:i/>
                <w:iCs/>
                <w:spacing w:val="-3"/>
                <w:sz w:val="20"/>
                <w:szCs w:val="20"/>
                <w:lang w:val="fr-FR"/>
              </w:rPr>
              <w:t>Sélection Basée sur la Qualité et le Coût (SBQC) Limité aux</w:t>
            </w:r>
            <w:r w:rsidR="00BC10CB" w:rsidRPr="00BC10CB">
              <w:rPr>
                <w:b/>
                <w:bCs/>
                <w:i/>
                <w:iCs/>
                <w:spacing w:val="-3"/>
                <w:sz w:val="20"/>
                <w:szCs w:val="20"/>
                <w:lang w:val="fr-FR"/>
              </w:rPr>
              <w:t xml:space="preserve"> </w:t>
            </w:r>
            <w:r w:rsidRPr="00BC10CB">
              <w:rPr>
                <w:b/>
                <w:bCs/>
                <w:i/>
                <w:iCs/>
                <w:spacing w:val="-3"/>
                <w:sz w:val="20"/>
                <w:szCs w:val="20"/>
                <w:lang w:val="fr-FR"/>
              </w:rPr>
              <w:t>Pays Membres</w:t>
            </w:r>
            <w:r w:rsidRPr="00A55434">
              <w:rPr>
                <w:spacing w:val="-3"/>
                <w:sz w:val="20"/>
                <w:szCs w:val="20"/>
                <w:lang w:val="fr-FR"/>
              </w:rPr>
              <w:t>.</w:t>
            </w:r>
          </w:p>
          <w:p w14:paraId="2D3791A6" w14:textId="77777777" w:rsidR="004D3276" w:rsidRDefault="004D3276" w:rsidP="005378D9">
            <w:pPr>
              <w:jc w:val="both"/>
              <w:rPr>
                <w:sz w:val="20"/>
                <w:szCs w:val="20"/>
                <w:lang w:val="fr-FR"/>
              </w:rPr>
            </w:pPr>
          </w:p>
          <w:p w14:paraId="28CFCF2C" w14:textId="1512834C" w:rsidR="004D3276" w:rsidRPr="00A55434" w:rsidRDefault="004D3276" w:rsidP="004D3276">
            <w:pPr>
              <w:pStyle w:val="Paragraphedeliste"/>
              <w:numPr>
                <w:ilvl w:val="0"/>
                <w:numId w:val="11"/>
              </w:numPr>
              <w:jc w:val="both"/>
              <w:rPr>
                <w:b/>
                <w:bCs/>
                <w:sz w:val="20"/>
                <w:szCs w:val="20"/>
                <w:lang w:val="fr-FR"/>
              </w:rPr>
            </w:pPr>
            <w:r w:rsidRPr="00A55434">
              <w:rPr>
                <w:b/>
                <w:bCs/>
                <w:sz w:val="20"/>
                <w:szCs w:val="20"/>
                <w:lang w:val="fr-FR"/>
              </w:rPr>
              <w:t xml:space="preserve">Composante </w:t>
            </w:r>
            <w:r w:rsidR="00273860">
              <w:rPr>
                <w:b/>
                <w:bCs/>
                <w:sz w:val="20"/>
                <w:szCs w:val="20"/>
                <w:lang w:val="fr-FR"/>
              </w:rPr>
              <w:t>4</w:t>
            </w:r>
            <w:r w:rsidRPr="00A55434">
              <w:rPr>
                <w:b/>
                <w:bCs/>
                <w:sz w:val="20"/>
                <w:szCs w:val="20"/>
                <w:lang w:val="fr-FR"/>
              </w:rPr>
              <w:t xml:space="preserve"> : Appui institutionnel </w:t>
            </w:r>
            <w:r>
              <w:rPr>
                <w:b/>
                <w:bCs/>
                <w:sz w:val="20"/>
                <w:szCs w:val="20"/>
                <w:lang w:val="fr-FR"/>
              </w:rPr>
              <w:t>à l’</w:t>
            </w:r>
            <w:r w:rsidRPr="00A55434">
              <w:rPr>
                <w:b/>
                <w:bCs/>
                <w:sz w:val="20"/>
                <w:szCs w:val="20"/>
                <w:lang w:val="fr-FR"/>
              </w:rPr>
              <w:t xml:space="preserve">Unité de Gestion du Projet (UGP) </w:t>
            </w:r>
          </w:p>
          <w:p w14:paraId="474B9982" w14:textId="0243B356" w:rsidR="004D3276" w:rsidRPr="00A55434" w:rsidRDefault="00273860" w:rsidP="004D3276">
            <w:pPr>
              <w:jc w:val="both"/>
              <w:rPr>
                <w:bCs/>
                <w:sz w:val="20"/>
                <w:szCs w:val="20"/>
                <w:lang w:val="fr-FR"/>
              </w:rPr>
            </w:pPr>
            <w:r w:rsidRPr="00E00D7C">
              <w:rPr>
                <w:bCs/>
                <w:sz w:val="20"/>
                <w:szCs w:val="20"/>
                <w:lang w:val="fr-CI"/>
              </w:rPr>
              <w:t>Cette composante vise à doter l'Unité de Gestion du Projet (UGP) de l'ensemble des moyens humains, matériels et technologiques nécessaires pour garantir un pilotage rigoureux</w:t>
            </w:r>
            <w:r>
              <w:rPr>
                <w:bCs/>
                <w:sz w:val="20"/>
                <w:szCs w:val="20"/>
                <w:lang w:val="fr-CI"/>
              </w:rPr>
              <w:t xml:space="preserve"> et </w:t>
            </w:r>
            <w:r w:rsidRPr="00E00D7C">
              <w:rPr>
                <w:bCs/>
                <w:sz w:val="20"/>
                <w:szCs w:val="20"/>
                <w:lang w:val="fr-CI"/>
              </w:rPr>
              <w:t xml:space="preserve">une gestion </w:t>
            </w:r>
            <w:r>
              <w:rPr>
                <w:bCs/>
                <w:sz w:val="20"/>
                <w:szCs w:val="20"/>
                <w:lang w:val="fr-CI"/>
              </w:rPr>
              <w:t xml:space="preserve">fluide </w:t>
            </w:r>
            <w:r w:rsidRPr="00E00D7C">
              <w:rPr>
                <w:bCs/>
                <w:sz w:val="20"/>
                <w:szCs w:val="20"/>
                <w:lang w:val="fr-CI"/>
              </w:rPr>
              <w:t xml:space="preserve">des </w:t>
            </w:r>
            <w:proofErr w:type="gramStart"/>
            <w:r w:rsidRPr="00E00D7C">
              <w:rPr>
                <w:bCs/>
                <w:sz w:val="20"/>
                <w:szCs w:val="20"/>
                <w:lang w:val="fr-CI"/>
              </w:rPr>
              <w:t>activités.</w:t>
            </w:r>
            <w:r w:rsidR="004D3276" w:rsidRPr="00A55434">
              <w:rPr>
                <w:bCs/>
                <w:sz w:val="20"/>
                <w:szCs w:val="20"/>
                <w:lang w:val="fr-FR"/>
              </w:rPr>
              <w:t>Ce</w:t>
            </w:r>
            <w:r>
              <w:rPr>
                <w:bCs/>
                <w:sz w:val="20"/>
                <w:szCs w:val="20"/>
                <w:lang w:val="fr-FR"/>
              </w:rPr>
              <w:t>tte</w:t>
            </w:r>
            <w:proofErr w:type="gramEnd"/>
            <w:r>
              <w:rPr>
                <w:bCs/>
                <w:sz w:val="20"/>
                <w:szCs w:val="20"/>
                <w:lang w:val="fr-FR"/>
              </w:rPr>
              <w:t xml:space="preserve"> </w:t>
            </w:r>
            <w:proofErr w:type="gramStart"/>
            <w:r>
              <w:rPr>
                <w:bCs/>
                <w:sz w:val="20"/>
                <w:szCs w:val="20"/>
                <w:lang w:val="fr-FR"/>
              </w:rPr>
              <w:t>composante</w:t>
            </w:r>
            <w:r w:rsidR="004D3276" w:rsidRPr="00A55434">
              <w:rPr>
                <w:bCs/>
                <w:sz w:val="20"/>
                <w:szCs w:val="20"/>
                <w:lang w:val="fr-FR"/>
              </w:rPr>
              <w:t xml:space="preserve">  comprend</w:t>
            </w:r>
            <w:proofErr w:type="gramEnd"/>
            <w:r w:rsidR="004D3276" w:rsidRPr="00A55434">
              <w:rPr>
                <w:bCs/>
                <w:sz w:val="20"/>
                <w:szCs w:val="20"/>
                <w:lang w:val="fr-FR"/>
              </w:rPr>
              <w:t xml:space="preserve"> :</w:t>
            </w:r>
          </w:p>
          <w:p w14:paraId="35CD480D" w14:textId="77777777" w:rsidR="004D3276" w:rsidRPr="00A55434" w:rsidRDefault="004D3276" w:rsidP="004D3276">
            <w:pPr>
              <w:pStyle w:val="Paragraphedeliste"/>
              <w:numPr>
                <w:ilvl w:val="0"/>
                <w:numId w:val="2"/>
              </w:numPr>
              <w:jc w:val="both"/>
              <w:rPr>
                <w:sz w:val="20"/>
                <w:szCs w:val="20"/>
                <w:lang w:val="fr-FR"/>
              </w:rPr>
            </w:pPr>
            <w:r w:rsidRPr="00A55434">
              <w:rPr>
                <w:sz w:val="20"/>
                <w:szCs w:val="20"/>
                <w:lang w:val="fr-FR"/>
              </w:rPr>
              <w:t>L’acquisition d’équipements et mobiliers de bureaux ;</w:t>
            </w:r>
          </w:p>
          <w:p w14:paraId="1F51FD1B" w14:textId="77777777" w:rsidR="004D3276" w:rsidRPr="00A55434" w:rsidRDefault="004D3276" w:rsidP="004D3276">
            <w:pPr>
              <w:pStyle w:val="Paragraphedeliste"/>
              <w:numPr>
                <w:ilvl w:val="0"/>
                <w:numId w:val="2"/>
              </w:numPr>
              <w:jc w:val="both"/>
              <w:rPr>
                <w:sz w:val="20"/>
                <w:szCs w:val="20"/>
                <w:lang w:val="fr-FR"/>
              </w:rPr>
            </w:pPr>
            <w:r w:rsidRPr="00A55434">
              <w:rPr>
                <w:sz w:val="20"/>
                <w:szCs w:val="20"/>
                <w:lang w:val="fr-FR"/>
              </w:rPr>
              <w:t>L’acquisition de logiciels de gestion de projet ;</w:t>
            </w:r>
          </w:p>
          <w:p w14:paraId="2767BB3E" w14:textId="20665368" w:rsidR="004D3276" w:rsidRDefault="004D3276" w:rsidP="004D3276">
            <w:pPr>
              <w:pStyle w:val="Paragraphedeliste"/>
              <w:numPr>
                <w:ilvl w:val="0"/>
                <w:numId w:val="2"/>
              </w:numPr>
              <w:jc w:val="both"/>
              <w:rPr>
                <w:sz w:val="20"/>
                <w:szCs w:val="20"/>
                <w:lang w:val="fr-FR"/>
              </w:rPr>
            </w:pPr>
            <w:r w:rsidRPr="00A55434">
              <w:rPr>
                <w:sz w:val="20"/>
                <w:szCs w:val="20"/>
                <w:lang w:val="fr-FR"/>
              </w:rPr>
              <w:t>L’acquisition de véhicules ;</w:t>
            </w:r>
          </w:p>
          <w:p w14:paraId="0CFF07D5" w14:textId="77777777" w:rsidR="004B0F5D" w:rsidRPr="00A55434" w:rsidRDefault="004B0F5D" w:rsidP="005378D9">
            <w:pPr>
              <w:jc w:val="both"/>
              <w:rPr>
                <w:sz w:val="20"/>
                <w:szCs w:val="20"/>
                <w:lang w:val="fr-FR"/>
              </w:rPr>
            </w:pPr>
          </w:p>
          <w:p w14:paraId="01B736F0" w14:textId="212CE276" w:rsidR="004D3276" w:rsidRPr="004D3276" w:rsidRDefault="004D3276" w:rsidP="004D3276">
            <w:pPr>
              <w:pStyle w:val="Paragraphedeliste"/>
              <w:numPr>
                <w:ilvl w:val="0"/>
                <w:numId w:val="11"/>
              </w:numPr>
              <w:jc w:val="both"/>
              <w:rPr>
                <w:sz w:val="20"/>
                <w:szCs w:val="20"/>
                <w:lang w:val="fr-FR"/>
              </w:rPr>
            </w:pPr>
            <w:r>
              <w:rPr>
                <w:b/>
                <w:bCs/>
                <w:sz w:val="20"/>
                <w:szCs w:val="20"/>
                <w:lang w:val="fr-FR"/>
              </w:rPr>
              <w:t xml:space="preserve">Composante </w:t>
            </w:r>
            <w:r w:rsidR="00273860">
              <w:rPr>
                <w:b/>
                <w:bCs/>
                <w:sz w:val="20"/>
                <w:szCs w:val="20"/>
                <w:lang w:val="fr-FR"/>
              </w:rPr>
              <w:t>5</w:t>
            </w:r>
            <w:r>
              <w:rPr>
                <w:b/>
                <w:bCs/>
                <w:sz w:val="20"/>
                <w:szCs w:val="20"/>
                <w:lang w:val="fr-FR"/>
              </w:rPr>
              <w:t xml:space="preserve"> : </w:t>
            </w:r>
            <w:r w:rsidR="00D545EC" w:rsidRPr="004D3276">
              <w:rPr>
                <w:b/>
                <w:bCs/>
                <w:sz w:val="20"/>
                <w:szCs w:val="20"/>
                <w:lang w:val="fr-FR"/>
              </w:rPr>
              <w:t>Suivi et Evaluation</w:t>
            </w:r>
          </w:p>
          <w:p w14:paraId="5FA9C3D0" w14:textId="34E9A04B" w:rsidR="00D545EC" w:rsidRPr="004D3276" w:rsidRDefault="00B12402" w:rsidP="004D3276">
            <w:pPr>
              <w:jc w:val="both"/>
              <w:rPr>
                <w:sz w:val="20"/>
                <w:szCs w:val="20"/>
                <w:lang w:val="fr-FR"/>
              </w:rPr>
            </w:pPr>
            <w:r w:rsidRPr="004D3276">
              <w:rPr>
                <w:sz w:val="20"/>
                <w:szCs w:val="20"/>
                <w:lang w:val="fr-FR"/>
              </w:rPr>
              <w:t>Afin de suivre et d'évaluer le projet, l'</w:t>
            </w:r>
            <w:r w:rsidR="00500E5B" w:rsidRPr="004D3276">
              <w:rPr>
                <w:sz w:val="20"/>
                <w:szCs w:val="20"/>
                <w:lang w:val="fr-FR"/>
              </w:rPr>
              <w:t>Agence Nationale de la Statistique (</w:t>
            </w:r>
            <w:proofErr w:type="spellStart"/>
            <w:r w:rsidR="00500E5B" w:rsidRPr="004D3276">
              <w:rPr>
                <w:sz w:val="20"/>
                <w:szCs w:val="20"/>
                <w:lang w:val="fr-FR"/>
              </w:rPr>
              <w:t>ANStat</w:t>
            </w:r>
            <w:proofErr w:type="spellEnd"/>
            <w:r w:rsidR="00500E5B" w:rsidRPr="004D3276">
              <w:rPr>
                <w:sz w:val="20"/>
                <w:szCs w:val="20"/>
                <w:lang w:val="fr-FR"/>
              </w:rPr>
              <w:t>)</w:t>
            </w:r>
            <w:r w:rsidR="00FD40D3" w:rsidRPr="004D3276">
              <w:rPr>
                <w:sz w:val="20"/>
                <w:szCs w:val="20"/>
                <w:lang w:val="fr-FR"/>
              </w:rPr>
              <w:t xml:space="preserve"> – Ex </w:t>
            </w:r>
            <w:r w:rsidRPr="004D3276">
              <w:rPr>
                <w:sz w:val="20"/>
                <w:szCs w:val="20"/>
                <w:lang w:val="fr-FR"/>
              </w:rPr>
              <w:t>INS</w:t>
            </w:r>
            <w:r w:rsidR="00FD40D3" w:rsidRPr="004D3276">
              <w:rPr>
                <w:sz w:val="20"/>
                <w:szCs w:val="20"/>
                <w:lang w:val="fr-FR"/>
              </w:rPr>
              <w:t xml:space="preserve"> -</w:t>
            </w:r>
            <w:r w:rsidRPr="004D3276">
              <w:rPr>
                <w:sz w:val="20"/>
                <w:szCs w:val="20"/>
                <w:lang w:val="fr-FR"/>
              </w:rPr>
              <w:t xml:space="preserve"> jouera un rôle crucial dans l'évaluation des impacts socio-économiques. L'INS collaborera avec l'Unité de Gestion de Projet (UGP) pour identifier les principaux indicateurs d'impact et proposer une méthodologie détaillée et cohérente pour la collecte et l'analyse des données</w:t>
            </w:r>
            <w:r w:rsidR="00D545EC" w:rsidRPr="004D3276">
              <w:rPr>
                <w:sz w:val="20"/>
                <w:szCs w:val="20"/>
                <w:lang w:val="fr-FR"/>
              </w:rPr>
              <w:t>.</w:t>
            </w:r>
          </w:p>
          <w:p w14:paraId="46C53468" w14:textId="77777777" w:rsidR="002E30A4" w:rsidRPr="00A55434" w:rsidRDefault="002E30A4" w:rsidP="00F10BC4">
            <w:pPr>
              <w:jc w:val="both"/>
              <w:rPr>
                <w:sz w:val="20"/>
                <w:szCs w:val="20"/>
                <w:lang w:val="fr-FR"/>
              </w:rPr>
            </w:pPr>
          </w:p>
          <w:p w14:paraId="342A1AF3" w14:textId="51F89E0F" w:rsidR="004A0E1C" w:rsidRPr="00A55434" w:rsidRDefault="002E30A4" w:rsidP="00612B43">
            <w:pPr>
              <w:pStyle w:val="Paragraphedeliste"/>
              <w:numPr>
                <w:ilvl w:val="0"/>
                <w:numId w:val="11"/>
              </w:numPr>
              <w:jc w:val="both"/>
              <w:rPr>
                <w:b/>
                <w:bCs/>
                <w:sz w:val="20"/>
                <w:szCs w:val="20"/>
                <w:lang w:val="fr-FR"/>
              </w:rPr>
            </w:pPr>
            <w:r w:rsidRPr="00A55434">
              <w:rPr>
                <w:b/>
                <w:bCs/>
                <w:sz w:val="20"/>
                <w:szCs w:val="20"/>
                <w:lang w:val="fr-FR"/>
              </w:rPr>
              <w:t xml:space="preserve">Composante </w:t>
            </w:r>
            <w:r w:rsidR="00273860">
              <w:rPr>
                <w:b/>
                <w:bCs/>
                <w:sz w:val="20"/>
                <w:szCs w:val="20"/>
                <w:lang w:val="fr-FR"/>
              </w:rPr>
              <w:t>6</w:t>
            </w:r>
            <w:r w:rsidR="004A0E1C" w:rsidRPr="00A55434">
              <w:rPr>
                <w:b/>
                <w:bCs/>
                <w:sz w:val="20"/>
                <w:szCs w:val="20"/>
                <w:lang w:val="fr-FR"/>
              </w:rPr>
              <w:t> : Audit comptable et financier</w:t>
            </w:r>
            <w:r w:rsidRPr="00A55434">
              <w:rPr>
                <w:b/>
                <w:bCs/>
                <w:sz w:val="20"/>
                <w:szCs w:val="20"/>
                <w:lang w:val="fr-FR"/>
              </w:rPr>
              <w:t xml:space="preserve"> : </w:t>
            </w:r>
          </w:p>
          <w:p w14:paraId="374D0B27" w14:textId="71B0E026" w:rsidR="009E4EA7" w:rsidRPr="00A55434" w:rsidRDefault="004A0E1C" w:rsidP="002E30A4">
            <w:pPr>
              <w:jc w:val="both"/>
              <w:rPr>
                <w:bCs/>
                <w:sz w:val="20"/>
                <w:szCs w:val="20"/>
                <w:lang w:val="fr-FR"/>
              </w:rPr>
            </w:pPr>
            <w:r w:rsidRPr="00A55434">
              <w:rPr>
                <w:bCs/>
                <w:sz w:val="20"/>
                <w:szCs w:val="20"/>
                <w:lang w:val="fr-FR"/>
              </w:rPr>
              <w:t>C</w:t>
            </w:r>
            <w:r w:rsidR="002E30A4" w:rsidRPr="00A55434">
              <w:rPr>
                <w:bCs/>
                <w:sz w:val="20"/>
                <w:szCs w:val="20"/>
                <w:lang w:val="fr-FR"/>
              </w:rPr>
              <w:t>e volet comprend l’audit financier, comptable et des procédures du projet.</w:t>
            </w:r>
          </w:p>
          <w:p w14:paraId="400396F0" w14:textId="53FD7814" w:rsidR="0046687C" w:rsidRPr="003772BF" w:rsidRDefault="0040356B" w:rsidP="00781570">
            <w:pPr>
              <w:jc w:val="both"/>
              <w:rPr>
                <w:b/>
                <w:i/>
                <w:iCs/>
                <w:sz w:val="20"/>
                <w:szCs w:val="20"/>
                <w:lang w:val="fr-FR"/>
              </w:rPr>
            </w:pPr>
            <w:r w:rsidRPr="00A55434">
              <w:rPr>
                <w:bCs/>
                <w:sz w:val="20"/>
                <w:szCs w:val="20"/>
                <w:lang w:val="fr-FR"/>
              </w:rPr>
              <w:t xml:space="preserve">L’acquisition des services se fera sur la base </w:t>
            </w:r>
            <w:r w:rsidRPr="003772BF">
              <w:rPr>
                <w:b/>
                <w:i/>
                <w:iCs/>
                <w:sz w:val="20"/>
                <w:szCs w:val="20"/>
                <w:lang w:val="fr-FR"/>
              </w:rPr>
              <w:t>d’une liste restreinte de cabinets locaux et le mode de l’évaluation sera la Sélection au Moindre Coût (SMC)</w:t>
            </w:r>
            <w:r w:rsidR="0046687C">
              <w:rPr>
                <w:b/>
                <w:i/>
                <w:iCs/>
                <w:sz w:val="20"/>
                <w:szCs w:val="20"/>
                <w:lang w:val="fr-FR"/>
              </w:rPr>
              <w:t>.</w:t>
            </w:r>
          </w:p>
        </w:tc>
      </w:tr>
      <w:tr w:rsidR="009E4EA7" w:rsidRPr="00A55434" w14:paraId="4958F00C" w14:textId="77777777" w:rsidTr="005E6EBD">
        <w:trPr>
          <w:gridBefore w:val="1"/>
          <w:wBefore w:w="34" w:type="dxa"/>
          <w:trHeight w:val="762"/>
        </w:trPr>
        <w:tc>
          <w:tcPr>
            <w:tcW w:w="396" w:type="dxa"/>
          </w:tcPr>
          <w:p w14:paraId="7AB068B4" w14:textId="5D304597" w:rsidR="00781570" w:rsidRDefault="00781570" w:rsidP="00167C75">
            <w:pPr>
              <w:jc w:val="center"/>
              <w:rPr>
                <w:b/>
                <w:bCs/>
                <w:sz w:val="20"/>
                <w:szCs w:val="20"/>
                <w:lang w:val="fr-FR"/>
              </w:rPr>
            </w:pPr>
          </w:p>
          <w:p w14:paraId="2C7104F4" w14:textId="77777777" w:rsidR="00781570" w:rsidRDefault="00781570" w:rsidP="00167C75">
            <w:pPr>
              <w:jc w:val="center"/>
              <w:rPr>
                <w:b/>
                <w:bCs/>
                <w:sz w:val="20"/>
                <w:szCs w:val="20"/>
                <w:lang w:val="fr-FR"/>
              </w:rPr>
            </w:pPr>
          </w:p>
          <w:p w14:paraId="514F9AE2" w14:textId="44E2FFCD" w:rsidR="00167C75" w:rsidRDefault="00327784" w:rsidP="00167C75">
            <w:pPr>
              <w:jc w:val="center"/>
              <w:rPr>
                <w:b/>
                <w:bCs/>
                <w:sz w:val="20"/>
                <w:szCs w:val="20"/>
                <w:lang w:val="fr-FR"/>
              </w:rPr>
            </w:pPr>
            <w:r>
              <w:rPr>
                <w:b/>
                <w:bCs/>
                <w:sz w:val="20"/>
                <w:szCs w:val="20"/>
                <w:lang w:val="fr-FR"/>
              </w:rPr>
              <w:t>3.</w:t>
            </w:r>
          </w:p>
          <w:p w14:paraId="6ED299B5" w14:textId="77777777" w:rsidR="00167C75" w:rsidRDefault="00167C75" w:rsidP="00167C75">
            <w:pPr>
              <w:jc w:val="center"/>
              <w:rPr>
                <w:b/>
                <w:bCs/>
                <w:sz w:val="20"/>
                <w:szCs w:val="20"/>
                <w:lang w:val="fr-FR"/>
              </w:rPr>
            </w:pPr>
          </w:p>
          <w:p w14:paraId="56FCB1AE" w14:textId="77777777" w:rsidR="00F75673" w:rsidRDefault="00F75673" w:rsidP="00167C75">
            <w:pPr>
              <w:jc w:val="center"/>
              <w:rPr>
                <w:b/>
                <w:bCs/>
                <w:sz w:val="20"/>
                <w:szCs w:val="20"/>
                <w:lang w:val="fr-FR"/>
              </w:rPr>
            </w:pPr>
          </w:p>
          <w:p w14:paraId="2A85EA1C" w14:textId="77777777" w:rsidR="00F75673" w:rsidRDefault="00F75673" w:rsidP="00167C75">
            <w:pPr>
              <w:jc w:val="center"/>
              <w:rPr>
                <w:b/>
                <w:bCs/>
                <w:sz w:val="20"/>
                <w:szCs w:val="20"/>
                <w:lang w:val="fr-FR"/>
              </w:rPr>
            </w:pPr>
          </w:p>
          <w:p w14:paraId="4DAE491E" w14:textId="77777777" w:rsidR="00F75673" w:rsidRDefault="00F75673" w:rsidP="00167C75">
            <w:pPr>
              <w:jc w:val="center"/>
              <w:rPr>
                <w:b/>
                <w:bCs/>
                <w:sz w:val="20"/>
                <w:szCs w:val="20"/>
                <w:lang w:val="fr-FR"/>
              </w:rPr>
            </w:pPr>
          </w:p>
          <w:p w14:paraId="23C3F306" w14:textId="77777777" w:rsidR="00F75673" w:rsidRDefault="00F75673" w:rsidP="00167C75">
            <w:pPr>
              <w:jc w:val="center"/>
              <w:rPr>
                <w:b/>
                <w:bCs/>
                <w:sz w:val="20"/>
                <w:szCs w:val="20"/>
                <w:lang w:val="fr-FR"/>
              </w:rPr>
            </w:pPr>
          </w:p>
          <w:p w14:paraId="04296F60" w14:textId="77777777" w:rsidR="00F75673" w:rsidRDefault="00F75673" w:rsidP="00167C75">
            <w:pPr>
              <w:jc w:val="center"/>
              <w:rPr>
                <w:b/>
                <w:bCs/>
                <w:sz w:val="20"/>
                <w:szCs w:val="20"/>
                <w:lang w:val="fr-FR"/>
              </w:rPr>
            </w:pPr>
          </w:p>
          <w:p w14:paraId="72C0F84A" w14:textId="77777777" w:rsidR="00F75673" w:rsidRDefault="00F75673" w:rsidP="00167C75">
            <w:pPr>
              <w:jc w:val="center"/>
              <w:rPr>
                <w:b/>
                <w:bCs/>
                <w:sz w:val="20"/>
                <w:szCs w:val="20"/>
                <w:lang w:val="fr-FR"/>
              </w:rPr>
            </w:pPr>
          </w:p>
          <w:p w14:paraId="796566F9" w14:textId="3E4F5948" w:rsidR="00781570" w:rsidRDefault="00D728F6" w:rsidP="00167C75">
            <w:pPr>
              <w:jc w:val="center"/>
              <w:rPr>
                <w:b/>
                <w:bCs/>
                <w:sz w:val="20"/>
                <w:szCs w:val="20"/>
                <w:lang w:val="fr-FR"/>
              </w:rPr>
            </w:pPr>
            <w:r>
              <w:rPr>
                <w:b/>
                <w:bCs/>
                <w:sz w:val="20"/>
                <w:szCs w:val="20"/>
                <w:lang w:val="fr-FR"/>
              </w:rPr>
              <w:t>4.</w:t>
            </w:r>
          </w:p>
          <w:p w14:paraId="5DA6B8AD" w14:textId="77777777" w:rsidR="00D728F6" w:rsidRDefault="00D728F6" w:rsidP="00167C75">
            <w:pPr>
              <w:jc w:val="center"/>
              <w:rPr>
                <w:b/>
                <w:bCs/>
                <w:sz w:val="20"/>
                <w:szCs w:val="20"/>
                <w:lang w:val="fr-FR"/>
              </w:rPr>
            </w:pPr>
          </w:p>
          <w:p w14:paraId="231CCC8C" w14:textId="77777777" w:rsidR="00D728F6" w:rsidRDefault="00D728F6" w:rsidP="00167C75">
            <w:pPr>
              <w:jc w:val="center"/>
              <w:rPr>
                <w:b/>
                <w:bCs/>
                <w:sz w:val="20"/>
                <w:szCs w:val="20"/>
                <w:lang w:val="fr-FR"/>
              </w:rPr>
            </w:pPr>
          </w:p>
          <w:p w14:paraId="7FA1288E" w14:textId="77777777" w:rsidR="00D728F6" w:rsidRPr="00A55434" w:rsidRDefault="00D728F6" w:rsidP="00167C75">
            <w:pPr>
              <w:jc w:val="center"/>
              <w:rPr>
                <w:b/>
                <w:bCs/>
                <w:sz w:val="20"/>
                <w:szCs w:val="20"/>
                <w:lang w:val="fr-FR"/>
              </w:rPr>
            </w:pPr>
          </w:p>
          <w:p w14:paraId="6CA87982" w14:textId="631F04D6" w:rsidR="00781570" w:rsidRPr="00A55434" w:rsidRDefault="00781570" w:rsidP="00167C75">
            <w:pPr>
              <w:jc w:val="center"/>
              <w:rPr>
                <w:b/>
                <w:bCs/>
                <w:sz w:val="20"/>
                <w:szCs w:val="20"/>
                <w:lang w:val="fr-FR"/>
              </w:rPr>
            </w:pPr>
          </w:p>
          <w:p w14:paraId="38095E3C" w14:textId="77777777" w:rsidR="00781570" w:rsidRPr="00A55434" w:rsidRDefault="00781570" w:rsidP="00167C75">
            <w:pPr>
              <w:jc w:val="center"/>
              <w:rPr>
                <w:b/>
                <w:bCs/>
                <w:sz w:val="20"/>
                <w:szCs w:val="20"/>
                <w:lang w:val="fr-FR"/>
              </w:rPr>
            </w:pPr>
          </w:p>
          <w:p w14:paraId="382AF9B5" w14:textId="77777777" w:rsidR="00781570" w:rsidRDefault="00781570" w:rsidP="00167C75">
            <w:pPr>
              <w:jc w:val="center"/>
              <w:rPr>
                <w:b/>
                <w:bCs/>
                <w:sz w:val="20"/>
                <w:szCs w:val="20"/>
                <w:lang w:val="fr-FR"/>
              </w:rPr>
            </w:pPr>
            <w:r w:rsidRPr="00A55434">
              <w:rPr>
                <w:b/>
                <w:bCs/>
                <w:sz w:val="20"/>
                <w:szCs w:val="20"/>
                <w:lang w:val="fr-FR"/>
              </w:rPr>
              <w:t>5.</w:t>
            </w:r>
          </w:p>
          <w:p w14:paraId="02D287A7" w14:textId="77777777" w:rsidR="00A41B6F" w:rsidRDefault="00A41B6F" w:rsidP="00167C75">
            <w:pPr>
              <w:jc w:val="center"/>
              <w:rPr>
                <w:b/>
                <w:bCs/>
                <w:sz w:val="20"/>
                <w:szCs w:val="20"/>
                <w:lang w:val="fr-FR"/>
              </w:rPr>
            </w:pPr>
          </w:p>
          <w:p w14:paraId="6F31AFEC" w14:textId="77777777" w:rsidR="00A41B6F" w:rsidRDefault="00A41B6F" w:rsidP="00167C75">
            <w:pPr>
              <w:jc w:val="center"/>
              <w:rPr>
                <w:b/>
                <w:bCs/>
                <w:sz w:val="20"/>
                <w:szCs w:val="20"/>
                <w:lang w:val="fr-FR"/>
              </w:rPr>
            </w:pPr>
          </w:p>
          <w:p w14:paraId="374D12EF" w14:textId="77777777" w:rsidR="00A41B6F" w:rsidRDefault="00A41B6F" w:rsidP="00167C75">
            <w:pPr>
              <w:jc w:val="center"/>
              <w:rPr>
                <w:b/>
                <w:bCs/>
                <w:sz w:val="20"/>
                <w:szCs w:val="20"/>
                <w:lang w:val="fr-FR"/>
              </w:rPr>
            </w:pPr>
          </w:p>
          <w:p w14:paraId="70DAFD99" w14:textId="15B0389A" w:rsidR="00A41B6F" w:rsidRDefault="00A41B6F" w:rsidP="00167C75">
            <w:pPr>
              <w:jc w:val="center"/>
              <w:rPr>
                <w:b/>
                <w:bCs/>
                <w:sz w:val="20"/>
                <w:szCs w:val="20"/>
                <w:lang w:val="fr-FR"/>
              </w:rPr>
            </w:pPr>
            <w:r>
              <w:rPr>
                <w:b/>
                <w:bCs/>
                <w:sz w:val="20"/>
                <w:szCs w:val="20"/>
                <w:lang w:val="fr-FR"/>
              </w:rPr>
              <w:t>6.</w:t>
            </w:r>
          </w:p>
          <w:p w14:paraId="54513A88" w14:textId="77777777" w:rsidR="00A41B6F" w:rsidRDefault="00A41B6F" w:rsidP="00167C75">
            <w:pPr>
              <w:jc w:val="center"/>
              <w:rPr>
                <w:b/>
                <w:bCs/>
                <w:sz w:val="20"/>
                <w:szCs w:val="20"/>
                <w:lang w:val="fr-FR"/>
              </w:rPr>
            </w:pPr>
          </w:p>
          <w:p w14:paraId="467E0C1F" w14:textId="77777777" w:rsidR="00A41B6F" w:rsidRDefault="00A41B6F" w:rsidP="00167C75">
            <w:pPr>
              <w:jc w:val="center"/>
              <w:rPr>
                <w:b/>
                <w:bCs/>
                <w:sz w:val="20"/>
                <w:szCs w:val="20"/>
                <w:lang w:val="fr-FR"/>
              </w:rPr>
            </w:pPr>
          </w:p>
          <w:p w14:paraId="6C74674D" w14:textId="2090C37E" w:rsidR="00A41B6F" w:rsidRPr="00A55434" w:rsidRDefault="00A41B6F" w:rsidP="00167C75">
            <w:pPr>
              <w:jc w:val="center"/>
              <w:rPr>
                <w:b/>
                <w:bCs/>
                <w:sz w:val="20"/>
                <w:szCs w:val="20"/>
                <w:lang w:val="fr-FR"/>
              </w:rPr>
            </w:pPr>
          </w:p>
        </w:tc>
        <w:tc>
          <w:tcPr>
            <w:tcW w:w="9493" w:type="dxa"/>
            <w:gridSpan w:val="3"/>
          </w:tcPr>
          <w:p w14:paraId="6167118D" w14:textId="77777777" w:rsidR="00327784" w:rsidRDefault="00327784" w:rsidP="004859F8">
            <w:pPr>
              <w:tabs>
                <w:tab w:val="left" w:pos="-720"/>
              </w:tabs>
              <w:suppressAutoHyphens/>
              <w:spacing w:before="120" w:after="120"/>
              <w:rPr>
                <w:bCs/>
                <w:spacing w:val="-3"/>
                <w:sz w:val="20"/>
                <w:szCs w:val="20"/>
                <w:lang w:val="fr-FR"/>
              </w:rPr>
            </w:pPr>
          </w:p>
          <w:p w14:paraId="45647FD9" w14:textId="4F6499A4" w:rsidR="00781570" w:rsidRDefault="00781570" w:rsidP="00F75673">
            <w:pPr>
              <w:tabs>
                <w:tab w:val="left" w:pos="-720"/>
              </w:tabs>
              <w:suppressAutoHyphens/>
              <w:spacing w:before="120" w:after="120"/>
              <w:jc w:val="both"/>
              <w:rPr>
                <w:bCs/>
                <w:spacing w:val="-3"/>
                <w:sz w:val="20"/>
                <w:szCs w:val="20"/>
                <w:lang w:val="fr-FR"/>
              </w:rPr>
            </w:pPr>
            <w:r w:rsidRPr="00A55434">
              <w:rPr>
                <w:bCs/>
                <w:spacing w:val="-3"/>
                <w:sz w:val="20"/>
                <w:szCs w:val="20"/>
                <w:lang w:val="fr-FR"/>
              </w:rPr>
              <w:t>Les acquisitions financées par la Banque Islamique de Développement seront effectuées conformément aux Directives pour l’acquisition de Biens, Travaux et services connexes dans le cadre des Projets financés par la Banque Islamique de Développement (édition courante) et sont ouvertes à tous les soumissionnaires éligibles, tels que définis dans ces Directives. Les acquisitions de services de consultants seront effectuées conformément aux Directives pour l’acquisition de Services de Consultants dans le cadre des Projets financés par la Banque Islamique de Développement (édition courante).</w:t>
            </w:r>
          </w:p>
          <w:p w14:paraId="23CD8919" w14:textId="77777777" w:rsidR="00F75673" w:rsidRPr="00A55434" w:rsidRDefault="00F75673" w:rsidP="00F75673">
            <w:pPr>
              <w:tabs>
                <w:tab w:val="left" w:pos="-720"/>
              </w:tabs>
              <w:suppressAutoHyphens/>
              <w:spacing w:before="120" w:after="120"/>
              <w:jc w:val="both"/>
              <w:rPr>
                <w:bCs/>
                <w:spacing w:val="-3"/>
                <w:sz w:val="20"/>
                <w:szCs w:val="20"/>
                <w:lang w:val="fr-FR"/>
              </w:rPr>
            </w:pPr>
          </w:p>
          <w:p w14:paraId="43228275" w14:textId="24B66D98" w:rsidR="00781570" w:rsidRPr="00A55434" w:rsidRDefault="00781570" w:rsidP="00CC1EB8">
            <w:pPr>
              <w:tabs>
                <w:tab w:val="left" w:pos="-720"/>
              </w:tabs>
              <w:suppressAutoHyphens/>
              <w:spacing w:before="120" w:after="120"/>
              <w:jc w:val="both"/>
              <w:rPr>
                <w:bCs/>
                <w:spacing w:val="-3"/>
                <w:sz w:val="20"/>
                <w:szCs w:val="20"/>
                <w:lang w:val="fr-FR"/>
              </w:rPr>
            </w:pPr>
            <w:r w:rsidRPr="00A55434">
              <w:rPr>
                <w:bCs/>
                <w:spacing w:val="-3"/>
                <w:sz w:val="20"/>
                <w:szCs w:val="20"/>
                <w:lang w:val="fr-FR"/>
              </w:rPr>
              <w:t xml:space="preserve">Les avis spécifiques de passation des marchés pour les acquisitions à effectuer par Appel d’Offres International (AOI) ou Appel d’Offres International réservé aux pays membres (AOI/PM) et les appels à manifestations d’intérêt pour les services de consultants seront publiés au fur et à mesure qu’ils seront disponibles, sur le site internet de la </w:t>
            </w:r>
            <w:proofErr w:type="spellStart"/>
            <w:r w:rsidRPr="00A55434">
              <w:rPr>
                <w:bCs/>
                <w:spacing w:val="-3"/>
                <w:sz w:val="20"/>
                <w:szCs w:val="20"/>
                <w:lang w:val="fr-FR"/>
              </w:rPr>
              <w:t>BIsD</w:t>
            </w:r>
            <w:proofErr w:type="spellEnd"/>
            <w:r w:rsidRPr="00A55434">
              <w:rPr>
                <w:bCs/>
                <w:spacing w:val="-3"/>
                <w:sz w:val="20"/>
                <w:szCs w:val="20"/>
                <w:lang w:val="fr-FR"/>
              </w:rPr>
              <w:t>, le D</w:t>
            </w:r>
            <w:r w:rsidR="00884319">
              <w:rPr>
                <w:bCs/>
                <w:spacing w:val="-3"/>
                <w:sz w:val="20"/>
                <w:szCs w:val="20"/>
                <w:lang w:val="fr-FR"/>
              </w:rPr>
              <w:t>G</w:t>
            </w:r>
            <w:r w:rsidRPr="00A55434">
              <w:rPr>
                <w:bCs/>
                <w:spacing w:val="-3"/>
                <w:sz w:val="20"/>
                <w:szCs w:val="20"/>
                <w:lang w:val="fr-FR"/>
              </w:rPr>
              <w:t xml:space="preserve"> Market, </w:t>
            </w:r>
            <w:r w:rsidR="00A55434" w:rsidRPr="00A55434">
              <w:rPr>
                <w:bCs/>
                <w:spacing w:val="-3"/>
                <w:sz w:val="20"/>
                <w:szCs w:val="20"/>
                <w:lang w:val="fr-FR"/>
              </w:rPr>
              <w:t>le Bulletin Officiel des Marchés Publics de Côte d’Ivoire et le journal Fraternité Matin.</w:t>
            </w:r>
          </w:p>
          <w:p w14:paraId="54286576" w14:textId="77777777" w:rsidR="00781570" w:rsidRDefault="00781570" w:rsidP="00D32F20">
            <w:pPr>
              <w:tabs>
                <w:tab w:val="left" w:pos="-720"/>
              </w:tabs>
              <w:suppressAutoHyphens/>
              <w:spacing w:before="120" w:after="120"/>
              <w:rPr>
                <w:b/>
                <w:bCs/>
                <w:spacing w:val="-3"/>
                <w:sz w:val="20"/>
                <w:szCs w:val="20"/>
                <w:lang w:val="fr-FR"/>
              </w:rPr>
            </w:pPr>
          </w:p>
          <w:p w14:paraId="57BCDF12" w14:textId="77777777" w:rsidR="009A133E" w:rsidRDefault="009A133E" w:rsidP="009A133E">
            <w:pPr>
              <w:tabs>
                <w:tab w:val="left" w:pos="-720"/>
              </w:tabs>
              <w:suppressAutoHyphens/>
              <w:spacing w:before="120" w:after="120"/>
              <w:jc w:val="both"/>
              <w:rPr>
                <w:bCs/>
                <w:spacing w:val="-3"/>
                <w:sz w:val="20"/>
                <w:szCs w:val="20"/>
                <w:lang w:val="fr-FR"/>
              </w:rPr>
            </w:pPr>
            <w:r w:rsidRPr="009A133E">
              <w:rPr>
                <w:bCs/>
                <w:spacing w:val="-3"/>
                <w:sz w:val="20"/>
                <w:szCs w:val="20"/>
                <w:lang w:val="fr-FR"/>
              </w:rPr>
              <w:t>La pré-qualification de fournisseurs et d’entreprises est prévue pour les marchés ci-après :</w:t>
            </w:r>
          </w:p>
          <w:p w14:paraId="5A6CC94B" w14:textId="7FDA384C" w:rsidR="00D21D59" w:rsidRDefault="00DD3F1B" w:rsidP="009A133E">
            <w:pPr>
              <w:pStyle w:val="Paragraphedeliste"/>
              <w:numPr>
                <w:ilvl w:val="0"/>
                <w:numId w:val="2"/>
              </w:numPr>
              <w:tabs>
                <w:tab w:val="left" w:pos="-720"/>
              </w:tabs>
              <w:suppressAutoHyphens/>
              <w:spacing w:before="120" w:after="120"/>
              <w:jc w:val="both"/>
              <w:rPr>
                <w:bCs/>
                <w:spacing w:val="-3"/>
                <w:sz w:val="20"/>
                <w:szCs w:val="20"/>
                <w:lang w:val="fr-FR"/>
              </w:rPr>
            </w:pPr>
            <w:r>
              <w:rPr>
                <w:bCs/>
                <w:spacing w:val="-3"/>
                <w:sz w:val="20"/>
                <w:szCs w:val="20"/>
                <w:lang w:val="fr-FR"/>
              </w:rPr>
              <w:t xml:space="preserve">Travaux de génie civil </w:t>
            </w:r>
            <w:r w:rsidR="00D21D59">
              <w:rPr>
                <w:bCs/>
                <w:spacing w:val="-3"/>
                <w:sz w:val="20"/>
                <w:szCs w:val="20"/>
                <w:lang w:val="fr-FR"/>
              </w:rPr>
              <w:t>–</w:t>
            </w:r>
            <w:r>
              <w:rPr>
                <w:bCs/>
                <w:spacing w:val="-3"/>
                <w:sz w:val="20"/>
                <w:szCs w:val="20"/>
                <w:lang w:val="fr-FR"/>
              </w:rPr>
              <w:t xml:space="preserve"> Lot</w:t>
            </w:r>
            <w:r w:rsidR="00D21D59">
              <w:rPr>
                <w:bCs/>
                <w:spacing w:val="-3"/>
                <w:sz w:val="20"/>
                <w:szCs w:val="20"/>
                <w:lang w:val="fr-FR"/>
              </w:rPr>
              <w:t xml:space="preserve"> </w:t>
            </w:r>
            <w:r w:rsidR="004A50C1">
              <w:rPr>
                <w:bCs/>
                <w:spacing w:val="-3"/>
                <w:sz w:val="20"/>
                <w:szCs w:val="20"/>
                <w:lang w:val="fr-FR"/>
              </w:rPr>
              <w:t>1</w:t>
            </w:r>
            <w:r w:rsidR="00D21D59">
              <w:rPr>
                <w:bCs/>
                <w:spacing w:val="-3"/>
                <w:sz w:val="20"/>
                <w:szCs w:val="20"/>
                <w:lang w:val="fr-FR"/>
              </w:rPr>
              <w:t> :</w:t>
            </w:r>
            <w:r w:rsidR="001F3C57">
              <w:rPr>
                <w:bCs/>
                <w:spacing w:val="-3"/>
                <w:sz w:val="20"/>
                <w:szCs w:val="20"/>
                <w:lang w:val="fr-FR"/>
              </w:rPr>
              <w:t xml:space="preserve"> </w:t>
            </w:r>
            <w:r w:rsidR="004A50C1" w:rsidRPr="00A55434">
              <w:rPr>
                <w:spacing w:val="-3"/>
                <w:sz w:val="20"/>
                <w:szCs w:val="20"/>
                <w:lang w:val="fr-FR"/>
              </w:rPr>
              <w:t>T</w:t>
            </w:r>
            <w:r w:rsidR="004A50C1">
              <w:rPr>
                <w:spacing w:val="-3"/>
                <w:sz w:val="20"/>
                <w:szCs w:val="20"/>
                <w:lang w:val="fr-FR"/>
              </w:rPr>
              <w:t>afire</w:t>
            </w:r>
            <w:r w:rsidR="001F3C57" w:rsidRPr="00A55434">
              <w:rPr>
                <w:spacing w:val="-3"/>
                <w:sz w:val="20"/>
                <w:szCs w:val="20"/>
                <w:lang w:val="fr-FR"/>
              </w:rPr>
              <w:t>-K</w:t>
            </w:r>
            <w:r w:rsidR="004A50C1">
              <w:rPr>
                <w:spacing w:val="-3"/>
                <w:sz w:val="20"/>
                <w:szCs w:val="20"/>
                <w:lang w:val="fr-FR"/>
              </w:rPr>
              <w:t>ouroukouna</w:t>
            </w:r>
            <w:r w:rsidR="001F3C57" w:rsidRPr="00A55434">
              <w:rPr>
                <w:spacing w:val="-3"/>
                <w:sz w:val="20"/>
                <w:szCs w:val="20"/>
                <w:lang w:val="fr-FR"/>
              </w:rPr>
              <w:t xml:space="preserve"> (</w:t>
            </w:r>
            <w:r w:rsidR="004A50C1">
              <w:rPr>
                <w:spacing w:val="-3"/>
                <w:sz w:val="20"/>
                <w:szCs w:val="20"/>
                <w:lang w:val="fr-FR"/>
              </w:rPr>
              <w:t>29</w:t>
            </w:r>
            <w:r w:rsidR="001F3C57" w:rsidRPr="00A55434">
              <w:rPr>
                <w:spacing w:val="-3"/>
                <w:sz w:val="20"/>
                <w:szCs w:val="20"/>
                <w:lang w:val="fr-FR"/>
              </w:rPr>
              <w:t xml:space="preserve"> km)</w:t>
            </w:r>
            <w:r w:rsidR="001F3C57">
              <w:rPr>
                <w:spacing w:val="-3"/>
                <w:sz w:val="20"/>
                <w:szCs w:val="20"/>
                <w:lang w:val="fr-FR"/>
              </w:rPr>
              <w:t> ;</w:t>
            </w:r>
          </w:p>
          <w:p w14:paraId="51E07DFB" w14:textId="7693710A" w:rsidR="009A133E" w:rsidRPr="009A133E" w:rsidRDefault="00D21D59" w:rsidP="009A133E">
            <w:pPr>
              <w:pStyle w:val="Paragraphedeliste"/>
              <w:numPr>
                <w:ilvl w:val="0"/>
                <w:numId w:val="2"/>
              </w:numPr>
              <w:tabs>
                <w:tab w:val="left" w:pos="-720"/>
              </w:tabs>
              <w:suppressAutoHyphens/>
              <w:spacing w:before="120" w:after="120"/>
              <w:jc w:val="both"/>
              <w:rPr>
                <w:bCs/>
                <w:spacing w:val="-3"/>
                <w:sz w:val="20"/>
                <w:szCs w:val="20"/>
                <w:lang w:val="fr-FR"/>
              </w:rPr>
            </w:pPr>
            <w:r>
              <w:rPr>
                <w:bCs/>
                <w:spacing w:val="-3"/>
                <w:sz w:val="20"/>
                <w:szCs w:val="20"/>
                <w:lang w:val="fr-FR"/>
              </w:rPr>
              <w:t xml:space="preserve">Travaux de Génie civil – Lot </w:t>
            </w:r>
            <w:r w:rsidR="004A50C1">
              <w:rPr>
                <w:bCs/>
                <w:spacing w:val="-3"/>
                <w:sz w:val="20"/>
                <w:szCs w:val="20"/>
                <w:lang w:val="fr-FR"/>
              </w:rPr>
              <w:t>2</w:t>
            </w:r>
            <w:r>
              <w:rPr>
                <w:bCs/>
                <w:spacing w:val="-3"/>
                <w:sz w:val="20"/>
                <w:szCs w:val="20"/>
                <w:lang w:val="fr-FR"/>
              </w:rPr>
              <w:t> :</w:t>
            </w:r>
            <w:r w:rsidR="00927D17">
              <w:rPr>
                <w:bCs/>
                <w:spacing w:val="-3"/>
                <w:sz w:val="20"/>
                <w:szCs w:val="20"/>
                <w:lang w:val="fr-FR"/>
              </w:rPr>
              <w:t xml:space="preserve"> </w:t>
            </w:r>
            <w:r w:rsidR="00927D17" w:rsidRPr="00A55434">
              <w:rPr>
                <w:spacing w:val="-3"/>
                <w:sz w:val="20"/>
                <w:szCs w:val="20"/>
                <w:lang w:val="fr-FR"/>
              </w:rPr>
              <w:t>K</w:t>
            </w:r>
            <w:r w:rsidR="004A50C1">
              <w:rPr>
                <w:spacing w:val="-3"/>
                <w:sz w:val="20"/>
                <w:szCs w:val="20"/>
                <w:lang w:val="fr-FR"/>
              </w:rPr>
              <w:t>ouroukouna</w:t>
            </w:r>
            <w:r w:rsidR="00927D17" w:rsidRPr="00A55434">
              <w:rPr>
                <w:spacing w:val="-3"/>
                <w:sz w:val="20"/>
                <w:szCs w:val="20"/>
                <w:lang w:val="fr-FR"/>
              </w:rPr>
              <w:t>-</w:t>
            </w:r>
            <w:r w:rsidR="004A50C1">
              <w:rPr>
                <w:spacing w:val="-3"/>
                <w:sz w:val="20"/>
                <w:szCs w:val="20"/>
                <w:lang w:val="fr-FR"/>
              </w:rPr>
              <w:t>Ferkessédougou</w:t>
            </w:r>
            <w:r w:rsidR="00927D17" w:rsidRPr="00A55434">
              <w:rPr>
                <w:spacing w:val="-3"/>
                <w:sz w:val="20"/>
                <w:szCs w:val="20"/>
                <w:lang w:val="fr-FR"/>
              </w:rPr>
              <w:t xml:space="preserve"> (</w:t>
            </w:r>
            <w:r w:rsidR="004A50C1">
              <w:rPr>
                <w:spacing w:val="-3"/>
                <w:sz w:val="20"/>
                <w:szCs w:val="20"/>
                <w:lang w:val="fr-FR"/>
              </w:rPr>
              <w:t>29</w:t>
            </w:r>
            <w:r w:rsidR="00927D17" w:rsidRPr="00A55434">
              <w:rPr>
                <w:spacing w:val="-3"/>
                <w:sz w:val="20"/>
                <w:szCs w:val="20"/>
                <w:lang w:val="fr-FR"/>
              </w:rPr>
              <w:t xml:space="preserve"> km).  </w:t>
            </w:r>
          </w:p>
          <w:p w14:paraId="2A88EEF5" w14:textId="5E87EE79" w:rsidR="00A41B6F" w:rsidRPr="00A41B6F" w:rsidRDefault="00A41B6F" w:rsidP="00A41B6F">
            <w:pPr>
              <w:tabs>
                <w:tab w:val="left" w:pos="-720"/>
              </w:tabs>
              <w:suppressAutoHyphens/>
              <w:spacing w:before="120" w:after="120"/>
              <w:jc w:val="both"/>
              <w:rPr>
                <w:bCs/>
                <w:spacing w:val="-3"/>
                <w:sz w:val="20"/>
                <w:szCs w:val="20"/>
                <w:lang w:val="fr-FR"/>
              </w:rPr>
            </w:pPr>
            <w:r w:rsidRPr="00A41B6F">
              <w:rPr>
                <w:bCs/>
                <w:spacing w:val="-3"/>
                <w:sz w:val="20"/>
                <w:szCs w:val="20"/>
                <w:lang w:val="fr-FR"/>
              </w:rPr>
              <w:t>Les candidats intéressés et éligibles, qui souhaitent être considérés pour la fourniture de biens, travaux et services de consultants pour le projet, ou qui désirent obtenir des informations additionnelles, sont invités à contacter le Bénéficiaire à l’adresse ci-</w:t>
            </w:r>
            <w:r w:rsidR="004A50C1" w:rsidRPr="00A41B6F">
              <w:rPr>
                <w:bCs/>
                <w:spacing w:val="-3"/>
                <w:sz w:val="20"/>
                <w:szCs w:val="20"/>
                <w:lang w:val="fr-FR"/>
              </w:rPr>
              <w:t>dessous :</w:t>
            </w:r>
          </w:p>
          <w:p w14:paraId="6148301D" w14:textId="03DB7225" w:rsidR="009E4EA7" w:rsidRPr="00A55434" w:rsidRDefault="009E4EA7" w:rsidP="0021244B">
            <w:pPr>
              <w:tabs>
                <w:tab w:val="left" w:pos="-720"/>
              </w:tabs>
              <w:suppressAutoHyphens/>
              <w:spacing w:before="120" w:after="120"/>
              <w:rPr>
                <w:b/>
                <w:spacing w:val="-3"/>
                <w:sz w:val="20"/>
                <w:szCs w:val="20"/>
                <w:lang w:val="fr-FR"/>
              </w:rPr>
            </w:pPr>
            <w:r w:rsidRPr="00A55434">
              <w:rPr>
                <w:b/>
                <w:spacing w:val="-3"/>
                <w:sz w:val="20"/>
                <w:szCs w:val="20"/>
                <w:lang w:val="fr-FR"/>
              </w:rPr>
              <w:t xml:space="preserve">Nom de l’Organisme : </w:t>
            </w:r>
            <w:r w:rsidRPr="00A55434">
              <w:rPr>
                <w:bCs/>
                <w:spacing w:val="-3"/>
                <w:sz w:val="20"/>
                <w:szCs w:val="20"/>
                <w:lang w:val="fr-FR"/>
              </w:rPr>
              <w:t>Agence de Gestion des Routes (AGEROUTE)</w:t>
            </w:r>
            <w:r w:rsidR="006111FA">
              <w:rPr>
                <w:bCs/>
                <w:spacing w:val="-3"/>
                <w:sz w:val="20"/>
                <w:szCs w:val="20"/>
                <w:lang w:val="fr-FR"/>
              </w:rPr>
              <w:t xml:space="preserve"> -</w:t>
            </w:r>
            <w:r w:rsidR="00942799">
              <w:rPr>
                <w:bCs/>
                <w:spacing w:val="-3"/>
                <w:sz w:val="20"/>
                <w:szCs w:val="20"/>
                <w:lang w:val="fr-FR"/>
              </w:rPr>
              <w:t xml:space="preserve"> Unité de Gestion des projets de la Banque Islamique de développement (UGPBID)</w:t>
            </w:r>
          </w:p>
          <w:p w14:paraId="296AB8B4" w14:textId="730B2476" w:rsidR="009E4EA7" w:rsidRPr="00A55434" w:rsidRDefault="009E4EA7" w:rsidP="0021244B">
            <w:pPr>
              <w:tabs>
                <w:tab w:val="left" w:pos="-720"/>
              </w:tabs>
              <w:suppressAutoHyphens/>
              <w:spacing w:before="120" w:after="120"/>
              <w:rPr>
                <w:bCs/>
                <w:spacing w:val="-3"/>
                <w:sz w:val="20"/>
                <w:szCs w:val="20"/>
                <w:lang w:val="fr-FR"/>
              </w:rPr>
            </w:pPr>
            <w:r w:rsidRPr="00A55434">
              <w:rPr>
                <w:b/>
                <w:spacing w:val="-3"/>
                <w:sz w:val="20"/>
                <w:szCs w:val="20"/>
                <w:lang w:val="fr-FR"/>
              </w:rPr>
              <w:t xml:space="preserve">Nom de la personne à contacter : </w:t>
            </w:r>
            <w:r w:rsidR="00A40AB2" w:rsidRPr="00A55434">
              <w:rPr>
                <w:bCs/>
                <w:spacing w:val="-3"/>
                <w:sz w:val="20"/>
                <w:szCs w:val="20"/>
                <w:lang w:val="fr-FR"/>
              </w:rPr>
              <w:t>OUATTARA Allahmadogo Siriki</w:t>
            </w:r>
          </w:p>
          <w:p w14:paraId="7E3CA801" w14:textId="7C92C35F" w:rsidR="009E4EA7" w:rsidRPr="00A55434" w:rsidRDefault="009E4EA7" w:rsidP="0021244B">
            <w:pPr>
              <w:tabs>
                <w:tab w:val="left" w:pos="-720"/>
              </w:tabs>
              <w:suppressAutoHyphens/>
              <w:spacing w:before="120" w:after="120"/>
              <w:rPr>
                <w:b/>
                <w:spacing w:val="-3"/>
                <w:sz w:val="20"/>
                <w:szCs w:val="20"/>
                <w:lang w:val="fr-FR"/>
              </w:rPr>
            </w:pPr>
            <w:r w:rsidRPr="00A55434">
              <w:rPr>
                <w:b/>
                <w:spacing w:val="-3"/>
                <w:sz w:val="20"/>
                <w:szCs w:val="20"/>
                <w:lang w:val="fr-FR"/>
              </w:rPr>
              <w:t xml:space="preserve">Titre/fonction de la personne à contacter : </w:t>
            </w:r>
            <w:r w:rsidR="00A40AB2" w:rsidRPr="00A55434">
              <w:rPr>
                <w:bCs/>
                <w:spacing w:val="-3"/>
                <w:sz w:val="20"/>
                <w:szCs w:val="20"/>
                <w:lang w:val="fr-FR"/>
              </w:rPr>
              <w:t>Coordonnateur des projets BID à l’AGEROUTE</w:t>
            </w:r>
          </w:p>
          <w:p w14:paraId="76122B61" w14:textId="77777777" w:rsidR="00A55434" w:rsidRPr="00A55434" w:rsidRDefault="009E4EA7" w:rsidP="0021244B">
            <w:pPr>
              <w:tabs>
                <w:tab w:val="left" w:pos="-720"/>
              </w:tabs>
              <w:suppressAutoHyphens/>
              <w:spacing w:before="120" w:after="120"/>
              <w:rPr>
                <w:b/>
                <w:spacing w:val="-3"/>
                <w:sz w:val="20"/>
                <w:szCs w:val="20"/>
                <w:lang w:val="fr-FR"/>
              </w:rPr>
            </w:pPr>
            <w:r w:rsidRPr="00A55434">
              <w:rPr>
                <w:b/>
                <w:bCs/>
                <w:spacing w:val="-3"/>
                <w:sz w:val="20"/>
                <w:szCs w:val="20"/>
                <w:lang w:val="fr-FR"/>
              </w:rPr>
              <w:t>Numéro</w:t>
            </w:r>
            <w:r w:rsidRPr="00A55434">
              <w:rPr>
                <w:b/>
                <w:spacing w:val="-3"/>
                <w:sz w:val="20"/>
                <w:szCs w:val="20"/>
                <w:lang w:val="fr-FR"/>
              </w:rPr>
              <w:t xml:space="preserve"> Téléphone : </w:t>
            </w:r>
            <w:r w:rsidR="00A55434" w:rsidRPr="00A55434">
              <w:rPr>
                <w:spacing w:val="-3"/>
                <w:sz w:val="20"/>
                <w:szCs w:val="20"/>
                <w:lang w:val="fr-FR"/>
              </w:rPr>
              <w:t>(+225) 05 05 96 97 57/ 07 49 12 98 90</w:t>
            </w:r>
          </w:p>
          <w:p w14:paraId="2012C3FA" w14:textId="77777777" w:rsidR="009E4EA7" w:rsidRPr="00A55434" w:rsidRDefault="009E4EA7" w:rsidP="0021244B">
            <w:pPr>
              <w:pStyle w:val="Paragraphedeliste"/>
              <w:tabs>
                <w:tab w:val="right" w:pos="7254"/>
              </w:tabs>
              <w:ind w:left="0"/>
              <w:rPr>
                <w:spacing w:val="-3"/>
                <w:sz w:val="20"/>
                <w:szCs w:val="20"/>
                <w:lang w:val="fr-FR"/>
              </w:rPr>
            </w:pPr>
            <w:r w:rsidRPr="00A55434">
              <w:rPr>
                <w:b/>
                <w:bCs/>
                <w:spacing w:val="-3"/>
                <w:sz w:val="20"/>
                <w:szCs w:val="20"/>
                <w:lang w:val="fr-FR"/>
              </w:rPr>
              <w:t>Numéro de télécopie</w:t>
            </w:r>
            <w:r w:rsidRPr="00A55434">
              <w:rPr>
                <w:spacing w:val="-3"/>
                <w:sz w:val="20"/>
                <w:szCs w:val="20"/>
                <w:lang w:val="fr-FR"/>
              </w:rPr>
              <w:t> : (+225) 27 20 25 10 23</w:t>
            </w:r>
          </w:p>
          <w:p w14:paraId="0AF512FC" w14:textId="77777777" w:rsidR="009E4EA7" w:rsidRPr="00A55434" w:rsidRDefault="009E4EA7" w:rsidP="0021244B">
            <w:pPr>
              <w:pStyle w:val="Paragraphedeliste"/>
              <w:tabs>
                <w:tab w:val="right" w:pos="7254"/>
              </w:tabs>
              <w:ind w:left="0"/>
              <w:rPr>
                <w:spacing w:val="-3"/>
                <w:sz w:val="10"/>
                <w:szCs w:val="10"/>
                <w:lang w:val="fr-FR"/>
              </w:rPr>
            </w:pPr>
          </w:p>
          <w:p w14:paraId="76E5F3C2" w14:textId="77777777" w:rsidR="009E4EA7" w:rsidRPr="00A55434" w:rsidRDefault="009E4EA7" w:rsidP="0021244B">
            <w:pPr>
              <w:pStyle w:val="Paragraphedeliste"/>
              <w:tabs>
                <w:tab w:val="right" w:pos="7254"/>
              </w:tabs>
              <w:ind w:left="0"/>
              <w:rPr>
                <w:spacing w:val="-3"/>
                <w:sz w:val="20"/>
                <w:szCs w:val="20"/>
                <w:lang w:val="fr-FR"/>
              </w:rPr>
            </w:pPr>
            <w:r w:rsidRPr="00A55434">
              <w:rPr>
                <w:b/>
                <w:bCs/>
                <w:spacing w:val="-3"/>
                <w:sz w:val="20"/>
                <w:szCs w:val="20"/>
                <w:lang w:val="fr-FR"/>
              </w:rPr>
              <w:t>Site web :</w:t>
            </w:r>
            <w:r w:rsidRPr="00A55434">
              <w:rPr>
                <w:spacing w:val="-3"/>
                <w:sz w:val="20"/>
                <w:szCs w:val="20"/>
                <w:lang w:val="fr-FR"/>
              </w:rPr>
              <w:t xml:space="preserve"> www.ageroute.ci</w:t>
            </w:r>
          </w:p>
          <w:p w14:paraId="6EC54BBD" w14:textId="3BAC7160" w:rsidR="009E4EA7" w:rsidRPr="00A55434" w:rsidRDefault="009E4EA7" w:rsidP="0021244B">
            <w:pPr>
              <w:tabs>
                <w:tab w:val="left" w:pos="-720"/>
              </w:tabs>
              <w:suppressAutoHyphens/>
              <w:spacing w:before="120" w:after="120"/>
              <w:rPr>
                <w:b/>
                <w:spacing w:val="-3"/>
                <w:sz w:val="20"/>
                <w:szCs w:val="20"/>
                <w:lang w:val="fr-FR"/>
              </w:rPr>
            </w:pPr>
            <w:r w:rsidRPr="00A55434">
              <w:rPr>
                <w:b/>
                <w:spacing w:val="-3"/>
                <w:sz w:val="20"/>
                <w:szCs w:val="20"/>
                <w:lang w:val="fr-FR"/>
              </w:rPr>
              <w:t>Courriel </w:t>
            </w:r>
            <w:r w:rsidRPr="00A55434">
              <w:rPr>
                <w:bCs/>
                <w:spacing w:val="-3"/>
                <w:sz w:val="20"/>
                <w:szCs w:val="20"/>
                <w:lang w:val="fr-FR"/>
              </w:rPr>
              <w:t xml:space="preserve">: </w:t>
            </w:r>
            <w:hyperlink r:id="rId8" w:history="1">
              <w:r w:rsidR="00A55434" w:rsidRPr="00A55434">
                <w:rPr>
                  <w:rStyle w:val="Lienhypertexte"/>
                  <w:sz w:val="22"/>
                  <w:szCs w:val="22"/>
                  <w:lang w:val="fr-FR"/>
                </w:rPr>
                <w:t>siouattara@ageroute.ci</w:t>
              </w:r>
            </w:hyperlink>
            <w:r w:rsidR="00A55434" w:rsidRPr="00A55434">
              <w:rPr>
                <w:sz w:val="22"/>
                <w:szCs w:val="22"/>
                <w:lang w:val="fr-FR"/>
              </w:rPr>
              <w:t xml:space="preserve"> ; copie : </w:t>
            </w:r>
            <w:hyperlink r:id="rId9" w:history="1">
              <w:r w:rsidR="00A55434" w:rsidRPr="00A55434">
                <w:rPr>
                  <w:rStyle w:val="Lienhypertexte"/>
                  <w:sz w:val="22"/>
                  <w:szCs w:val="22"/>
                  <w:lang w:val="fr-FR"/>
                </w:rPr>
                <w:t>lameite@ageroute.ci</w:t>
              </w:r>
            </w:hyperlink>
            <w:r w:rsidR="00A55434" w:rsidRPr="00A55434">
              <w:rPr>
                <w:sz w:val="22"/>
                <w:szCs w:val="22"/>
                <w:lang w:val="fr-FR"/>
              </w:rPr>
              <w:t xml:space="preserve"> ; </w:t>
            </w:r>
            <w:hyperlink r:id="rId10" w:history="1">
              <w:r w:rsidR="00A55434" w:rsidRPr="00A55434">
                <w:rPr>
                  <w:rStyle w:val="Lienhypertexte"/>
                  <w:sz w:val="22"/>
                  <w:szCs w:val="22"/>
                  <w:lang w:val="fr-FR"/>
                </w:rPr>
                <w:t>vaedoukou@ageroute.ci</w:t>
              </w:r>
            </w:hyperlink>
          </w:p>
          <w:p w14:paraId="21F79204" w14:textId="0D82AF84" w:rsidR="009E4EA7" w:rsidRPr="00A55434" w:rsidRDefault="009E4EA7" w:rsidP="001573E9">
            <w:pPr>
              <w:tabs>
                <w:tab w:val="left" w:pos="-720"/>
              </w:tabs>
              <w:suppressAutoHyphens/>
              <w:spacing w:before="120" w:after="120"/>
              <w:jc w:val="center"/>
              <w:rPr>
                <w:sz w:val="20"/>
                <w:szCs w:val="20"/>
                <w:lang w:val="fr-FR"/>
              </w:rPr>
            </w:pPr>
          </w:p>
          <w:p w14:paraId="31A95CC6" w14:textId="77777777" w:rsidR="009E4EA7" w:rsidRPr="00A55434" w:rsidRDefault="009E4EA7" w:rsidP="001573E9">
            <w:pPr>
              <w:jc w:val="center"/>
              <w:rPr>
                <w:sz w:val="20"/>
                <w:szCs w:val="20"/>
                <w:lang w:val="fr-FR"/>
              </w:rPr>
            </w:pPr>
          </w:p>
        </w:tc>
      </w:tr>
      <w:tr w:rsidR="0079036B" w:rsidRPr="00A55434" w14:paraId="51F41080" w14:textId="77777777" w:rsidTr="005E6EBD">
        <w:trPr>
          <w:gridBefore w:val="1"/>
          <w:wBefore w:w="34" w:type="dxa"/>
          <w:trHeight w:val="762"/>
        </w:trPr>
        <w:tc>
          <w:tcPr>
            <w:tcW w:w="396" w:type="dxa"/>
          </w:tcPr>
          <w:p w14:paraId="3CC29D9A" w14:textId="77777777" w:rsidR="0079036B" w:rsidRPr="00A55434" w:rsidRDefault="0079036B" w:rsidP="00F10BC4">
            <w:pPr>
              <w:jc w:val="both"/>
              <w:rPr>
                <w:sz w:val="20"/>
                <w:szCs w:val="20"/>
                <w:lang w:val="fr-FR"/>
              </w:rPr>
            </w:pPr>
          </w:p>
        </w:tc>
        <w:tc>
          <w:tcPr>
            <w:tcW w:w="9493" w:type="dxa"/>
            <w:gridSpan w:val="3"/>
          </w:tcPr>
          <w:p w14:paraId="1124F5BD" w14:textId="77777777" w:rsidR="0079036B" w:rsidRPr="00A55434" w:rsidRDefault="0079036B" w:rsidP="00F10BC4">
            <w:pPr>
              <w:spacing w:before="240"/>
              <w:jc w:val="both"/>
              <w:rPr>
                <w:b/>
                <w:bCs/>
                <w:spacing w:val="-3"/>
                <w:sz w:val="20"/>
                <w:szCs w:val="20"/>
                <w:u w:val="single"/>
                <w:lang w:val="fr-FR"/>
              </w:rPr>
            </w:pPr>
          </w:p>
        </w:tc>
      </w:tr>
    </w:tbl>
    <w:p w14:paraId="258EA6F9" w14:textId="77777777" w:rsidR="009E4EA7" w:rsidRPr="00A55434" w:rsidRDefault="009E4EA7">
      <w:pPr>
        <w:rPr>
          <w:lang w:val="fr-FR"/>
        </w:rPr>
      </w:pPr>
    </w:p>
    <w:sectPr w:rsidR="009E4EA7" w:rsidRPr="00A55434" w:rsidSect="003C56CE">
      <w:footerReference w:type="default" r:id="rId11"/>
      <w:pgSz w:w="11906" w:h="16838" w:code="9"/>
      <w:pgMar w:top="425" w:right="992" w:bottom="567" w:left="964"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A3F3" w14:textId="77777777" w:rsidR="00F4411A" w:rsidRDefault="00F4411A">
      <w:r>
        <w:separator/>
      </w:r>
    </w:p>
  </w:endnote>
  <w:endnote w:type="continuationSeparator" w:id="0">
    <w:p w14:paraId="29D53FC6" w14:textId="77777777" w:rsidR="00F4411A" w:rsidRDefault="00F4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7558234"/>
      <w:docPartObj>
        <w:docPartGallery w:val="Page Numbers (Bottom of Page)"/>
        <w:docPartUnique/>
      </w:docPartObj>
    </w:sdtPr>
    <w:sdtContent>
      <w:sdt>
        <w:sdtPr>
          <w:id w:val="1728636285"/>
          <w:docPartObj>
            <w:docPartGallery w:val="Page Numbers (Top of Page)"/>
            <w:docPartUnique/>
          </w:docPartObj>
        </w:sdtPr>
        <w:sdtContent>
          <w:p w14:paraId="470E6055" w14:textId="19091487" w:rsidR="007E7EE8" w:rsidRDefault="00C10F54" w:rsidP="00CD3CE1">
            <w:pPr>
              <w:pStyle w:val="Pieddepage"/>
              <w:pBdr>
                <w:top w:val="single" w:sz="4" w:space="1" w:color="auto"/>
              </w:pBdr>
              <w:jc w:val="center"/>
            </w:pPr>
            <w:r>
              <w:rPr>
                <w:lang w:val="fr-FR"/>
              </w:rPr>
              <w:t xml:space="preserve">Page </w:t>
            </w:r>
            <w:r>
              <w:rPr>
                <w:b/>
                <w:bCs/>
              </w:rPr>
              <w:fldChar w:fldCharType="begin"/>
            </w:r>
            <w:r>
              <w:rPr>
                <w:b/>
                <w:bCs/>
              </w:rPr>
              <w:instrText>PAGE</w:instrText>
            </w:r>
            <w:r>
              <w:rPr>
                <w:b/>
                <w:bCs/>
              </w:rPr>
              <w:fldChar w:fldCharType="separate"/>
            </w:r>
            <w:r w:rsidR="00DC7636">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DC7636">
              <w:rPr>
                <w:b/>
                <w:bCs/>
                <w:noProof/>
              </w:rPr>
              <w:t>3</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271A" w14:textId="77777777" w:rsidR="00F4411A" w:rsidRDefault="00F4411A">
      <w:r>
        <w:separator/>
      </w:r>
    </w:p>
  </w:footnote>
  <w:footnote w:type="continuationSeparator" w:id="0">
    <w:p w14:paraId="35477A91" w14:textId="77777777" w:rsidR="00F4411A" w:rsidRDefault="00F4411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8z2ekCKnrhas2" int2:id="mh93Gu6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BED"/>
    <w:multiLevelType w:val="hybridMultilevel"/>
    <w:tmpl w:val="ED36C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4846FA"/>
    <w:multiLevelType w:val="hybridMultilevel"/>
    <w:tmpl w:val="F8B01FA0"/>
    <w:lvl w:ilvl="0" w:tplc="20D619CC">
      <w:start w:val="1"/>
      <w:numFmt w:val="lowerRoman"/>
      <w:lvlText w:val="(%1)"/>
      <w:lvlJc w:val="left"/>
      <w:pPr>
        <w:ind w:left="2834" w:hanging="768"/>
      </w:pPr>
      <w:rPr>
        <w:rFonts w:hint="default"/>
      </w:rPr>
    </w:lvl>
    <w:lvl w:ilvl="1" w:tplc="04090019" w:tentative="1">
      <w:start w:val="1"/>
      <w:numFmt w:val="lowerLetter"/>
      <w:lvlText w:val="%2."/>
      <w:lvlJc w:val="left"/>
      <w:pPr>
        <w:ind w:left="3146" w:hanging="360"/>
      </w:pPr>
    </w:lvl>
    <w:lvl w:ilvl="2" w:tplc="0409001B" w:tentative="1">
      <w:start w:val="1"/>
      <w:numFmt w:val="lowerRoman"/>
      <w:lvlText w:val="%3."/>
      <w:lvlJc w:val="right"/>
      <w:pPr>
        <w:ind w:left="3866" w:hanging="180"/>
      </w:pPr>
    </w:lvl>
    <w:lvl w:ilvl="3" w:tplc="0409000F" w:tentative="1">
      <w:start w:val="1"/>
      <w:numFmt w:val="decimal"/>
      <w:lvlText w:val="%4."/>
      <w:lvlJc w:val="left"/>
      <w:pPr>
        <w:ind w:left="4586" w:hanging="360"/>
      </w:pPr>
    </w:lvl>
    <w:lvl w:ilvl="4" w:tplc="04090019" w:tentative="1">
      <w:start w:val="1"/>
      <w:numFmt w:val="lowerLetter"/>
      <w:lvlText w:val="%5."/>
      <w:lvlJc w:val="left"/>
      <w:pPr>
        <w:ind w:left="5306" w:hanging="360"/>
      </w:pPr>
    </w:lvl>
    <w:lvl w:ilvl="5" w:tplc="0409001B" w:tentative="1">
      <w:start w:val="1"/>
      <w:numFmt w:val="lowerRoman"/>
      <w:lvlText w:val="%6."/>
      <w:lvlJc w:val="right"/>
      <w:pPr>
        <w:ind w:left="6026" w:hanging="180"/>
      </w:pPr>
    </w:lvl>
    <w:lvl w:ilvl="6" w:tplc="0409000F" w:tentative="1">
      <w:start w:val="1"/>
      <w:numFmt w:val="decimal"/>
      <w:lvlText w:val="%7."/>
      <w:lvlJc w:val="left"/>
      <w:pPr>
        <w:ind w:left="6746" w:hanging="360"/>
      </w:pPr>
    </w:lvl>
    <w:lvl w:ilvl="7" w:tplc="04090019" w:tentative="1">
      <w:start w:val="1"/>
      <w:numFmt w:val="lowerLetter"/>
      <w:lvlText w:val="%8."/>
      <w:lvlJc w:val="left"/>
      <w:pPr>
        <w:ind w:left="7466" w:hanging="360"/>
      </w:pPr>
    </w:lvl>
    <w:lvl w:ilvl="8" w:tplc="0409001B" w:tentative="1">
      <w:start w:val="1"/>
      <w:numFmt w:val="lowerRoman"/>
      <w:lvlText w:val="%9."/>
      <w:lvlJc w:val="right"/>
      <w:pPr>
        <w:ind w:left="8186" w:hanging="180"/>
      </w:pPr>
    </w:lvl>
  </w:abstractNum>
  <w:abstractNum w:abstractNumId="2" w15:restartNumberingAfterBreak="0">
    <w:nsid w:val="1FC049EC"/>
    <w:multiLevelType w:val="hybridMultilevel"/>
    <w:tmpl w:val="EAE4CBC0"/>
    <w:lvl w:ilvl="0" w:tplc="300C92E6">
      <w:numFmt w:val="bullet"/>
      <w:lvlText w:val="-"/>
      <w:lvlJc w:val="left"/>
      <w:pPr>
        <w:ind w:left="720" w:hanging="360"/>
      </w:pPr>
      <w:rPr>
        <w:rFonts w:ascii="Calibri" w:eastAsia="Calibri" w:hAnsi="Calibri" w:cs="Calibri"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2A1F2B"/>
    <w:multiLevelType w:val="hybridMultilevel"/>
    <w:tmpl w:val="E1762F30"/>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400D7608"/>
    <w:multiLevelType w:val="hybridMultilevel"/>
    <w:tmpl w:val="CF186764"/>
    <w:lvl w:ilvl="0" w:tplc="18283B4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2747CF"/>
    <w:multiLevelType w:val="hybridMultilevel"/>
    <w:tmpl w:val="4CCA499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B21881"/>
    <w:multiLevelType w:val="hybridMultilevel"/>
    <w:tmpl w:val="2066612A"/>
    <w:lvl w:ilvl="0" w:tplc="040C0005">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7" w15:restartNumberingAfterBreak="0">
    <w:nsid w:val="5DD46AA7"/>
    <w:multiLevelType w:val="hybridMultilevel"/>
    <w:tmpl w:val="8814F936"/>
    <w:lvl w:ilvl="0" w:tplc="300C000B">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8" w15:restartNumberingAfterBreak="0">
    <w:nsid w:val="672E0CFA"/>
    <w:multiLevelType w:val="hybridMultilevel"/>
    <w:tmpl w:val="D256CDF8"/>
    <w:lvl w:ilvl="0" w:tplc="23582E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F70B6"/>
    <w:multiLevelType w:val="hybridMultilevel"/>
    <w:tmpl w:val="38EAF0D6"/>
    <w:lvl w:ilvl="0" w:tplc="F7BC8E3C">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0" w15:restartNumberingAfterBreak="0">
    <w:nsid w:val="76AE3228"/>
    <w:multiLevelType w:val="hybridMultilevel"/>
    <w:tmpl w:val="B6A4675E"/>
    <w:lvl w:ilvl="0" w:tplc="18283B4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DB44F9"/>
    <w:multiLevelType w:val="hybridMultilevel"/>
    <w:tmpl w:val="68EEF116"/>
    <w:lvl w:ilvl="0" w:tplc="0409001B">
      <w:start w:val="1"/>
      <w:numFmt w:val="lowerRoman"/>
      <w:lvlText w:val="%1."/>
      <w:lvlJc w:val="right"/>
      <w:pPr>
        <w:ind w:left="2786" w:hanging="360"/>
      </w:pPr>
    </w:lvl>
    <w:lvl w:ilvl="1" w:tplc="04090019" w:tentative="1">
      <w:start w:val="1"/>
      <w:numFmt w:val="lowerLetter"/>
      <w:lvlText w:val="%2."/>
      <w:lvlJc w:val="left"/>
      <w:pPr>
        <w:ind w:left="3506" w:hanging="360"/>
      </w:pPr>
    </w:lvl>
    <w:lvl w:ilvl="2" w:tplc="0409001B" w:tentative="1">
      <w:start w:val="1"/>
      <w:numFmt w:val="lowerRoman"/>
      <w:lvlText w:val="%3."/>
      <w:lvlJc w:val="right"/>
      <w:pPr>
        <w:ind w:left="4226" w:hanging="180"/>
      </w:pPr>
    </w:lvl>
    <w:lvl w:ilvl="3" w:tplc="0409000F" w:tentative="1">
      <w:start w:val="1"/>
      <w:numFmt w:val="decimal"/>
      <w:lvlText w:val="%4."/>
      <w:lvlJc w:val="left"/>
      <w:pPr>
        <w:ind w:left="4946" w:hanging="360"/>
      </w:pPr>
    </w:lvl>
    <w:lvl w:ilvl="4" w:tplc="04090019" w:tentative="1">
      <w:start w:val="1"/>
      <w:numFmt w:val="lowerLetter"/>
      <w:lvlText w:val="%5."/>
      <w:lvlJc w:val="left"/>
      <w:pPr>
        <w:ind w:left="5666" w:hanging="360"/>
      </w:pPr>
    </w:lvl>
    <w:lvl w:ilvl="5" w:tplc="0409001B" w:tentative="1">
      <w:start w:val="1"/>
      <w:numFmt w:val="lowerRoman"/>
      <w:lvlText w:val="%6."/>
      <w:lvlJc w:val="right"/>
      <w:pPr>
        <w:ind w:left="6386" w:hanging="180"/>
      </w:pPr>
    </w:lvl>
    <w:lvl w:ilvl="6" w:tplc="0409000F" w:tentative="1">
      <w:start w:val="1"/>
      <w:numFmt w:val="decimal"/>
      <w:lvlText w:val="%7."/>
      <w:lvlJc w:val="left"/>
      <w:pPr>
        <w:ind w:left="7106" w:hanging="360"/>
      </w:pPr>
    </w:lvl>
    <w:lvl w:ilvl="7" w:tplc="04090019" w:tentative="1">
      <w:start w:val="1"/>
      <w:numFmt w:val="lowerLetter"/>
      <w:lvlText w:val="%8."/>
      <w:lvlJc w:val="left"/>
      <w:pPr>
        <w:ind w:left="7826" w:hanging="360"/>
      </w:pPr>
    </w:lvl>
    <w:lvl w:ilvl="8" w:tplc="0409001B" w:tentative="1">
      <w:start w:val="1"/>
      <w:numFmt w:val="lowerRoman"/>
      <w:lvlText w:val="%9."/>
      <w:lvlJc w:val="right"/>
      <w:pPr>
        <w:ind w:left="8546" w:hanging="180"/>
      </w:pPr>
    </w:lvl>
  </w:abstractNum>
  <w:num w:numId="1" w16cid:durableId="369303794">
    <w:abstractNumId w:val="10"/>
  </w:num>
  <w:num w:numId="2" w16cid:durableId="266348468">
    <w:abstractNumId w:val="2"/>
  </w:num>
  <w:num w:numId="3" w16cid:durableId="557135136">
    <w:abstractNumId w:val="9"/>
  </w:num>
  <w:num w:numId="4" w16cid:durableId="1354571520">
    <w:abstractNumId w:val="6"/>
  </w:num>
  <w:num w:numId="5" w16cid:durableId="1687905453">
    <w:abstractNumId w:val="0"/>
  </w:num>
  <w:num w:numId="6" w16cid:durableId="1798059286">
    <w:abstractNumId w:val="8"/>
  </w:num>
  <w:num w:numId="7" w16cid:durableId="503594733">
    <w:abstractNumId w:val="4"/>
  </w:num>
  <w:num w:numId="8" w16cid:durableId="1747611738">
    <w:abstractNumId w:val="5"/>
  </w:num>
  <w:num w:numId="9" w16cid:durableId="1287810542">
    <w:abstractNumId w:val="11"/>
  </w:num>
  <w:num w:numId="10" w16cid:durableId="1778521172">
    <w:abstractNumId w:val="1"/>
  </w:num>
  <w:num w:numId="11" w16cid:durableId="2013213392">
    <w:abstractNumId w:val="3"/>
  </w:num>
  <w:num w:numId="12" w16cid:durableId="1510678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A7"/>
    <w:rsid w:val="00010578"/>
    <w:rsid w:val="00014ED1"/>
    <w:rsid w:val="00020FFD"/>
    <w:rsid w:val="00023C07"/>
    <w:rsid w:val="00026A0C"/>
    <w:rsid w:val="00043B66"/>
    <w:rsid w:val="00044157"/>
    <w:rsid w:val="00047F45"/>
    <w:rsid w:val="00073CB3"/>
    <w:rsid w:val="00085B4C"/>
    <w:rsid w:val="000A5FA3"/>
    <w:rsid w:val="000A7052"/>
    <w:rsid w:val="000B6143"/>
    <w:rsid w:val="000B732C"/>
    <w:rsid w:val="000C7E0A"/>
    <w:rsid w:val="000F6294"/>
    <w:rsid w:val="00107469"/>
    <w:rsid w:val="00136181"/>
    <w:rsid w:val="001573E9"/>
    <w:rsid w:val="0016506A"/>
    <w:rsid w:val="00167957"/>
    <w:rsid w:val="00167C75"/>
    <w:rsid w:val="001A15F9"/>
    <w:rsid w:val="001A75BD"/>
    <w:rsid w:val="001B640E"/>
    <w:rsid w:val="001D24A5"/>
    <w:rsid w:val="001E7A64"/>
    <w:rsid w:val="001F0514"/>
    <w:rsid w:val="001F20BD"/>
    <w:rsid w:val="001F3C57"/>
    <w:rsid w:val="0021244B"/>
    <w:rsid w:val="00216C28"/>
    <w:rsid w:val="00241B2F"/>
    <w:rsid w:val="002506D5"/>
    <w:rsid w:val="0026046B"/>
    <w:rsid w:val="00260980"/>
    <w:rsid w:val="00273860"/>
    <w:rsid w:val="00275305"/>
    <w:rsid w:val="0027710D"/>
    <w:rsid w:val="00290126"/>
    <w:rsid w:val="00294394"/>
    <w:rsid w:val="002B4472"/>
    <w:rsid w:val="002B5B32"/>
    <w:rsid w:val="002C2CE8"/>
    <w:rsid w:val="002C4AA4"/>
    <w:rsid w:val="002C57CD"/>
    <w:rsid w:val="002C5E23"/>
    <w:rsid w:val="002D1441"/>
    <w:rsid w:val="002D771F"/>
    <w:rsid w:val="002E00C8"/>
    <w:rsid w:val="002E231B"/>
    <w:rsid w:val="002E2CB4"/>
    <w:rsid w:val="002E30A4"/>
    <w:rsid w:val="002E69F1"/>
    <w:rsid w:val="002F7FBA"/>
    <w:rsid w:val="003145D5"/>
    <w:rsid w:val="003170EB"/>
    <w:rsid w:val="00321ABC"/>
    <w:rsid w:val="00327784"/>
    <w:rsid w:val="00333428"/>
    <w:rsid w:val="00363FE9"/>
    <w:rsid w:val="00375FE0"/>
    <w:rsid w:val="003772BF"/>
    <w:rsid w:val="00384A28"/>
    <w:rsid w:val="00395C1C"/>
    <w:rsid w:val="003A33D1"/>
    <w:rsid w:val="003A7F76"/>
    <w:rsid w:val="003B076D"/>
    <w:rsid w:val="003B1B6D"/>
    <w:rsid w:val="003C1B0D"/>
    <w:rsid w:val="003C56CE"/>
    <w:rsid w:val="003D7470"/>
    <w:rsid w:val="003E7E4E"/>
    <w:rsid w:val="003F7801"/>
    <w:rsid w:val="0040356B"/>
    <w:rsid w:val="00411C93"/>
    <w:rsid w:val="004138F7"/>
    <w:rsid w:val="00414187"/>
    <w:rsid w:val="00431F66"/>
    <w:rsid w:val="004467E7"/>
    <w:rsid w:val="004469E2"/>
    <w:rsid w:val="00451B31"/>
    <w:rsid w:val="00454C69"/>
    <w:rsid w:val="0045645E"/>
    <w:rsid w:val="0046687C"/>
    <w:rsid w:val="0047204C"/>
    <w:rsid w:val="00473CB9"/>
    <w:rsid w:val="00476C18"/>
    <w:rsid w:val="004855CE"/>
    <w:rsid w:val="004859F8"/>
    <w:rsid w:val="004A0E1C"/>
    <w:rsid w:val="004A50C1"/>
    <w:rsid w:val="004B0F5D"/>
    <w:rsid w:val="004B775D"/>
    <w:rsid w:val="004D3276"/>
    <w:rsid w:val="004E08B3"/>
    <w:rsid w:val="004E320A"/>
    <w:rsid w:val="004F750B"/>
    <w:rsid w:val="00500E5B"/>
    <w:rsid w:val="00501D67"/>
    <w:rsid w:val="0050509B"/>
    <w:rsid w:val="00511AD3"/>
    <w:rsid w:val="005231CB"/>
    <w:rsid w:val="0053000E"/>
    <w:rsid w:val="00536F35"/>
    <w:rsid w:val="005378D9"/>
    <w:rsid w:val="00545772"/>
    <w:rsid w:val="00574F15"/>
    <w:rsid w:val="00576CE3"/>
    <w:rsid w:val="00587695"/>
    <w:rsid w:val="005A3945"/>
    <w:rsid w:val="005D2D7E"/>
    <w:rsid w:val="005D720C"/>
    <w:rsid w:val="005E6EBD"/>
    <w:rsid w:val="006111FA"/>
    <w:rsid w:val="00612B43"/>
    <w:rsid w:val="00617D26"/>
    <w:rsid w:val="006247CE"/>
    <w:rsid w:val="00645739"/>
    <w:rsid w:val="00645F1F"/>
    <w:rsid w:val="00652598"/>
    <w:rsid w:val="0065738B"/>
    <w:rsid w:val="006575A8"/>
    <w:rsid w:val="00660365"/>
    <w:rsid w:val="00660640"/>
    <w:rsid w:val="00680C95"/>
    <w:rsid w:val="006945A5"/>
    <w:rsid w:val="006B6981"/>
    <w:rsid w:val="006E0854"/>
    <w:rsid w:val="006E387A"/>
    <w:rsid w:val="006F2C8C"/>
    <w:rsid w:val="00704BB2"/>
    <w:rsid w:val="00715E31"/>
    <w:rsid w:val="0076330E"/>
    <w:rsid w:val="007648C5"/>
    <w:rsid w:val="00766981"/>
    <w:rsid w:val="00766AAD"/>
    <w:rsid w:val="0077068A"/>
    <w:rsid w:val="007755AD"/>
    <w:rsid w:val="00777FA2"/>
    <w:rsid w:val="007801AB"/>
    <w:rsid w:val="00781570"/>
    <w:rsid w:val="0079036B"/>
    <w:rsid w:val="007929B4"/>
    <w:rsid w:val="007B284F"/>
    <w:rsid w:val="007B3095"/>
    <w:rsid w:val="007B3A7A"/>
    <w:rsid w:val="007C21B9"/>
    <w:rsid w:val="007C2D23"/>
    <w:rsid w:val="007E7EE8"/>
    <w:rsid w:val="007F0F51"/>
    <w:rsid w:val="00807767"/>
    <w:rsid w:val="008118C9"/>
    <w:rsid w:val="008343DA"/>
    <w:rsid w:val="008370A5"/>
    <w:rsid w:val="00845997"/>
    <w:rsid w:val="00851504"/>
    <w:rsid w:val="008569ED"/>
    <w:rsid w:val="00862434"/>
    <w:rsid w:val="00873585"/>
    <w:rsid w:val="00874A35"/>
    <w:rsid w:val="00884319"/>
    <w:rsid w:val="008A11EB"/>
    <w:rsid w:val="008A2C18"/>
    <w:rsid w:val="008A730D"/>
    <w:rsid w:val="008A795B"/>
    <w:rsid w:val="008C36CF"/>
    <w:rsid w:val="008D10F2"/>
    <w:rsid w:val="008E017C"/>
    <w:rsid w:val="00903A63"/>
    <w:rsid w:val="0091049A"/>
    <w:rsid w:val="00912F73"/>
    <w:rsid w:val="00914BC1"/>
    <w:rsid w:val="00927D17"/>
    <w:rsid w:val="00942799"/>
    <w:rsid w:val="00946B37"/>
    <w:rsid w:val="00950CD6"/>
    <w:rsid w:val="00977F32"/>
    <w:rsid w:val="00990A39"/>
    <w:rsid w:val="00992F98"/>
    <w:rsid w:val="009945FC"/>
    <w:rsid w:val="00997445"/>
    <w:rsid w:val="009A005C"/>
    <w:rsid w:val="009A133E"/>
    <w:rsid w:val="009A6F98"/>
    <w:rsid w:val="009C25E3"/>
    <w:rsid w:val="009D018B"/>
    <w:rsid w:val="009E458E"/>
    <w:rsid w:val="009E4EA7"/>
    <w:rsid w:val="009F7A2D"/>
    <w:rsid w:val="00A00754"/>
    <w:rsid w:val="00A06770"/>
    <w:rsid w:val="00A359E8"/>
    <w:rsid w:val="00A40AB2"/>
    <w:rsid w:val="00A41B6F"/>
    <w:rsid w:val="00A47680"/>
    <w:rsid w:val="00A54256"/>
    <w:rsid w:val="00A55434"/>
    <w:rsid w:val="00A657FF"/>
    <w:rsid w:val="00A73CEF"/>
    <w:rsid w:val="00A751EA"/>
    <w:rsid w:val="00A94952"/>
    <w:rsid w:val="00AB4969"/>
    <w:rsid w:val="00AB54C5"/>
    <w:rsid w:val="00AB5D6F"/>
    <w:rsid w:val="00AF4B80"/>
    <w:rsid w:val="00B02F37"/>
    <w:rsid w:val="00B114E9"/>
    <w:rsid w:val="00B12402"/>
    <w:rsid w:val="00B1475D"/>
    <w:rsid w:val="00B1579F"/>
    <w:rsid w:val="00B36A48"/>
    <w:rsid w:val="00B42344"/>
    <w:rsid w:val="00B558E2"/>
    <w:rsid w:val="00B57237"/>
    <w:rsid w:val="00B65B75"/>
    <w:rsid w:val="00B77A99"/>
    <w:rsid w:val="00B82EC7"/>
    <w:rsid w:val="00B935C2"/>
    <w:rsid w:val="00B942B3"/>
    <w:rsid w:val="00BC10CB"/>
    <w:rsid w:val="00BC2E55"/>
    <w:rsid w:val="00BD3418"/>
    <w:rsid w:val="00BF42B5"/>
    <w:rsid w:val="00BF5365"/>
    <w:rsid w:val="00C10F54"/>
    <w:rsid w:val="00C16BF7"/>
    <w:rsid w:val="00C22F3D"/>
    <w:rsid w:val="00C36783"/>
    <w:rsid w:val="00C40672"/>
    <w:rsid w:val="00C41A82"/>
    <w:rsid w:val="00C44BC2"/>
    <w:rsid w:val="00C46713"/>
    <w:rsid w:val="00C4699C"/>
    <w:rsid w:val="00C51E5A"/>
    <w:rsid w:val="00C65BC9"/>
    <w:rsid w:val="00C668FF"/>
    <w:rsid w:val="00C727A7"/>
    <w:rsid w:val="00C73269"/>
    <w:rsid w:val="00C734AF"/>
    <w:rsid w:val="00C96B15"/>
    <w:rsid w:val="00CB3D69"/>
    <w:rsid w:val="00CC1EB8"/>
    <w:rsid w:val="00CC424E"/>
    <w:rsid w:val="00CD6B67"/>
    <w:rsid w:val="00CD72E0"/>
    <w:rsid w:val="00CE2FDD"/>
    <w:rsid w:val="00CE6826"/>
    <w:rsid w:val="00CE7399"/>
    <w:rsid w:val="00CF350E"/>
    <w:rsid w:val="00D21D59"/>
    <w:rsid w:val="00D26D58"/>
    <w:rsid w:val="00D32C9E"/>
    <w:rsid w:val="00D32F20"/>
    <w:rsid w:val="00D341C1"/>
    <w:rsid w:val="00D345A6"/>
    <w:rsid w:val="00D35DC9"/>
    <w:rsid w:val="00D36C5E"/>
    <w:rsid w:val="00D545EC"/>
    <w:rsid w:val="00D7162E"/>
    <w:rsid w:val="00D72746"/>
    <w:rsid w:val="00D728F6"/>
    <w:rsid w:val="00D8266A"/>
    <w:rsid w:val="00D9132F"/>
    <w:rsid w:val="00D91F3F"/>
    <w:rsid w:val="00DA10BE"/>
    <w:rsid w:val="00DC7636"/>
    <w:rsid w:val="00DD3542"/>
    <w:rsid w:val="00DD3F1B"/>
    <w:rsid w:val="00DE0A0C"/>
    <w:rsid w:val="00E00D7C"/>
    <w:rsid w:val="00E22DF6"/>
    <w:rsid w:val="00E26F72"/>
    <w:rsid w:val="00E300A7"/>
    <w:rsid w:val="00E36AB5"/>
    <w:rsid w:val="00E50829"/>
    <w:rsid w:val="00E50C3D"/>
    <w:rsid w:val="00E80A7A"/>
    <w:rsid w:val="00E83263"/>
    <w:rsid w:val="00E83825"/>
    <w:rsid w:val="00E97AF1"/>
    <w:rsid w:val="00EA071D"/>
    <w:rsid w:val="00EA3D02"/>
    <w:rsid w:val="00EB0A91"/>
    <w:rsid w:val="00EB55E4"/>
    <w:rsid w:val="00EB6A1B"/>
    <w:rsid w:val="00EC50FC"/>
    <w:rsid w:val="00EE1BEF"/>
    <w:rsid w:val="00EE4E25"/>
    <w:rsid w:val="00EE5B73"/>
    <w:rsid w:val="00EF19E2"/>
    <w:rsid w:val="00EF52B8"/>
    <w:rsid w:val="00F05807"/>
    <w:rsid w:val="00F06A17"/>
    <w:rsid w:val="00F16CB1"/>
    <w:rsid w:val="00F26F7B"/>
    <w:rsid w:val="00F32D70"/>
    <w:rsid w:val="00F43D02"/>
    <w:rsid w:val="00F4411A"/>
    <w:rsid w:val="00F45275"/>
    <w:rsid w:val="00F45D10"/>
    <w:rsid w:val="00F5732E"/>
    <w:rsid w:val="00F70DAF"/>
    <w:rsid w:val="00F75673"/>
    <w:rsid w:val="00F826DF"/>
    <w:rsid w:val="00F93020"/>
    <w:rsid w:val="00F96266"/>
    <w:rsid w:val="00FD40D3"/>
    <w:rsid w:val="00FD6F92"/>
    <w:rsid w:val="00FF654C"/>
    <w:rsid w:val="08123223"/>
    <w:rsid w:val="52939CF9"/>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7678"/>
  <w15:chartTrackingRefBased/>
  <w15:docId w15:val="{7186188B-213D-4355-AFB8-A2CDC103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0E"/>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terNumber">
    <w:name w:val="ChapterNumber"/>
    <w:rsid w:val="009E4EA7"/>
    <w:pPr>
      <w:tabs>
        <w:tab w:val="left" w:pos="-720"/>
      </w:tabs>
      <w:suppressAutoHyphens/>
      <w:spacing w:after="0" w:line="240" w:lineRule="auto"/>
    </w:pPr>
    <w:rPr>
      <w:rFonts w:ascii="CG Times" w:eastAsia="Arial" w:hAnsi="CG Times" w:cs="Times New Roman"/>
      <w:szCs w:val="20"/>
      <w:lang w:val="en-US" w:eastAsia="ar-SA"/>
    </w:rPr>
  </w:style>
  <w:style w:type="table" w:styleId="Grilledutableau">
    <w:name w:val="Table Grid"/>
    <w:basedOn w:val="TableauNormal"/>
    <w:uiPriority w:val="39"/>
    <w:rsid w:val="009E4EA7"/>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 1,List Paragraph1,Bullets,RM1,References,List Paragraph (numbered (a)),Paragraphe  revu,Paragraphe de liste1,Paragraphe de liste2"/>
    <w:basedOn w:val="Normal"/>
    <w:link w:val="ParagraphedelisteCar"/>
    <w:uiPriority w:val="1"/>
    <w:qFormat/>
    <w:rsid w:val="009E4EA7"/>
    <w:pPr>
      <w:ind w:left="720"/>
      <w:contextualSpacing/>
    </w:pPr>
  </w:style>
  <w:style w:type="paragraph" w:styleId="Pieddepage">
    <w:name w:val="footer"/>
    <w:basedOn w:val="Normal"/>
    <w:link w:val="PieddepageCar"/>
    <w:uiPriority w:val="99"/>
    <w:unhideWhenUsed/>
    <w:rsid w:val="009E4EA7"/>
    <w:pPr>
      <w:tabs>
        <w:tab w:val="center" w:pos="4536"/>
        <w:tab w:val="right" w:pos="9072"/>
      </w:tabs>
    </w:pPr>
  </w:style>
  <w:style w:type="character" w:customStyle="1" w:styleId="PieddepageCar">
    <w:name w:val="Pied de page Car"/>
    <w:basedOn w:val="Policepardfaut"/>
    <w:link w:val="Pieddepage"/>
    <w:uiPriority w:val="99"/>
    <w:rsid w:val="009E4EA7"/>
    <w:rPr>
      <w:rFonts w:ascii="Times New Roman" w:eastAsia="Times New Roman" w:hAnsi="Times New Roman" w:cs="Times New Roman"/>
      <w:sz w:val="24"/>
      <w:szCs w:val="24"/>
      <w:lang w:val="en-US"/>
    </w:rPr>
  </w:style>
  <w:style w:type="character" w:customStyle="1" w:styleId="ParagraphedelisteCar">
    <w:name w:val="Paragraphe de liste Car"/>
    <w:aliases w:val="Liste 1 Car,List Paragraph1 Car,Bullets Car,RM1 Car,References Car,List Paragraph (numbered (a)) Car,Paragraphe  revu Car,Paragraphe de liste1 Car,Paragraphe de liste2 Car"/>
    <w:link w:val="Paragraphedeliste"/>
    <w:uiPriority w:val="1"/>
    <w:locked/>
    <w:rsid w:val="009E4EA7"/>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0B73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732C"/>
    <w:rPr>
      <w:rFonts w:ascii="Segoe UI" w:eastAsia="Times New Roman" w:hAnsi="Segoe UI" w:cs="Segoe UI"/>
      <w:sz w:val="18"/>
      <w:szCs w:val="18"/>
      <w:lang w:val="en-US"/>
    </w:rPr>
  </w:style>
  <w:style w:type="paragraph" w:styleId="NormalWeb">
    <w:name w:val="Normal (Web)"/>
    <w:basedOn w:val="Normal"/>
    <w:uiPriority w:val="99"/>
    <w:semiHidden/>
    <w:unhideWhenUsed/>
    <w:rsid w:val="000B6143"/>
  </w:style>
  <w:style w:type="character" w:styleId="Lienhypertexte">
    <w:name w:val="Hyperlink"/>
    <w:basedOn w:val="Policepardfaut"/>
    <w:uiPriority w:val="99"/>
    <w:unhideWhenUsed/>
    <w:rsid w:val="00A40AB2"/>
    <w:rPr>
      <w:color w:val="0563C1" w:themeColor="hyperlink"/>
      <w:u w:val="single"/>
    </w:rPr>
  </w:style>
  <w:style w:type="character" w:customStyle="1" w:styleId="Mentionnonrsolue1">
    <w:name w:val="Mention non résolue1"/>
    <w:basedOn w:val="Policepardfaut"/>
    <w:uiPriority w:val="99"/>
    <w:semiHidden/>
    <w:unhideWhenUsed/>
    <w:rsid w:val="00A40AB2"/>
    <w:rPr>
      <w:color w:val="605E5C"/>
      <w:shd w:val="clear" w:color="auto" w:fill="E1DFDD"/>
    </w:rPr>
  </w:style>
  <w:style w:type="paragraph" w:styleId="Rvision">
    <w:name w:val="Revision"/>
    <w:hidden/>
    <w:uiPriority w:val="99"/>
    <w:semiHidden/>
    <w:rsid w:val="00F45D1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6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ouattara@ageroute.c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aedoukou@ageroute.ci" TargetMode="External"/><Relationship Id="rId4" Type="http://schemas.openxmlformats.org/officeDocument/2006/relationships/webSettings" Target="webSettings.xml"/><Relationship Id="rId9" Type="http://schemas.openxmlformats.org/officeDocument/2006/relationships/hyperlink" Target="mailto:lameite@ageroute.ci" TargetMode="External"/><Relationship Id="rId14"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1027</Words>
  <Characters>5640</Characters>
  <Application>Microsoft Office Word</Application>
  <DocSecurity>0</DocSecurity>
  <Lines>162</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Valère Edoukou</dc:creator>
  <cp:keywords/>
  <dc:description/>
  <cp:lastModifiedBy>OUATTARA Allahmadogo Siriki [DG\DGA]</cp:lastModifiedBy>
  <cp:revision>3</cp:revision>
  <cp:lastPrinted>2023-07-27T17:01:00Z</cp:lastPrinted>
  <dcterms:created xsi:type="dcterms:W3CDTF">2026-01-14T11:32:00Z</dcterms:created>
  <dcterms:modified xsi:type="dcterms:W3CDTF">2026-01-27T18:18:00Z</dcterms:modified>
</cp:coreProperties>
</file>