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6917" w14:textId="3A74AF47" w:rsidR="003F035B" w:rsidRPr="00E20572" w:rsidRDefault="003627B2" w:rsidP="007019C1">
      <w:pPr>
        <w:keepNext/>
        <w:keepLines/>
        <w:spacing w:before="120" w:after="0" w:line="240" w:lineRule="auto"/>
        <w:jc w:val="center"/>
        <w:outlineLvl w:val="0"/>
        <w:rPr>
          <w:rFonts w:asciiTheme="majorBidi" w:eastAsia="Times New Roman" w:hAnsiTheme="majorBidi" w:cstheme="majorBidi"/>
          <w:b/>
          <w:iCs/>
          <w:sz w:val="36"/>
          <w:szCs w:val="36"/>
          <w:lang w:val="en-US"/>
        </w:rPr>
      </w:pPr>
      <w:bookmarkStart w:id="0" w:name="_Toc265495742"/>
      <w:bookmarkStart w:id="1" w:name="_Toc313132074"/>
      <w:bookmarkStart w:id="2" w:name="_Toc5703442"/>
      <w:r w:rsidRPr="00E20572">
        <w:rPr>
          <w:rFonts w:asciiTheme="majorBidi" w:eastAsia="Times New Roman" w:hAnsiTheme="majorBidi" w:cstheme="majorBidi"/>
          <w:b/>
          <w:iCs/>
          <w:sz w:val="36"/>
          <w:szCs w:val="36"/>
          <w:lang w:val="en-US"/>
        </w:rPr>
        <w:t xml:space="preserve">    </w:t>
      </w:r>
      <w:r w:rsidR="003F035B" w:rsidRPr="00E20572">
        <w:rPr>
          <w:rFonts w:asciiTheme="majorBidi" w:eastAsia="Times New Roman" w:hAnsiTheme="majorBidi" w:cstheme="majorBidi"/>
          <w:b/>
          <w:iCs/>
          <w:sz w:val="36"/>
          <w:szCs w:val="36"/>
          <w:lang w:val="en-US"/>
        </w:rPr>
        <w:t>Terms of Reference</w:t>
      </w:r>
      <w:bookmarkEnd w:id="0"/>
      <w:bookmarkEnd w:id="1"/>
      <w:bookmarkEnd w:id="2"/>
    </w:p>
    <w:p w14:paraId="053A443E" w14:textId="77777777" w:rsidR="003F035B" w:rsidRPr="00E20572" w:rsidRDefault="003F035B" w:rsidP="007019C1">
      <w:pPr>
        <w:spacing w:before="120" w:after="0" w:line="240" w:lineRule="auto"/>
        <w:rPr>
          <w:rFonts w:asciiTheme="majorBidi" w:eastAsia="Times New Roman" w:hAnsiTheme="majorBidi" w:cstheme="majorBidi"/>
          <w:iCs/>
          <w:sz w:val="24"/>
          <w:szCs w:val="24"/>
          <w:lang w:val="en-US"/>
        </w:rPr>
      </w:pPr>
    </w:p>
    <w:p w14:paraId="2758AA6F" w14:textId="0934AB81" w:rsidR="003F035B" w:rsidRPr="00E20572" w:rsidRDefault="003F035B" w:rsidP="007019C1">
      <w:pPr>
        <w:spacing w:before="120" w:after="0" w:line="240" w:lineRule="auto"/>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 xml:space="preserve">1. Background </w:t>
      </w:r>
    </w:p>
    <w:p w14:paraId="0F8F343C" w14:textId="7E03B75D" w:rsidR="003F035B" w:rsidRPr="00E20572" w:rsidRDefault="003F035B" w:rsidP="00D26338">
      <w:pPr>
        <w:spacing w:before="120" w:after="0"/>
        <w:jc w:val="both"/>
        <w:rPr>
          <w:rFonts w:asciiTheme="majorBidi" w:eastAsia="Calibri" w:hAnsiTheme="majorBidi" w:cstheme="majorBidi"/>
          <w:bCs/>
          <w:sz w:val="24"/>
          <w:szCs w:val="24"/>
          <w:lang w:val="en-US" w:bidi="ru-RU"/>
        </w:rPr>
      </w:pPr>
      <w:r w:rsidRPr="00E20572">
        <w:rPr>
          <w:rFonts w:asciiTheme="majorBidi" w:eastAsia="Calibri" w:hAnsiTheme="majorBidi" w:cstheme="majorBidi"/>
          <w:sz w:val="24"/>
          <w:szCs w:val="24"/>
          <w:lang w:val="en-US"/>
        </w:rPr>
        <w:t xml:space="preserve">The </w:t>
      </w:r>
      <w:bookmarkStart w:id="3" w:name="_Hlk205277804"/>
      <w:r w:rsidRPr="00E20572">
        <w:rPr>
          <w:rFonts w:asciiTheme="majorBidi" w:eastAsia="Calibri" w:hAnsiTheme="majorBidi" w:cstheme="majorBidi"/>
          <w:sz w:val="24"/>
          <w:szCs w:val="24"/>
          <w:lang w:val="en-US"/>
        </w:rPr>
        <w:t>Kyrgyz Republic</w:t>
      </w:r>
      <w:bookmarkEnd w:id="3"/>
      <w:r w:rsidRPr="00E20572">
        <w:rPr>
          <w:rFonts w:asciiTheme="majorBidi" w:eastAsia="Calibri" w:hAnsiTheme="majorBidi" w:cstheme="majorBidi"/>
          <w:sz w:val="24"/>
          <w:szCs w:val="24"/>
          <w:lang w:val="en-US"/>
        </w:rPr>
        <w:t xml:space="preserve"> has received financing from the Islamic Development Bank (IsDB) to cover the </w:t>
      </w:r>
      <w:r w:rsidR="003627B2" w:rsidRPr="00E20572">
        <w:rPr>
          <w:rFonts w:asciiTheme="majorBidi" w:eastAsia="Calibri" w:hAnsiTheme="majorBidi" w:cstheme="majorBidi"/>
          <w:sz w:val="24"/>
          <w:szCs w:val="24"/>
          <w:lang w:val="en-US"/>
        </w:rPr>
        <w:t xml:space="preserve">costs associated </w:t>
      </w:r>
      <w:r w:rsidR="00D26338" w:rsidRPr="00E20572">
        <w:rPr>
          <w:rFonts w:asciiTheme="majorBidi" w:eastAsia="Calibri" w:hAnsiTheme="majorBidi" w:cstheme="majorBidi"/>
          <w:sz w:val="24"/>
          <w:szCs w:val="24"/>
          <w:lang w:val="en-US"/>
        </w:rPr>
        <w:t>with the</w:t>
      </w:r>
      <w:r w:rsidRPr="00E20572">
        <w:rPr>
          <w:rFonts w:asciiTheme="majorBidi" w:eastAsia="Calibri" w:hAnsiTheme="majorBidi" w:cstheme="majorBidi"/>
          <w:sz w:val="24"/>
          <w:szCs w:val="24"/>
          <w:lang w:val="en-US"/>
        </w:rPr>
        <w:t xml:space="preserve"> Line of Financing for Promoting Agriculture Mechanization in </w:t>
      </w:r>
      <w:r w:rsidR="00AE7F26" w:rsidRPr="00E20572">
        <w:rPr>
          <w:rFonts w:asciiTheme="majorBidi" w:eastAsia="Calibri" w:hAnsiTheme="majorBidi" w:cstheme="majorBidi"/>
          <w:sz w:val="24"/>
          <w:szCs w:val="24"/>
          <w:lang w:val="en-US"/>
        </w:rPr>
        <w:t xml:space="preserve">the </w:t>
      </w:r>
      <w:r w:rsidRPr="00E20572">
        <w:rPr>
          <w:rFonts w:asciiTheme="majorBidi" w:eastAsia="Calibri" w:hAnsiTheme="majorBidi" w:cstheme="majorBidi"/>
          <w:sz w:val="24"/>
          <w:szCs w:val="24"/>
          <w:lang w:val="en-US"/>
        </w:rPr>
        <w:t>Kyrgyz Republic Project</w:t>
      </w:r>
      <w:r w:rsidR="003627B2" w:rsidRPr="00E20572">
        <w:rPr>
          <w:rFonts w:asciiTheme="majorBidi" w:eastAsia="Calibri" w:hAnsiTheme="majorBidi" w:cstheme="majorBidi"/>
          <w:sz w:val="24"/>
          <w:szCs w:val="24"/>
          <w:lang w:val="en-US"/>
        </w:rPr>
        <w:t xml:space="preserve">. The Kyrgyz </w:t>
      </w:r>
      <w:r w:rsidR="00D26338" w:rsidRPr="00E20572">
        <w:rPr>
          <w:rFonts w:asciiTheme="majorBidi" w:eastAsia="Calibri" w:hAnsiTheme="majorBidi" w:cstheme="majorBidi"/>
          <w:sz w:val="24"/>
          <w:szCs w:val="24"/>
          <w:lang w:val="en-US"/>
        </w:rPr>
        <w:t>Republic intends</w:t>
      </w:r>
      <w:r w:rsidRPr="00E20572">
        <w:rPr>
          <w:rFonts w:asciiTheme="majorBidi" w:eastAsia="Calibri" w:hAnsiTheme="majorBidi" w:cstheme="majorBidi"/>
          <w:sz w:val="24"/>
          <w:szCs w:val="24"/>
          <w:lang w:val="en-US"/>
        </w:rPr>
        <w:t xml:space="preserve"> to use part of the proceeds of the financing to make payments under the contract, namely, to attract an independent audit to audit the financial statements of the project. </w:t>
      </w:r>
    </w:p>
    <w:p w14:paraId="03D39610" w14:textId="77777777" w:rsidR="003F035B" w:rsidRPr="00E20572" w:rsidRDefault="003F035B" w:rsidP="00D26338">
      <w:pPr>
        <w:spacing w:before="120" w:after="120"/>
        <w:jc w:val="both"/>
        <w:rPr>
          <w:rFonts w:asciiTheme="majorBidi" w:eastAsia="Calibri" w:hAnsiTheme="majorBidi" w:cstheme="majorBidi"/>
          <w:sz w:val="24"/>
          <w:szCs w:val="24"/>
          <w:lang w:val="en-US" w:bidi="ru-RU"/>
        </w:rPr>
      </w:pPr>
      <w:r w:rsidRPr="00E20572">
        <w:rPr>
          <w:rFonts w:asciiTheme="majorBidi" w:eastAsia="Calibri" w:hAnsiTheme="majorBidi" w:cstheme="majorBidi"/>
          <w:sz w:val="24"/>
          <w:szCs w:val="24"/>
          <w:lang w:val="en-US" w:bidi="ru-RU"/>
        </w:rPr>
        <w:t>The financing line will be available throughout the Kyrgyz Republic, covering all its regions. Participating financial institutions - commercial banks (JSC Aiyl Bank and JSC Eldik Bank), acting as implementers (Sponsors), will provide sub-financing to beneficiaries through their branch networks throughout the country.</w:t>
      </w:r>
    </w:p>
    <w:p w14:paraId="67309EBE" w14:textId="77777777" w:rsidR="003F035B" w:rsidRPr="00E20572" w:rsidRDefault="003F035B" w:rsidP="00D26338">
      <w:pPr>
        <w:widowControl w:val="0"/>
        <w:spacing w:before="120" w:after="0" w:line="278" w:lineRule="exact"/>
        <w:jc w:val="both"/>
        <w:rPr>
          <w:rFonts w:asciiTheme="majorBidi" w:eastAsia="Calibri" w:hAnsiTheme="majorBidi" w:cstheme="majorBidi"/>
          <w:sz w:val="24"/>
          <w:szCs w:val="24"/>
          <w:lang w:val="en-US" w:bidi="ru-RU"/>
        </w:rPr>
      </w:pPr>
      <w:bookmarkStart w:id="4" w:name="_Hlk205278153"/>
      <w:r w:rsidRPr="00E20572">
        <w:rPr>
          <w:rFonts w:asciiTheme="majorBidi" w:eastAsia="Calibri" w:hAnsiTheme="majorBidi" w:cstheme="majorBidi"/>
          <w:sz w:val="24"/>
          <w:szCs w:val="24"/>
          <w:lang w:val="en-US" w:bidi="ru-RU"/>
        </w:rPr>
        <w:t>The Ministry of Water Resources, Agriculture and Processing Industry of the Kyrgyz Republic</w:t>
      </w:r>
      <w:bookmarkEnd w:id="4"/>
      <w:r w:rsidRPr="00E20572">
        <w:rPr>
          <w:rFonts w:asciiTheme="majorBidi" w:eastAsia="Calibri" w:hAnsiTheme="majorBidi" w:cstheme="majorBidi"/>
          <w:sz w:val="24"/>
          <w:szCs w:val="24"/>
          <w:lang w:val="en-US" w:bidi="ru-RU"/>
        </w:rPr>
        <w:t xml:space="preserve"> is the executing agency for the project. The coordinator of this project in the Executing Agency is the </w:t>
      </w:r>
      <w:bookmarkStart w:id="5" w:name="_Hlk205231185"/>
      <w:r w:rsidRPr="00E20572">
        <w:rPr>
          <w:rFonts w:asciiTheme="majorBidi" w:eastAsia="Calibri" w:hAnsiTheme="majorBidi" w:cstheme="majorBidi"/>
          <w:sz w:val="24"/>
          <w:szCs w:val="24"/>
          <w:lang w:val="en-US" w:bidi="ru-RU"/>
        </w:rPr>
        <w:t>Department of Cooperation, Mechanization and Innovative Technologies in Agriculture under the Ministry of Water Resources, Agriculture and Processing Industry of the Kyrgyz Republic</w:t>
      </w:r>
      <w:bookmarkEnd w:id="5"/>
      <w:r w:rsidRPr="00E20572">
        <w:rPr>
          <w:rFonts w:asciiTheme="majorBidi" w:eastAsia="Calibri" w:hAnsiTheme="majorBidi" w:cstheme="majorBidi"/>
          <w:sz w:val="24"/>
          <w:szCs w:val="24"/>
          <w:lang w:val="en-US" w:bidi="ru-RU"/>
        </w:rPr>
        <w:t>.</w:t>
      </w:r>
    </w:p>
    <w:p w14:paraId="0277BC4A" w14:textId="77777777" w:rsidR="003F035B" w:rsidRPr="00E20572" w:rsidRDefault="003F035B" w:rsidP="007019C1">
      <w:pPr>
        <w:spacing w:before="120" w:after="0" w:line="240" w:lineRule="auto"/>
        <w:rPr>
          <w:rFonts w:asciiTheme="majorBidi" w:eastAsia="Times New Roman" w:hAnsiTheme="majorBidi" w:cstheme="majorBidi"/>
          <w:b/>
          <w:i/>
          <w:iCs/>
          <w:sz w:val="24"/>
          <w:szCs w:val="24"/>
          <w:lang w:val="en-US"/>
        </w:rPr>
      </w:pPr>
    </w:p>
    <w:p w14:paraId="14D7359B" w14:textId="6CD057AE" w:rsidR="00A84EED" w:rsidRPr="00E20572" w:rsidRDefault="003F035B" w:rsidP="007019C1">
      <w:pPr>
        <w:spacing w:before="120" w:after="0" w:line="240" w:lineRule="auto"/>
        <w:rPr>
          <w:rFonts w:asciiTheme="majorBidi" w:eastAsia="Times New Roman" w:hAnsiTheme="majorBidi" w:cstheme="majorBidi"/>
          <w:b/>
          <w:i/>
          <w:iCs/>
          <w:sz w:val="24"/>
          <w:szCs w:val="24"/>
          <w:lang w:val="en-US"/>
        </w:rPr>
      </w:pPr>
      <w:r w:rsidRPr="00E20572">
        <w:rPr>
          <w:rFonts w:asciiTheme="majorBidi" w:eastAsia="Times New Roman" w:hAnsiTheme="majorBidi" w:cstheme="majorBidi"/>
          <w:b/>
          <w:sz w:val="24"/>
          <w:szCs w:val="24"/>
          <w:lang w:val="en-US"/>
        </w:rPr>
        <w:t xml:space="preserve">2.  </w:t>
      </w:r>
      <w:r w:rsidR="004A5845" w:rsidRPr="00E20572">
        <w:rPr>
          <w:rFonts w:asciiTheme="majorBidi" w:eastAsia="Times New Roman" w:hAnsiTheme="majorBidi" w:cstheme="majorBidi"/>
          <w:b/>
          <w:sz w:val="24"/>
          <w:szCs w:val="24"/>
          <w:lang w:val="en-US"/>
        </w:rPr>
        <w:t xml:space="preserve">Context of Islamic Finance in the </w:t>
      </w:r>
      <w:r w:rsidR="00B90143" w:rsidRPr="00E20572">
        <w:rPr>
          <w:rFonts w:asciiTheme="majorBidi" w:eastAsia="Times New Roman" w:hAnsiTheme="majorBidi" w:cstheme="majorBidi"/>
          <w:b/>
          <w:sz w:val="24"/>
          <w:szCs w:val="24"/>
          <w:lang w:val="en-US"/>
        </w:rPr>
        <w:t xml:space="preserve">Kyrgyz Republic </w:t>
      </w:r>
    </w:p>
    <w:p w14:paraId="1A73792C" w14:textId="0CFDCBCE" w:rsidR="003A512F" w:rsidRPr="00E20572" w:rsidRDefault="007019C1"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In accordance with the Law of the Kyrgyz Republic "On banks and banking activities", the country </w:t>
      </w:r>
      <w:r w:rsidR="00AD03AE" w:rsidRPr="00E20572">
        <w:rPr>
          <w:rFonts w:asciiTheme="majorBidi" w:eastAsia="Times New Roman" w:hAnsiTheme="majorBidi" w:cstheme="majorBidi"/>
          <w:bCs/>
          <w:sz w:val="24"/>
          <w:szCs w:val="24"/>
          <w:lang w:val="en-US"/>
        </w:rPr>
        <w:t>integrates both traditional banking and lending practices with</w:t>
      </w:r>
      <w:r w:rsidRPr="00E20572">
        <w:rPr>
          <w:rFonts w:asciiTheme="majorBidi" w:eastAsia="Times New Roman" w:hAnsiTheme="majorBidi" w:cstheme="majorBidi"/>
          <w:bCs/>
          <w:sz w:val="24"/>
          <w:szCs w:val="24"/>
          <w:lang w:val="en-US"/>
        </w:rPr>
        <w:t xml:space="preserve"> Islamic principles of banking and financing. These principles are based on Sharia standards, which </w:t>
      </w:r>
      <w:r w:rsidR="00AD03AE" w:rsidRPr="00E20572">
        <w:rPr>
          <w:rFonts w:asciiTheme="majorBidi" w:eastAsia="Times New Roman" w:hAnsiTheme="majorBidi" w:cstheme="majorBidi"/>
          <w:bCs/>
          <w:sz w:val="24"/>
          <w:szCs w:val="24"/>
          <w:lang w:val="en-US"/>
        </w:rPr>
        <w:t>outli</w:t>
      </w:r>
      <w:r w:rsidR="00AE7F26" w:rsidRPr="00E20572">
        <w:rPr>
          <w:rFonts w:asciiTheme="majorBidi" w:eastAsia="Times New Roman" w:hAnsiTheme="majorBidi" w:cstheme="majorBidi"/>
          <w:bCs/>
          <w:sz w:val="24"/>
          <w:szCs w:val="24"/>
          <w:lang w:val="en-US"/>
        </w:rPr>
        <w:t>n</w:t>
      </w:r>
      <w:r w:rsidR="00AD03AE" w:rsidRPr="00E20572">
        <w:rPr>
          <w:rFonts w:asciiTheme="majorBidi" w:eastAsia="Times New Roman" w:hAnsiTheme="majorBidi" w:cstheme="majorBidi"/>
          <w:bCs/>
          <w:sz w:val="24"/>
          <w:szCs w:val="24"/>
          <w:lang w:val="en-US"/>
        </w:rPr>
        <w:t xml:space="preserve">e </w:t>
      </w:r>
      <w:r w:rsidRPr="00E20572">
        <w:rPr>
          <w:rFonts w:asciiTheme="majorBidi" w:eastAsia="Times New Roman" w:hAnsiTheme="majorBidi" w:cstheme="majorBidi"/>
          <w:bCs/>
          <w:sz w:val="24"/>
          <w:szCs w:val="24"/>
          <w:lang w:val="en-US"/>
        </w:rPr>
        <w:t>the rules for banking operations and transactions.</w:t>
      </w:r>
      <w:r w:rsidRPr="00E20572">
        <w:rPr>
          <w:rFonts w:asciiTheme="majorBidi" w:hAnsiTheme="majorBidi" w:cstheme="majorBidi"/>
          <w:sz w:val="24"/>
          <w:szCs w:val="24"/>
          <w:lang w:val="en-US"/>
        </w:rPr>
        <w:t xml:space="preserve"> </w:t>
      </w:r>
      <w:r w:rsidRPr="00E20572">
        <w:rPr>
          <w:rFonts w:asciiTheme="majorBidi" w:eastAsia="Times New Roman" w:hAnsiTheme="majorBidi" w:cstheme="majorBidi"/>
          <w:bCs/>
          <w:sz w:val="24"/>
          <w:szCs w:val="24"/>
          <w:lang w:val="en-US"/>
        </w:rPr>
        <w:t xml:space="preserve">Sharia standards are a set of norms developed by international organizations such as the Accounting and Auditing Organization for Islamic Financial Institutions (AAOIFI) and the Islamic Financial Services Board (IFSB). Regulatory </w:t>
      </w:r>
      <w:r w:rsidR="00AD03AE" w:rsidRPr="00E20572">
        <w:rPr>
          <w:rFonts w:asciiTheme="majorBidi" w:eastAsia="Times New Roman" w:hAnsiTheme="majorBidi" w:cstheme="majorBidi"/>
          <w:bCs/>
          <w:sz w:val="24"/>
          <w:szCs w:val="24"/>
          <w:lang w:val="en-US"/>
        </w:rPr>
        <w:t>authorities in the Kyrgyz</w:t>
      </w:r>
      <w:r w:rsidRPr="00E20572">
        <w:rPr>
          <w:rFonts w:asciiTheme="majorBidi" w:eastAsia="Times New Roman" w:hAnsiTheme="majorBidi" w:cstheme="majorBidi"/>
          <w:bCs/>
          <w:sz w:val="24"/>
          <w:szCs w:val="24"/>
          <w:lang w:val="en-US"/>
        </w:rPr>
        <w:t xml:space="preserve"> </w:t>
      </w:r>
      <w:r w:rsidR="00B90143" w:rsidRPr="00E20572">
        <w:rPr>
          <w:rFonts w:asciiTheme="majorBidi" w:eastAsia="Times New Roman" w:hAnsiTheme="majorBidi" w:cstheme="majorBidi"/>
          <w:bCs/>
          <w:sz w:val="24"/>
          <w:szCs w:val="24"/>
          <w:lang w:val="en-US"/>
        </w:rPr>
        <w:t>Republic</w:t>
      </w:r>
      <w:r w:rsidR="00BA2B47" w:rsidRPr="00E20572">
        <w:rPr>
          <w:rFonts w:asciiTheme="majorBidi" w:eastAsia="Times New Roman" w:hAnsiTheme="majorBidi" w:cstheme="majorBidi"/>
          <w:bCs/>
          <w:sz w:val="24"/>
          <w:szCs w:val="24"/>
          <w:lang w:val="en-US"/>
        </w:rPr>
        <w:t xml:space="preserve"> incorporate these </w:t>
      </w:r>
      <w:r w:rsidRPr="00E20572">
        <w:rPr>
          <w:rFonts w:asciiTheme="majorBidi" w:eastAsia="Times New Roman" w:hAnsiTheme="majorBidi" w:cstheme="majorBidi"/>
          <w:bCs/>
          <w:sz w:val="24"/>
          <w:szCs w:val="24"/>
          <w:lang w:val="en-US"/>
        </w:rPr>
        <w:t xml:space="preserve">standards </w:t>
      </w:r>
      <w:r w:rsidR="00AD03AE" w:rsidRPr="00E20572">
        <w:rPr>
          <w:rFonts w:asciiTheme="majorBidi" w:eastAsia="Times New Roman" w:hAnsiTheme="majorBidi" w:cstheme="majorBidi"/>
          <w:bCs/>
          <w:sz w:val="24"/>
          <w:szCs w:val="24"/>
          <w:lang w:val="en-US"/>
        </w:rPr>
        <w:t>into national</w:t>
      </w:r>
      <w:r w:rsidRPr="00E20572">
        <w:rPr>
          <w:rFonts w:asciiTheme="majorBidi" w:eastAsia="Times New Roman" w:hAnsiTheme="majorBidi" w:cstheme="majorBidi"/>
          <w:bCs/>
          <w:sz w:val="24"/>
          <w:szCs w:val="24"/>
          <w:lang w:val="en-US"/>
        </w:rPr>
        <w:t xml:space="preserve"> regulations</w:t>
      </w:r>
      <w:r w:rsidR="00BA2B47" w:rsidRPr="00E20572">
        <w:rPr>
          <w:rFonts w:asciiTheme="majorBidi" w:eastAsia="Times New Roman" w:hAnsiTheme="majorBidi" w:cstheme="majorBidi"/>
          <w:bCs/>
          <w:sz w:val="24"/>
          <w:szCs w:val="24"/>
          <w:lang w:val="en-US"/>
        </w:rPr>
        <w:t xml:space="preserve"> as appropriate</w:t>
      </w:r>
      <w:r w:rsidRPr="00E20572">
        <w:rPr>
          <w:rFonts w:asciiTheme="majorBidi" w:eastAsia="Times New Roman" w:hAnsiTheme="majorBidi" w:cstheme="majorBidi"/>
          <w:bCs/>
          <w:sz w:val="24"/>
          <w:szCs w:val="24"/>
          <w:lang w:val="en-US"/>
        </w:rPr>
        <w:t>.</w:t>
      </w:r>
    </w:p>
    <w:p w14:paraId="5AFC4734" w14:textId="7DA6CCA1" w:rsidR="007019C1" w:rsidRPr="00E20572" w:rsidRDefault="007019C1"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The country has also laid the legal foundations for </w:t>
      </w:r>
      <w:r w:rsidR="005D3AFA" w:rsidRPr="00E20572">
        <w:rPr>
          <w:rFonts w:asciiTheme="majorBidi" w:eastAsia="Times New Roman" w:hAnsiTheme="majorBidi" w:cstheme="majorBidi"/>
          <w:bCs/>
          <w:sz w:val="24"/>
          <w:szCs w:val="24"/>
          <w:lang w:val="en-US"/>
        </w:rPr>
        <w:t>Islamic</w:t>
      </w:r>
      <w:r w:rsidRPr="00E20572">
        <w:rPr>
          <w:rFonts w:asciiTheme="majorBidi" w:eastAsia="Times New Roman" w:hAnsiTheme="majorBidi" w:cstheme="majorBidi"/>
          <w:bCs/>
          <w:sz w:val="24"/>
          <w:szCs w:val="24"/>
          <w:lang w:val="en-US"/>
        </w:rPr>
        <w:t xml:space="preserve"> insurance </w:t>
      </w:r>
      <w:r w:rsidR="005D3AFA" w:rsidRPr="00E20572">
        <w:rPr>
          <w:rFonts w:asciiTheme="majorBidi" w:eastAsia="Times New Roman" w:hAnsiTheme="majorBidi" w:cstheme="majorBidi"/>
          <w:bCs/>
          <w:sz w:val="24"/>
          <w:szCs w:val="24"/>
          <w:lang w:val="en-US"/>
        </w:rPr>
        <w:t>(Takaful)</w:t>
      </w:r>
      <w:r w:rsidR="005C5199" w:rsidRPr="00E20572">
        <w:rPr>
          <w:rFonts w:asciiTheme="majorBidi" w:eastAsia="Times New Roman" w:hAnsiTheme="majorBidi" w:cstheme="majorBidi"/>
          <w:bCs/>
          <w:sz w:val="24"/>
          <w:szCs w:val="24"/>
          <w:lang w:val="en-US"/>
        </w:rPr>
        <w:t xml:space="preserve"> and</w:t>
      </w:r>
      <w:r w:rsidR="005D3AFA" w:rsidRPr="00E20572">
        <w:rPr>
          <w:rFonts w:asciiTheme="majorBidi" w:eastAsia="Times New Roman" w:hAnsiTheme="majorBidi" w:cstheme="majorBidi"/>
          <w:bCs/>
          <w:sz w:val="24"/>
          <w:szCs w:val="24"/>
          <w:lang w:val="en-US"/>
        </w:rPr>
        <w:t xml:space="preserve"> </w:t>
      </w:r>
      <w:r w:rsidRPr="00E20572">
        <w:rPr>
          <w:rFonts w:asciiTheme="majorBidi" w:eastAsia="Times New Roman" w:hAnsiTheme="majorBidi" w:cstheme="majorBidi"/>
          <w:bCs/>
          <w:sz w:val="24"/>
          <w:szCs w:val="24"/>
          <w:lang w:val="en-US"/>
        </w:rPr>
        <w:t>the issu</w:t>
      </w:r>
      <w:r w:rsidR="005C5199" w:rsidRPr="00E20572">
        <w:rPr>
          <w:rFonts w:asciiTheme="majorBidi" w:eastAsia="Times New Roman" w:hAnsiTheme="majorBidi" w:cstheme="majorBidi"/>
          <w:bCs/>
          <w:sz w:val="24"/>
          <w:szCs w:val="24"/>
          <w:lang w:val="en-US"/>
        </w:rPr>
        <w:t>ance</w:t>
      </w:r>
      <w:r w:rsidRPr="00E20572">
        <w:rPr>
          <w:rFonts w:asciiTheme="majorBidi" w:eastAsia="Times New Roman" w:hAnsiTheme="majorBidi" w:cstheme="majorBidi"/>
          <w:bCs/>
          <w:sz w:val="24"/>
          <w:szCs w:val="24"/>
          <w:lang w:val="en-US"/>
        </w:rPr>
        <w:t xml:space="preserve"> of Islamic securities</w:t>
      </w:r>
      <w:r w:rsidR="005D3AFA" w:rsidRPr="00E20572">
        <w:rPr>
          <w:rFonts w:asciiTheme="majorBidi" w:eastAsia="Times New Roman" w:hAnsiTheme="majorBidi" w:cstheme="majorBidi"/>
          <w:bCs/>
          <w:sz w:val="24"/>
          <w:szCs w:val="24"/>
          <w:lang w:val="en-US"/>
        </w:rPr>
        <w:t xml:space="preserve"> (Sukuk)</w:t>
      </w:r>
      <w:r w:rsidRPr="00E20572">
        <w:rPr>
          <w:rFonts w:asciiTheme="majorBidi" w:eastAsia="Times New Roman" w:hAnsiTheme="majorBidi" w:cstheme="majorBidi"/>
          <w:bCs/>
          <w:sz w:val="24"/>
          <w:szCs w:val="24"/>
          <w:lang w:val="en-US"/>
        </w:rPr>
        <w:t>.</w:t>
      </w:r>
      <w:r w:rsidRPr="00E20572">
        <w:rPr>
          <w:rFonts w:asciiTheme="majorBidi" w:hAnsiTheme="majorBidi" w:cstheme="majorBidi"/>
          <w:sz w:val="24"/>
          <w:szCs w:val="24"/>
          <w:lang w:val="en-US"/>
        </w:rPr>
        <w:t xml:space="preserve"> </w:t>
      </w:r>
      <w:r w:rsidRPr="00E20572">
        <w:rPr>
          <w:rFonts w:asciiTheme="majorBidi" w:eastAsia="Times New Roman" w:hAnsiTheme="majorBidi" w:cstheme="majorBidi"/>
          <w:bCs/>
          <w:sz w:val="24"/>
          <w:szCs w:val="24"/>
          <w:lang w:val="en-US"/>
        </w:rPr>
        <w:t>The functions in the field of supervision</w:t>
      </w:r>
      <w:r w:rsidR="00BA2B47" w:rsidRPr="00E20572">
        <w:rPr>
          <w:rFonts w:asciiTheme="majorBidi" w:eastAsia="Times New Roman" w:hAnsiTheme="majorBidi" w:cstheme="majorBidi"/>
          <w:bCs/>
          <w:sz w:val="24"/>
          <w:szCs w:val="24"/>
          <w:lang w:val="en-US"/>
        </w:rPr>
        <w:t>,</w:t>
      </w:r>
      <w:r w:rsidRPr="00E20572">
        <w:rPr>
          <w:rFonts w:asciiTheme="majorBidi" w:eastAsia="Times New Roman" w:hAnsiTheme="majorBidi" w:cstheme="majorBidi"/>
          <w:bCs/>
          <w:sz w:val="24"/>
          <w:szCs w:val="24"/>
          <w:lang w:val="en-US"/>
        </w:rPr>
        <w:t xml:space="preserve"> </w:t>
      </w:r>
      <w:r w:rsidR="00EA38A9" w:rsidRPr="00E20572">
        <w:rPr>
          <w:rFonts w:asciiTheme="majorBidi" w:eastAsia="Times New Roman" w:hAnsiTheme="majorBidi" w:cstheme="majorBidi"/>
          <w:bCs/>
          <w:sz w:val="24"/>
          <w:szCs w:val="24"/>
          <w:lang w:val="en-US"/>
        </w:rPr>
        <w:t>o</w:t>
      </w:r>
      <w:r w:rsidR="005D3AFA" w:rsidRPr="00E20572">
        <w:rPr>
          <w:rFonts w:asciiTheme="majorBidi" w:eastAsia="Times New Roman" w:hAnsiTheme="majorBidi" w:cstheme="majorBidi"/>
          <w:bCs/>
          <w:sz w:val="24"/>
          <w:szCs w:val="24"/>
          <w:lang w:val="en-US"/>
        </w:rPr>
        <w:t xml:space="preserve">versight </w:t>
      </w:r>
      <w:r w:rsidRPr="00E20572">
        <w:rPr>
          <w:rFonts w:asciiTheme="majorBidi" w:eastAsia="Times New Roman" w:hAnsiTheme="majorBidi" w:cstheme="majorBidi"/>
          <w:bCs/>
          <w:sz w:val="24"/>
          <w:szCs w:val="24"/>
          <w:lang w:val="en-US"/>
        </w:rPr>
        <w:t xml:space="preserve">and regulation of the non-banking financial </w:t>
      </w:r>
      <w:r w:rsidR="005D3AFA" w:rsidRPr="00E20572">
        <w:rPr>
          <w:rFonts w:asciiTheme="majorBidi" w:eastAsia="Times New Roman" w:hAnsiTheme="majorBidi" w:cstheme="majorBidi"/>
          <w:bCs/>
          <w:sz w:val="24"/>
          <w:szCs w:val="24"/>
          <w:lang w:val="en-US"/>
        </w:rPr>
        <w:t>market, including the</w:t>
      </w:r>
      <w:r w:rsidRPr="00E20572">
        <w:rPr>
          <w:rFonts w:asciiTheme="majorBidi" w:eastAsia="Times New Roman" w:hAnsiTheme="majorBidi" w:cstheme="majorBidi"/>
          <w:bCs/>
          <w:sz w:val="24"/>
          <w:szCs w:val="24"/>
          <w:lang w:val="en-US"/>
        </w:rPr>
        <w:t xml:space="preserve"> </w:t>
      </w:r>
      <w:r w:rsidR="005D3AFA" w:rsidRPr="00E20572">
        <w:rPr>
          <w:rFonts w:asciiTheme="majorBidi" w:eastAsia="Times New Roman" w:hAnsiTheme="majorBidi" w:cstheme="majorBidi"/>
          <w:bCs/>
          <w:sz w:val="24"/>
          <w:szCs w:val="24"/>
          <w:lang w:val="en-US"/>
        </w:rPr>
        <w:t>developing and implementing state policy in this domain</w:t>
      </w:r>
      <w:r w:rsidR="005C5199" w:rsidRPr="00E20572">
        <w:rPr>
          <w:rFonts w:asciiTheme="majorBidi" w:eastAsia="Times New Roman" w:hAnsiTheme="majorBidi" w:cstheme="majorBidi"/>
          <w:bCs/>
          <w:sz w:val="24"/>
          <w:szCs w:val="24"/>
          <w:lang w:val="en-US"/>
        </w:rPr>
        <w:t>,</w:t>
      </w:r>
      <w:r w:rsidR="005D3AFA" w:rsidRPr="00E20572">
        <w:rPr>
          <w:rFonts w:asciiTheme="majorBidi" w:eastAsia="Times New Roman" w:hAnsiTheme="majorBidi" w:cstheme="majorBidi"/>
          <w:bCs/>
          <w:sz w:val="24"/>
          <w:szCs w:val="24"/>
          <w:lang w:val="en-US"/>
        </w:rPr>
        <w:t xml:space="preserve"> fall under the purview of </w:t>
      </w:r>
      <w:r w:rsidRPr="00E20572">
        <w:rPr>
          <w:rFonts w:asciiTheme="majorBidi" w:eastAsia="Times New Roman" w:hAnsiTheme="majorBidi" w:cstheme="majorBidi"/>
          <w:bCs/>
          <w:sz w:val="24"/>
          <w:szCs w:val="24"/>
          <w:lang w:val="en-US"/>
        </w:rPr>
        <w:t xml:space="preserve">the </w:t>
      </w:r>
      <w:r w:rsidR="005C5199" w:rsidRPr="00E20572">
        <w:rPr>
          <w:rFonts w:asciiTheme="majorBidi" w:eastAsia="Times New Roman" w:hAnsiTheme="majorBidi" w:cstheme="majorBidi"/>
          <w:bCs/>
          <w:sz w:val="24"/>
          <w:szCs w:val="24"/>
          <w:lang w:val="en-US"/>
        </w:rPr>
        <w:t>Service for r</w:t>
      </w:r>
      <w:r w:rsidRPr="00E20572">
        <w:rPr>
          <w:rFonts w:asciiTheme="majorBidi" w:eastAsia="Times New Roman" w:hAnsiTheme="majorBidi" w:cstheme="majorBidi"/>
          <w:bCs/>
          <w:sz w:val="24"/>
          <w:szCs w:val="24"/>
          <w:lang w:val="en-US"/>
        </w:rPr>
        <w:t xml:space="preserve">egulation and </w:t>
      </w:r>
      <w:r w:rsidR="005C5199" w:rsidRPr="00E20572">
        <w:rPr>
          <w:rFonts w:asciiTheme="majorBidi" w:eastAsia="Times New Roman" w:hAnsiTheme="majorBidi" w:cstheme="majorBidi"/>
          <w:bCs/>
          <w:sz w:val="24"/>
          <w:szCs w:val="24"/>
          <w:lang w:val="en-US"/>
        </w:rPr>
        <w:t>s</w:t>
      </w:r>
      <w:r w:rsidRPr="00E20572">
        <w:rPr>
          <w:rFonts w:asciiTheme="majorBidi" w:eastAsia="Times New Roman" w:hAnsiTheme="majorBidi" w:cstheme="majorBidi"/>
          <w:bCs/>
          <w:sz w:val="24"/>
          <w:szCs w:val="24"/>
          <w:lang w:val="en-US"/>
        </w:rPr>
        <w:t xml:space="preserve">upervision </w:t>
      </w:r>
      <w:r w:rsidR="005C5199" w:rsidRPr="00E20572">
        <w:rPr>
          <w:rFonts w:asciiTheme="majorBidi" w:eastAsia="Times New Roman" w:hAnsiTheme="majorBidi" w:cstheme="majorBidi"/>
          <w:bCs/>
          <w:sz w:val="24"/>
          <w:szCs w:val="24"/>
          <w:lang w:val="en-US"/>
        </w:rPr>
        <w:t xml:space="preserve">of the financial market </w:t>
      </w:r>
      <w:r w:rsidR="005D3AFA" w:rsidRPr="00E20572">
        <w:rPr>
          <w:rFonts w:asciiTheme="majorBidi" w:eastAsia="Times New Roman" w:hAnsiTheme="majorBidi" w:cstheme="majorBidi"/>
          <w:bCs/>
          <w:sz w:val="24"/>
          <w:szCs w:val="24"/>
          <w:lang w:val="en-US"/>
        </w:rPr>
        <w:t xml:space="preserve">within </w:t>
      </w:r>
      <w:r w:rsidRPr="00E20572">
        <w:rPr>
          <w:rFonts w:asciiTheme="majorBidi" w:eastAsia="Times New Roman" w:hAnsiTheme="majorBidi" w:cstheme="majorBidi"/>
          <w:bCs/>
          <w:sz w:val="24"/>
          <w:szCs w:val="24"/>
          <w:lang w:val="en-US"/>
        </w:rPr>
        <w:t>the Ministry of Economy and Commerce of the Kyrgyz Republic.</w:t>
      </w:r>
    </w:p>
    <w:p w14:paraId="2C4581AF" w14:textId="6C1ECD8C" w:rsidR="007019C1" w:rsidRPr="00E20572" w:rsidRDefault="000D3E80" w:rsidP="00D26338">
      <w:pPr>
        <w:spacing w:before="120" w:after="0" w:line="240" w:lineRule="auto"/>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t>By</w:t>
      </w:r>
      <w:r w:rsidR="005D3AFA" w:rsidRPr="00E20572">
        <w:rPr>
          <w:rFonts w:asciiTheme="majorBidi" w:eastAsia="Times New Roman" w:hAnsiTheme="majorBidi" w:cstheme="majorBidi"/>
          <w:bCs/>
          <w:sz w:val="24"/>
          <w:szCs w:val="24"/>
          <w:lang w:val="en-US"/>
        </w:rPr>
        <w:t xml:space="preserve"> the end of the 2025,</w:t>
      </w:r>
      <w:r w:rsidR="007019C1" w:rsidRPr="00E20572">
        <w:rPr>
          <w:rFonts w:asciiTheme="majorBidi" w:eastAsia="Times New Roman" w:hAnsiTheme="majorBidi" w:cstheme="majorBidi"/>
          <w:bCs/>
          <w:sz w:val="24"/>
          <w:szCs w:val="24"/>
          <w:lang w:val="en-US"/>
        </w:rPr>
        <w:t xml:space="preserve"> </w:t>
      </w:r>
      <w:r w:rsidR="005D3AFA" w:rsidRPr="00E20572">
        <w:rPr>
          <w:rFonts w:asciiTheme="majorBidi" w:eastAsia="Times New Roman" w:hAnsiTheme="majorBidi" w:cstheme="majorBidi"/>
          <w:bCs/>
          <w:sz w:val="24"/>
          <w:szCs w:val="24"/>
          <w:lang w:val="en-US"/>
        </w:rPr>
        <w:t xml:space="preserve">there </w:t>
      </w:r>
      <w:r w:rsidR="0043471B" w:rsidRPr="00E20572">
        <w:rPr>
          <w:rFonts w:asciiTheme="majorBidi" w:eastAsia="Times New Roman" w:hAnsiTheme="majorBidi" w:cstheme="majorBidi"/>
          <w:bCs/>
          <w:sz w:val="24"/>
          <w:szCs w:val="24"/>
          <w:lang w:val="en-US"/>
        </w:rPr>
        <w:t>were</w:t>
      </w:r>
      <w:r w:rsidR="005D3AFA" w:rsidRPr="00E20572">
        <w:rPr>
          <w:rFonts w:asciiTheme="majorBidi" w:eastAsia="Times New Roman" w:hAnsiTheme="majorBidi" w:cstheme="majorBidi"/>
          <w:bCs/>
          <w:sz w:val="24"/>
          <w:szCs w:val="24"/>
          <w:lang w:val="en-US"/>
        </w:rPr>
        <w:t xml:space="preserve"> one</w:t>
      </w:r>
      <w:r w:rsidR="007019C1" w:rsidRPr="00E20572">
        <w:rPr>
          <w:rFonts w:asciiTheme="majorBidi" w:eastAsia="Times New Roman" w:hAnsiTheme="majorBidi" w:cstheme="majorBidi"/>
          <w:bCs/>
          <w:sz w:val="24"/>
          <w:szCs w:val="24"/>
          <w:lang w:val="en-US"/>
        </w:rPr>
        <w:t xml:space="preserve"> full-fledged Islamic bank, </w:t>
      </w:r>
      <w:r w:rsidR="00EA38A9" w:rsidRPr="00E20572">
        <w:rPr>
          <w:rFonts w:asciiTheme="majorBidi" w:eastAsia="Times New Roman" w:hAnsiTheme="majorBidi" w:cstheme="majorBidi"/>
          <w:bCs/>
          <w:sz w:val="24"/>
          <w:szCs w:val="24"/>
          <w:lang w:val="en-US"/>
        </w:rPr>
        <w:t>five</w:t>
      </w:r>
      <w:r w:rsidR="007019C1" w:rsidRPr="00E20572">
        <w:rPr>
          <w:rFonts w:asciiTheme="majorBidi" w:eastAsia="Times New Roman" w:hAnsiTheme="majorBidi" w:cstheme="majorBidi"/>
          <w:bCs/>
          <w:sz w:val="24"/>
          <w:szCs w:val="24"/>
          <w:lang w:val="en-US"/>
        </w:rPr>
        <w:t xml:space="preserve"> banks with an “Islamic window”</w:t>
      </w:r>
      <w:r w:rsidR="00EA38A9" w:rsidRPr="00E20572">
        <w:rPr>
          <w:rFonts w:asciiTheme="majorBidi" w:eastAsia="Times New Roman" w:hAnsiTheme="majorBidi" w:cstheme="majorBidi"/>
          <w:bCs/>
          <w:sz w:val="24"/>
          <w:szCs w:val="24"/>
          <w:lang w:val="en-US"/>
        </w:rPr>
        <w:t>,</w:t>
      </w:r>
      <w:r w:rsidR="007019C1" w:rsidRPr="00E20572">
        <w:rPr>
          <w:rFonts w:asciiTheme="majorBidi" w:eastAsia="Times New Roman" w:hAnsiTheme="majorBidi" w:cstheme="majorBidi"/>
          <w:bCs/>
          <w:sz w:val="24"/>
          <w:szCs w:val="24"/>
          <w:lang w:val="en-US"/>
        </w:rPr>
        <w:t xml:space="preserve"> and </w:t>
      </w:r>
      <w:r w:rsidR="00EA38A9" w:rsidRPr="00E20572">
        <w:rPr>
          <w:rFonts w:asciiTheme="majorBidi" w:eastAsia="Times New Roman" w:hAnsiTheme="majorBidi" w:cstheme="majorBidi"/>
          <w:bCs/>
          <w:sz w:val="24"/>
          <w:szCs w:val="24"/>
          <w:lang w:val="en-US"/>
        </w:rPr>
        <w:t>eleven</w:t>
      </w:r>
      <w:r w:rsidR="007019C1" w:rsidRPr="00E20572">
        <w:rPr>
          <w:rFonts w:asciiTheme="majorBidi" w:eastAsia="Times New Roman" w:hAnsiTheme="majorBidi" w:cstheme="majorBidi"/>
          <w:bCs/>
          <w:sz w:val="24"/>
          <w:szCs w:val="24"/>
          <w:lang w:val="en-US"/>
        </w:rPr>
        <w:t xml:space="preserve"> non-bank financial and credit organizations entitled to provide operations in accordance with the principles of Islamic finance.</w:t>
      </w:r>
      <w:r w:rsidR="007019C1" w:rsidRPr="00E20572">
        <w:rPr>
          <w:rFonts w:asciiTheme="majorBidi" w:hAnsiTheme="majorBidi" w:cstheme="majorBidi"/>
          <w:sz w:val="24"/>
          <w:szCs w:val="24"/>
          <w:lang w:val="en-US"/>
        </w:rPr>
        <w:t xml:space="preserve"> </w:t>
      </w:r>
      <w:r w:rsidR="005D3AFA" w:rsidRPr="00E20572">
        <w:rPr>
          <w:rFonts w:asciiTheme="majorBidi" w:eastAsia="Times New Roman" w:hAnsiTheme="majorBidi" w:cstheme="majorBidi"/>
          <w:bCs/>
          <w:sz w:val="24"/>
          <w:szCs w:val="24"/>
          <w:lang w:val="en-US"/>
        </w:rPr>
        <w:t>T</w:t>
      </w:r>
      <w:r w:rsidR="007019C1" w:rsidRPr="00E20572">
        <w:rPr>
          <w:rFonts w:asciiTheme="majorBidi" w:eastAsia="Times New Roman" w:hAnsiTheme="majorBidi" w:cstheme="majorBidi"/>
          <w:bCs/>
          <w:sz w:val="24"/>
          <w:szCs w:val="24"/>
          <w:lang w:val="en-US"/>
        </w:rPr>
        <w:t xml:space="preserve">he total assets of </w:t>
      </w:r>
      <w:r w:rsidR="00EA38A9" w:rsidRPr="00E20572">
        <w:rPr>
          <w:rFonts w:asciiTheme="majorBidi" w:eastAsia="Times New Roman" w:hAnsiTheme="majorBidi" w:cstheme="majorBidi"/>
          <w:bCs/>
          <w:sz w:val="24"/>
          <w:szCs w:val="24"/>
          <w:lang w:val="en-US"/>
        </w:rPr>
        <w:t xml:space="preserve">these </w:t>
      </w:r>
      <w:r w:rsidR="005D3AFA" w:rsidRPr="00E20572">
        <w:rPr>
          <w:rFonts w:asciiTheme="majorBidi" w:eastAsia="Times New Roman" w:hAnsiTheme="majorBidi" w:cstheme="majorBidi"/>
          <w:bCs/>
          <w:sz w:val="24"/>
          <w:szCs w:val="24"/>
          <w:lang w:val="en-US"/>
        </w:rPr>
        <w:t>entities</w:t>
      </w:r>
      <w:r w:rsidR="007019C1" w:rsidRPr="00E20572">
        <w:rPr>
          <w:rFonts w:asciiTheme="majorBidi" w:eastAsia="Times New Roman" w:hAnsiTheme="majorBidi" w:cstheme="majorBidi"/>
          <w:bCs/>
          <w:sz w:val="24"/>
          <w:szCs w:val="24"/>
          <w:lang w:val="en-US"/>
        </w:rPr>
        <w:t xml:space="preserve"> amounted to 17.6 billion KGS, </w:t>
      </w:r>
      <w:r w:rsidR="005D3AFA" w:rsidRPr="00E20572">
        <w:rPr>
          <w:rFonts w:asciiTheme="majorBidi" w:eastAsia="Times New Roman" w:hAnsiTheme="majorBidi" w:cstheme="majorBidi"/>
          <w:bCs/>
          <w:sz w:val="24"/>
          <w:szCs w:val="24"/>
          <w:lang w:val="en-US"/>
        </w:rPr>
        <w:t xml:space="preserve">equivalent to </w:t>
      </w:r>
      <w:r w:rsidR="00BF654F" w:rsidRPr="00E20572">
        <w:rPr>
          <w:rFonts w:asciiTheme="majorBidi" w:eastAsia="Times New Roman" w:hAnsiTheme="majorBidi" w:cstheme="majorBidi"/>
          <w:bCs/>
          <w:sz w:val="24"/>
          <w:szCs w:val="24"/>
          <w:lang w:val="en-US"/>
        </w:rPr>
        <w:t>approximately</w:t>
      </w:r>
      <w:r w:rsidR="007019C1" w:rsidRPr="00E20572">
        <w:rPr>
          <w:rFonts w:asciiTheme="majorBidi" w:eastAsia="Times New Roman" w:hAnsiTheme="majorBidi" w:cstheme="majorBidi"/>
          <w:bCs/>
          <w:sz w:val="24"/>
          <w:szCs w:val="24"/>
          <w:lang w:val="en-US"/>
        </w:rPr>
        <w:t xml:space="preserve"> 1.9% of </w:t>
      </w:r>
      <w:r w:rsidR="00882CB7" w:rsidRPr="00E20572">
        <w:rPr>
          <w:rFonts w:asciiTheme="majorBidi" w:eastAsia="Times New Roman" w:hAnsiTheme="majorBidi" w:cstheme="majorBidi"/>
          <w:bCs/>
          <w:sz w:val="24"/>
          <w:szCs w:val="24"/>
          <w:lang w:val="en-US"/>
        </w:rPr>
        <w:t>overall</w:t>
      </w:r>
      <w:r w:rsidR="007019C1" w:rsidRPr="00E20572">
        <w:rPr>
          <w:rFonts w:asciiTheme="majorBidi" w:eastAsia="Times New Roman" w:hAnsiTheme="majorBidi" w:cstheme="majorBidi"/>
          <w:bCs/>
          <w:sz w:val="24"/>
          <w:szCs w:val="24"/>
          <w:lang w:val="en-US"/>
        </w:rPr>
        <w:t xml:space="preserve"> banking sector</w:t>
      </w:r>
      <w:r w:rsidR="00882CB7" w:rsidRPr="00E20572">
        <w:rPr>
          <w:rFonts w:asciiTheme="majorBidi" w:eastAsia="Times New Roman" w:hAnsiTheme="majorBidi" w:cstheme="majorBidi"/>
          <w:bCs/>
          <w:sz w:val="24"/>
          <w:szCs w:val="24"/>
          <w:lang w:val="en-US"/>
        </w:rPr>
        <w:t xml:space="preserve"> assets</w:t>
      </w:r>
      <w:r w:rsidR="007019C1" w:rsidRPr="00E20572">
        <w:rPr>
          <w:rFonts w:asciiTheme="majorBidi" w:eastAsia="Times New Roman" w:hAnsiTheme="majorBidi" w:cstheme="majorBidi"/>
          <w:bCs/>
          <w:sz w:val="24"/>
          <w:szCs w:val="24"/>
          <w:lang w:val="en-US"/>
        </w:rPr>
        <w:t>, which is 9.4 billion KGS more than the figures at the end of 2023.</w:t>
      </w:r>
      <w:r w:rsidR="007019C1" w:rsidRPr="00E20572">
        <w:rPr>
          <w:rFonts w:asciiTheme="majorBidi" w:hAnsiTheme="majorBidi" w:cstheme="majorBidi"/>
          <w:sz w:val="24"/>
          <w:szCs w:val="24"/>
          <w:lang w:val="en-US"/>
        </w:rPr>
        <w:t xml:space="preserve"> </w:t>
      </w:r>
      <w:r w:rsidR="007019C1" w:rsidRPr="00E20572">
        <w:rPr>
          <w:rFonts w:asciiTheme="majorBidi" w:eastAsia="Times New Roman" w:hAnsiTheme="majorBidi" w:cstheme="majorBidi"/>
          <w:bCs/>
          <w:sz w:val="24"/>
          <w:szCs w:val="24"/>
          <w:lang w:val="en-US"/>
        </w:rPr>
        <w:t>At the same time, the portfolio of financing according to Islamic principles amounted to 10.7 billion KGS</w:t>
      </w:r>
      <w:r w:rsidR="0043471B" w:rsidRPr="00E20572">
        <w:rPr>
          <w:rFonts w:asciiTheme="majorBidi" w:eastAsia="Times New Roman" w:hAnsiTheme="majorBidi" w:cstheme="majorBidi"/>
          <w:bCs/>
          <w:sz w:val="24"/>
          <w:szCs w:val="24"/>
          <w:lang w:val="en-US"/>
        </w:rPr>
        <w:t>,</w:t>
      </w:r>
      <w:r w:rsidR="007019C1" w:rsidRPr="00E20572">
        <w:rPr>
          <w:rFonts w:asciiTheme="majorBidi" w:eastAsia="Times New Roman" w:hAnsiTheme="majorBidi" w:cstheme="majorBidi"/>
          <w:bCs/>
          <w:sz w:val="24"/>
          <w:szCs w:val="24"/>
          <w:lang w:val="en-US"/>
        </w:rPr>
        <w:t xml:space="preserve"> or 2.9% of the credit portfolio of the financial and credit sector. The deposit base according to Islamic principles amounted to 5.8 billion KGS or 1.0% of the deposit portfolio of the banking sector.</w:t>
      </w:r>
    </w:p>
    <w:p w14:paraId="1480203F" w14:textId="635E214E" w:rsidR="00882CB7" w:rsidRPr="00E20572" w:rsidRDefault="00882CB7"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Despite this growth in the number of institutions and financial metrics, the share of Islamic finance remains modest within the broader banking sector.</w:t>
      </w:r>
    </w:p>
    <w:p w14:paraId="1261CFD5" w14:textId="77777777" w:rsidR="00882CB7" w:rsidRPr="00E20572" w:rsidRDefault="00882CB7" w:rsidP="00882CB7">
      <w:pPr>
        <w:spacing w:before="120" w:after="0" w:line="240" w:lineRule="auto"/>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3. Challenges in Developing Islamic Finance</w:t>
      </w:r>
    </w:p>
    <w:p w14:paraId="2EC1E851" w14:textId="2D308A2C" w:rsidR="00B90143" w:rsidRPr="00E20572" w:rsidRDefault="00882CB7" w:rsidP="00D26338">
      <w:pPr>
        <w:spacing w:after="0"/>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The development of Islamic finance is hampered by a number of legal and practical barriers in the Kyrgyz Republic:</w:t>
      </w:r>
    </w:p>
    <w:p w14:paraId="3E4D92FF" w14:textId="77777777" w:rsidR="00B90143" w:rsidRPr="00E20572" w:rsidRDefault="00B90143" w:rsidP="00D26338">
      <w:pPr>
        <w:pStyle w:val="ListParagraph"/>
        <w:numPr>
          <w:ilvl w:val="0"/>
          <w:numId w:val="39"/>
        </w:numPr>
        <w:spacing w:after="0"/>
        <w:rPr>
          <w:rFonts w:asciiTheme="majorBidi" w:hAnsiTheme="majorBidi" w:cstheme="majorBidi"/>
          <w:sz w:val="24"/>
          <w:szCs w:val="24"/>
          <w:lang w:val="en-US"/>
        </w:rPr>
      </w:pPr>
      <w:r w:rsidRPr="00E20572">
        <w:rPr>
          <w:rFonts w:asciiTheme="majorBidi" w:hAnsiTheme="majorBidi" w:cstheme="majorBidi"/>
          <w:sz w:val="24"/>
          <w:szCs w:val="24"/>
          <w:lang w:val="en-US"/>
        </w:rPr>
        <w:t xml:space="preserve">Regulatory and Legislative Gaps: Existing legislation requires updates to reflect practical realities, eliminate obstacles, and foster a flexible legal framework aligned with international </w:t>
      </w:r>
      <w:r w:rsidRPr="00E20572">
        <w:rPr>
          <w:rFonts w:asciiTheme="majorBidi" w:hAnsiTheme="majorBidi" w:cstheme="majorBidi"/>
          <w:sz w:val="24"/>
          <w:szCs w:val="24"/>
          <w:lang w:val="en-US"/>
        </w:rPr>
        <w:lastRenderedPageBreak/>
        <w:t>standards. This is particularly relevant for introducing innovative Islamic financial products and broadening service offerings. Current tax, customs, and property registration laws often overlook the nuances of Islamic contracts, treating them as standard commercial transactions. This can result in dual property registrations or the imposition of inapplicable taxes on inherently financial operations.</w:t>
      </w:r>
    </w:p>
    <w:p w14:paraId="410D214B" w14:textId="77777777" w:rsidR="00B90143" w:rsidRPr="00E20572" w:rsidRDefault="00B90143" w:rsidP="00D26338">
      <w:pPr>
        <w:pStyle w:val="ListParagraph"/>
        <w:numPr>
          <w:ilvl w:val="0"/>
          <w:numId w:val="39"/>
        </w:numPr>
        <w:spacing w:after="0"/>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Operational Difficulties for Institutions: Financial and credit organizations encounter challenges in developing and rolling out Sharia-compliant banking products.</w:t>
      </w:r>
    </w:p>
    <w:p w14:paraId="2FC3203A" w14:textId="77777777" w:rsidR="004B0375" w:rsidRPr="00E20572" w:rsidRDefault="00B90143" w:rsidP="00D26338">
      <w:pPr>
        <w:pStyle w:val="ListParagraph"/>
        <w:numPr>
          <w:ilvl w:val="0"/>
          <w:numId w:val="39"/>
        </w:numPr>
        <w:spacing w:after="0"/>
        <w:rPr>
          <w:rFonts w:asciiTheme="majorBidi" w:hAnsiTheme="majorBidi" w:cstheme="majorBidi"/>
          <w:sz w:val="24"/>
          <w:szCs w:val="24"/>
          <w:lang w:val="en-US"/>
        </w:rPr>
      </w:pPr>
      <w:r w:rsidRPr="00E20572">
        <w:rPr>
          <w:rFonts w:asciiTheme="majorBidi" w:eastAsia="Times New Roman" w:hAnsiTheme="majorBidi" w:cstheme="majorBidi"/>
          <w:bCs/>
          <w:sz w:val="24"/>
          <w:szCs w:val="24"/>
          <w:lang w:val="en-US"/>
        </w:rPr>
        <w:t>Human Capital Shortages: The sector suffers from a dearth of qualified personnel, exacerbated by the rapid growth in Islamic finance participants and the relative youth of the industry.</w:t>
      </w:r>
    </w:p>
    <w:p w14:paraId="6BB80CB6" w14:textId="77777777" w:rsidR="007D3C72" w:rsidRPr="00E20572" w:rsidRDefault="007D3C72" w:rsidP="00B90143">
      <w:pPr>
        <w:spacing w:before="120" w:after="0" w:line="240" w:lineRule="auto"/>
        <w:ind w:firstLine="708"/>
        <w:jc w:val="both"/>
        <w:rPr>
          <w:rFonts w:asciiTheme="majorBidi" w:eastAsia="Times New Roman" w:hAnsiTheme="majorBidi" w:cstheme="majorBidi"/>
          <w:bCs/>
          <w:sz w:val="24"/>
          <w:szCs w:val="24"/>
          <w:lang w:val="en-US"/>
        </w:rPr>
      </w:pPr>
    </w:p>
    <w:p w14:paraId="0ECC9270" w14:textId="77777777" w:rsidR="007D3C72" w:rsidRPr="00E20572" w:rsidRDefault="007D3C72" w:rsidP="00D26338">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4. Objectives of the Assignment</w:t>
      </w:r>
    </w:p>
    <w:p w14:paraId="591A90F4" w14:textId="7BF8C655" w:rsidR="00DC296C" w:rsidRPr="00E20572" w:rsidRDefault="00DC296C"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The </w:t>
      </w:r>
      <w:r w:rsidR="007D3C72" w:rsidRPr="00E20572">
        <w:rPr>
          <w:rFonts w:asciiTheme="majorBidi" w:eastAsia="Times New Roman" w:hAnsiTheme="majorBidi" w:cstheme="majorBidi"/>
          <w:bCs/>
          <w:sz w:val="24"/>
          <w:szCs w:val="24"/>
          <w:lang w:val="en-US"/>
        </w:rPr>
        <w:t xml:space="preserve">primary </w:t>
      </w:r>
      <w:r w:rsidRPr="00E20572">
        <w:rPr>
          <w:rFonts w:asciiTheme="majorBidi" w:eastAsia="Times New Roman" w:hAnsiTheme="majorBidi" w:cstheme="majorBidi"/>
          <w:bCs/>
          <w:sz w:val="24"/>
          <w:szCs w:val="24"/>
          <w:lang w:val="en-US"/>
        </w:rPr>
        <w:t xml:space="preserve">objective of </w:t>
      </w:r>
      <w:r w:rsidR="007D3C72" w:rsidRPr="00E20572">
        <w:rPr>
          <w:rFonts w:asciiTheme="majorBidi" w:eastAsia="Times New Roman" w:hAnsiTheme="majorBidi" w:cstheme="majorBidi"/>
          <w:bCs/>
          <w:sz w:val="24"/>
          <w:szCs w:val="24"/>
          <w:lang w:val="en-US"/>
        </w:rPr>
        <w:t xml:space="preserve">this assignment </w:t>
      </w:r>
      <w:r w:rsidRPr="00E20572">
        <w:rPr>
          <w:rFonts w:asciiTheme="majorBidi" w:eastAsia="Times New Roman" w:hAnsiTheme="majorBidi" w:cstheme="majorBidi"/>
          <w:bCs/>
          <w:sz w:val="24"/>
          <w:szCs w:val="24"/>
          <w:lang w:val="en-US"/>
        </w:rPr>
        <w:t xml:space="preserve">is to promote </w:t>
      </w:r>
      <w:r w:rsidR="007D3C72" w:rsidRPr="00E20572">
        <w:rPr>
          <w:rFonts w:asciiTheme="majorBidi" w:eastAsia="Times New Roman" w:hAnsiTheme="majorBidi" w:cstheme="majorBidi"/>
          <w:bCs/>
          <w:sz w:val="24"/>
          <w:szCs w:val="24"/>
          <w:lang w:val="en-US"/>
        </w:rPr>
        <w:t xml:space="preserve">the </w:t>
      </w:r>
      <w:r w:rsidRPr="00E20572">
        <w:rPr>
          <w:rFonts w:asciiTheme="majorBidi" w:eastAsia="Times New Roman" w:hAnsiTheme="majorBidi" w:cstheme="majorBidi"/>
          <w:bCs/>
          <w:sz w:val="24"/>
          <w:szCs w:val="24"/>
          <w:lang w:val="en-US"/>
        </w:rPr>
        <w:t>implementation of Islamic principles through comprehensive training and consulting services</w:t>
      </w:r>
      <w:r w:rsidR="007D3C72" w:rsidRPr="00E20572">
        <w:rPr>
          <w:rFonts w:asciiTheme="majorBidi" w:eastAsia="Times New Roman" w:hAnsiTheme="majorBidi" w:cstheme="majorBidi"/>
          <w:bCs/>
          <w:sz w:val="24"/>
          <w:szCs w:val="24"/>
          <w:lang w:val="en-US"/>
        </w:rPr>
        <w:t>. This will en</w:t>
      </w:r>
      <w:r w:rsidRPr="00E20572">
        <w:rPr>
          <w:rFonts w:asciiTheme="majorBidi" w:eastAsia="Times New Roman" w:hAnsiTheme="majorBidi" w:cstheme="majorBidi"/>
          <w:bCs/>
          <w:sz w:val="24"/>
          <w:szCs w:val="24"/>
          <w:lang w:val="en-US"/>
        </w:rPr>
        <w:t xml:space="preserve">hancing </w:t>
      </w:r>
      <w:r w:rsidR="00A84EED" w:rsidRPr="00E20572">
        <w:rPr>
          <w:rFonts w:asciiTheme="majorBidi" w:eastAsia="Times New Roman" w:hAnsiTheme="majorBidi" w:cstheme="majorBidi"/>
          <w:bCs/>
          <w:sz w:val="24"/>
          <w:szCs w:val="24"/>
          <w:lang w:val="en-US"/>
        </w:rPr>
        <w:t>stakeholders</w:t>
      </w:r>
      <w:r w:rsidR="005F1FF8" w:rsidRPr="00E20572">
        <w:rPr>
          <w:rFonts w:asciiTheme="majorBidi" w:eastAsia="Times New Roman" w:hAnsiTheme="majorBidi" w:cstheme="majorBidi"/>
          <w:bCs/>
          <w:sz w:val="24"/>
          <w:szCs w:val="24"/>
          <w:lang w:val="en-US"/>
        </w:rPr>
        <w:t>’</w:t>
      </w:r>
      <w:r w:rsidR="007D3C72" w:rsidRPr="00E20572">
        <w:rPr>
          <w:rFonts w:asciiTheme="majorBidi" w:eastAsia="Times New Roman" w:hAnsiTheme="majorBidi" w:cstheme="majorBidi"/>
          <w:bCs/>
          <w:sz w:val="24"/>
          <w:szCs w:val="24"/>
          <w:lang w:val="en-US"/>
        </w:rPr>
        <w:t xml:space="preserve"> </w:t>
      </w:r>
      <w:r w:rsidRPr="00E20572">
        <w:rPr>
          <w:rFonts w:asciiTheme="majorBidi" w:eastAsia="Times New Roman" w:hAnsiTheme="majorBidi" w:cstheme="majorBidi"/>
          <w:bCs/>
          <w:sz w:val="24"/>
          <w:szCs w:val="24"/>
          <w:lang w:val="en-US"/>
        </w:rPr>
        <w:t>understanding and application of Islamic banking principles,</w:t>
      </w:r>
      <w:r w:rsidRPr="00E20572">
        <w:rPr>
          <w:rFonts w:asciiTheme="majorBidi" w:hAnsiTheme="majorBidi" w:cstheme="majorBidi"/>
          <w:sz w:val="24"/>
          <w:szCs w:val="24"/>
          <w:lang w:val="en-US"/>
        </w:rPr>
        <w:t xml:space="preserve"> </w:t>
      </w:r>
      <w:r w:rsidR="009F0C73" w:rsidRPr="00E20572">
        <w:rPr>
          <w:rFonts w:asciiTheme="majorBidi" w:eastAsia="Times New Roman" w:hAnsiTheme="majorBidi" w:cstheme="majorBidi"/>
          <w:bCs/>
          <w:sz w:val="24"/>
          <w:szCs w:val="24"/>
          <w:lang w:val="en-US"/>
        </w:rPr>
        <w:t>enabling</w:t>
      </w:r>
      <w:r w:rsidRPr="00E20572">
        <w:rPr>
          <w:rFonts w:asciiTheme="majorBidi" w:eastAsia="Times New Roman" w:hAnsiTheme="majorBidi" w:cstheme="majorBidi"/>
          <w:bCs/>
          <w:sz w:val="24"/>
          <w:szCs w:val="24"/>
          <w:lang w:val="en-US"/>
        </w:rPr>
        <w:t xml:space="preserve"> government authorities to improve </w:t>
      </w:r>
      <w:r w:rsidR="005F1FF8" w:rsidRPr="00E20572">
        <w:rPr>
          <w:rFonts w:asciiTheme="majorBidi" w:eastAsia="Times New Roman" w:hAnsiTheme="majorBidi" w:cstheme="majorBidi"/>
          <w:bCs/>
          <w:sz w:val="24"/>
          <w:szCs w:val="24"/>
          <w:lang w:val="en-US"/>
        </w:rPr>
        <w:t xml:space="preserve">the </w:t>
      </w:r>
      <w:r w:rsidRPr="00E20572">
        <w:rPr>
          <w:rFonts w:asciiTheme="majorBidi" w:eastAsia="Times New Roman" w:hAnsiTheme="majorBidi" w:cstheme="majorBidi"/>
          <w:bCs/>
          <w:sz w:val="24"/>
          <w:szCs w:val="24"/>
          <w:lang w:val="en-US"/>
        </w:rPr>
        <w:t xml:space="preserve">regulatory </w:t>
      </w:r>
      <w:r w:rsidR="009F0C73" w:rsidRPr="00E20572">
        <w:rPr>
          <w:rFonts w:asciiTheme="majorBidi" w:eastAsia="Times New Roman" w:hAnsiTheme="majorBidi" w:cstheme="majorBidi"/>
          <w:bCs/>
          <w:sz w:val="24"/>
          <w:szCs w:val="24"/>
          <w:lang w:val="en-US"/>
        </w:rPr>
        <w:t xml:space="preserve">framework in line with </w:t>
      </w:r>
      <w:r w:rsidRPr="00E20572">
        <w:rPr>
          <w:rFonts w:asciiTheme="majorBidi" w:eastAsia="Times New Roman" w:hAnsiTheme="majorBidi" w:cstheme="majorBidi"/>
          <w:bCs/>
          <w:sz w:val="24"/>
          <w:szCs w:val="24"/>
          <w:lang w:val="en-US"/>
        </w:rPr>
        <w:t>the principles of Islamic banking.</w:t>
      </w:r>
    </w:p>
    <w:p w14:paraId="6B37B84E" w14:textId="77777777" w:rsidR="007D3C72" w:rsidRPr="00E20572" w:rsidRDefault="009F0C73"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Specific sub-objectives include:</w:t>
      </w:r>
    </w:p>
    <w:p w14:paraId="340DC7B2" w14:textId="59B8435A" w:rsidR="00DC296C" w:rsidRPr="00E20572" w:rsidRDefault="009F0C73" w:rsidP="00D26338">
      <w:pPr>
        <w:pStyle w:val="ListParagraph"/>
        <w:numPr>
          <w:ilvl w:val="0"/>
          <w:numId w:val="27"/>
        </w:numPr>
        <w:jc w:val="both"/>
        <w:rPr>
          <w:rFonts w:asciiTheme="majorBidi" w:hAnsiTheme="majorBidi" w:cstheme="majorBidi"/>
          <w:sz w:val="24"/>
          <w:szCs w:val="24"/>
          <w:lang w:val="en-US"/>
        </w:rPr>
      </w:pPr>
      <w:r w:rsidRPr="00E20572">
        <w:rPr>
          <w:rFonts w:asciiTheme="majorBidi" w:hAnsiTheme="majorBidi" w:cstheme="majorBidi"/>
          <w:sz w:val="24"/>
          <w:szCs w:val="24"/>
          <w:lang w:val="en-US"/>
        </w:rPr>
        <w:t>P</w:t>
      </w:r>
      <w:r w:rsidR="00DC296C" w:rsidRPr="00E20572">
        <w:rPr>
          <w:rFonts w:asciiTheme="majorBidi" w:hAnsiTheme="majorBidi" w:cstheme="majorBidi"/>
          <w:sz w:val="24"/>
          <w:szCs w:val="24"/>
          <w:lang w:val="en-US"/>
        </w:rPr>
        <w:t>rovid</w:t>
      </w:r>
      <w:r w:rsidRPr="00E20572">
        <w:rPr>
          <w:rFonts w:asciiTheme="majorBidi" w:hAnsiTheme="majorBidi" w:cstheme="majorBidi"/>
          <w:sz w:val="24"/>
          <w:szCs w:val="24"/>
          <w:lang w:val="en-US"/>
        </w:rPr>
        <w:t>ing</w:t>
      </w:r>
      <w:r w:rsidR="00DC296C" w:rsidRPr="00E20572">
        <w:rPr>
          <w:rFonts w:asciiTheme="majorBidi" w:hAnsiTheme="majorBidi" w:cstheme="majorBidi"/>
          <w:sz w:val="24"/>
          <w:szCs w:val="24"/>
          <w:lang w:val="en-US"/>
        </w:rPr>
        <w:t xml:space="preserve"> </w:t>
      </w:r>
      <w:r w:rsidRPr="00E20572">
        <w:rPr>
          <w:rFonts w:asciiTheme="majorBidi" w:hAnsiTheme="majorBidi" w:cstheme="majorBidi"/>
          <w:sz w:val="24"/>
          <w:szCs w:val="24"/>
          <w:lang w:val="en-US"/>
        </w:rPr>
        <w:t xml:space="preserve">targeted </w:t>
      </w:r>
      <w:r w:rsidR="00DC296C" w:rsidRPr="00E20572">
        <w:rPr>
          <w:rFonts w:asciiTheme="majorBidi" w:hAnsiTheme="majorBidi" w:cstheme="majorBidi"/>
          <w:sz w:val="24"/>
          <w:szCs w:val="24"/>
          <w:lang w:val="en-US"/>
        </w:rPr>
        <w:t xml:space="preserve">assistance to </w:t>
      </w:r>
      <w:r w:rsidRPr="00E20572">
        <w:rPr>
          <w:rFonts w:asciiTheme="majorBidi" w:hAnsiTheme="majorBidi" w:cstheme="majorBidi"/>
          <w:sz w:val="24"/>
          <w:szCs w:val="24"/>
          <w:lang w:val="en-US"/>
        </w:rPr>
        <w:t xml:space="preserve">the participating </w:t>
      </w:r>
      <w:r w:rsidR="00DC296C" w:rsidRPr="00E20572">
        <w:rPr>
          <w:rFonts w:asciiTheme="majorBidi" w:hAnsiTheme="majorBidi" w:cstheme="majorBidi"/>
          <w:sz w:val="24"/>
          <w:szCs w:val="24"/>
          <w:lang w:val="en-US"/>
        </w:rPr>
        <w:t>banks</w:t>
      </w:r>
      <w:r w:rsidRPr="00E20572">
        <w:rPr>
          <w:rFonts w:asciiTheme="majorBidi" w:hAnsiTheme="majorBidi" w:cstheme="majorBidi"/>
          <w:sz w:val="24"/>
          <w:szCs w:val="24"/>
          <w:lang w:val="en-US"/>
        </w:rPr>
        <w:t xml:space="preserve"> (Ay</w:t>
      </w:r>
      <w:r w:rsidR="005F1FF8" w:rsidRPr="00E20572">
        <w:rPr>
          <w:rFonts w:asciiTheme="majorBidi" w:hAnsiTheme="majorBidi" w:cstheme="majorBidi"/>
          <w:sz w:val="24"/>
          <w:szCs w:val="24"/>
          <w:lang w:val="en-US"/>
        </w:rPr>
        <w:t>i</w:t>
      </w:r>
      <w:r w:rsidRPr="00E20572">
        <w:rPr>
          <w:rFonts w:asciiTheme="majorBidi" w:hAnsiTheme="majorBidi" w:cstheme="majorBidi"/>
          <w:sz w:val="24"/>
          <w:szCs w:val="24"/>
          <w:lang w:val="en-US"/>
        </w:rPr>
        <w:t xml:space="preserve">l bank and Eldik Bank) </w:t>
      </w:r>
      <w:r w:rsidR="00DC296C" w:rsidRPr="00E20572">
        <w:rPr>
          <w:rFonts w:asciiTheme="majorBidi" w:hAnsiTheme="majorBidi" w:cstheme="majorBidi"/>
          <w:sz w:val="24"/>
          <w:szCs w:val="24"/>
          <w:lang w:val="en-US"/>
        </w:rPr>
        <w:t>in the implementation of the Islamic Development Bank Financing Line</w:t>
      </w:r>
      <w:r w:rsidRPr="00E20572">
        <w:rPr>
          <w:rFonts w:asciiTheme="majorBidi" w:hAnsiTheme="majorBidi" w:cstheme="majorBidi"/>
          <w:sz w:val="24"/>
          <w:szCs w:val="24"/>
          <w:lang w:val="en-US"/>
        </w:rPr>
        <w:t xml:space="preserve"> for</w:t>
      </w:r>
      <w:r w:rsidR="00DC296C" w:rsidRPr="00E20572">
        <w:rPr>
          <w:rFonts w:asciiTheme="majorBidi" w:hAnsiTheme="majorBidi" w:cstheme="majorBidi"/>
          <w:sz w:val="24"/>
          <w:szCs w:val="24"/>
          <w:lang w:val="en-US"/>
        </w:rPr>
        <w:t xml:space="preserve"> agricultural mechanization in the Kyrgyz Republic</w:t>
      </w:r>
      <w:r w:rsidRPr="00E20572">
        <w:rPr>
          <w:rFonts w:asciiTheme="majorBidi" w:hAnsiTheme="majorBidi" w:cstheme="majorBidi"/>
          <w:sz w:val="24"/>
          <w:szCs w:val="24"/>
          <w:lang w:val="en-US"/>
        </w:rPr>
        <w:t xml:space="preserve">. This assistance will focus on </w:t>
      </w:r>
      <w:r w:rsidR="00DC296C" w:rsidRPr="00E20572">
        <w:rPr>
          <w:rFonts w:asciiTheme="majorBidi" w:hAnsiTheme="majorBidi" w:cstheme="majorBidi"/>
          <w:sz w:val="24"/>
          <w:szCs w:val="24"/>
          <w:lang w:val="en-US"/>
        </w:rPr>
        <w:t xml:space="preserve">the introduction of new Islamic banking products </w:t>
      </w:r>
      <w:r w:rsidRPr="00E20572">
        <w:rPr>
          <w:rFonts w:asciiTheme="majorBidi" w:hAnsiTheme="majorBidi" w:cstheme="majorBidi"/>
          <w:sz w:val="24"/>
          <w:szCs w:val="24"/>
          <w:lang w:val="en-US"/>
        </w:rPr>
        <w:t>that align with s</w:t>
      </w:r>
      <w:r w:rsidR="00DC296C" w:rsidRPr="00E20572">
        <w:rPr>
          <w:rFonts w:asciiTheme="majorBidi" w:hAnsiTheme="majorBidi" w:cstheme="majorBidi"/>
          <w:sz w:val="24"/>
          <w:szCs w:val="24"/>
          <w:lang w:val="en-US"/>
        </w:rPr>
        <w:t>tate</w:t>
      </w:r>
      <w:r w:rsidRPr="00E20572">
        <w:rPr>
          <w:rFonts w:asciiTheme="majorBidi" w:hAnsiTheme="majorBidi" w:cstheme="majorBidi"/>
          <w:sz w:val="24"/>
          <w:szCs w:val="24"/>
          <w:lang w:val="en-US"/>
        </w:rPr>
        <w:t xml:space="preserve"> agriculture development</w:t>
      </w:r>
      <w:r w:rsidR="00DC296C" w:rsidRPr="00E20572">
        <w:rPr>
          <w:rFonts w:asciiTheme="majorBidi" w:hAnsiTheme="majorBidi" w:cstheme="majorBidi"/>
          <w:sz w:val="24"/>
          <w:szCs w:val="24"/>
          <w:lang w:val="en-US"/>
        </w:rPr>
        <w:t xml:space="preserve"> programs.</w:t>
      </w:r>
    </w:p>
    <w:p w14:paraId="0FB2C1FF" w14:textId="77777777" w:rsidR="009F0C73" w:rsidRPr="00E20572" w:rsidRDefault="009F0C73" w:rsidP="00D26338">
      <w:pPr>
        <w:pStyle w:val="ListParagraph"/>
        <w:numPr>
          <w:ilvl w:val="0"/>
          <w:numId w:val="27"/>
        </w:num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Developing a cadre of "train-the-trainer" participants to address local market demands for expertise in Islamic finance principles, thereby ensuring sustainable knowledge dissemination.</w:t>
      </w:r>
    </w:p>
    <w:p w14:paraId="5736A8CA" w14:textId="0CC70A90" w:rsidR="00691CA3" w:rsidRPr="00E20572" w:rsidRDefault="004B0375" w:rsidP="00D26338">
      <w:pPr>
        <w:pStyle w:val="ListParagraph"/>
        <w:numPr>
          <w:ilvl w:val="0"/>
          <w:numId w:val="27"/>
        </w:num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Delivering a tailored curriculum and</w:t>
      </w:r>
      <w:r w:rsidRPr="00E20572" w:rsidDel="004B0375">
        <w:rPr>
          <w:rFonts w:asciiTheme="majorBidi" w:eastAsia="Times New Roman" w:hAnsiTheme="majorBidi" w:cstheme="majorBidi"/>
          <w:bCs/>
          <w:sz w:val="24"/>
          <w:szCs w:val="24"/>
          <w:lang w:val="en-US"/>
        </w:rPr>
        <w:t xml:space="preserve"> </w:t>
      </w:r>
      <w:r w:rsidR="00691CA3" w:rsidRPr="00E20572">
        <w:rPr>
          <w:rFonts w:asciiTheme="majorBidi" w:eastAsia="Times New Roman" w:hAnsiTheme="majorBidi" w:cstheme="majorBidi"/>
          <w:bCs/>
          <w:sz w:val="24"/>
          <w:szCs w:val="24"/>
          <w:lang w:val="en-US"/>
        </w:rPr>
        <w:t xml:space="preserve">a full range of online and offline educational programs, </w:t>
      </w:r>
      <w:r w:rsidRPr="00E20572">
        <w:rPr>
          <w:rFonts w:asciiTheme="majorBidi" w:eastAsia="Times New Roman" w:hAnsiTheme="majorBidi" w:cstheme="majorBidi"/>
          <w:bCs/>
          <w:sz w:val="24"/>
          <w:szCs w:val="24"/>
          <w:lang w:val="en-US"/>
        </w:rPr>
        <w:t>along with</w:t>
      </w:r>
      <w:r w:rsidRPr="00E20572">
        <w:rPr>
          <w:rFonts w:asciiTheme="majorBidi" w:hAnsiTheme="majorBidi" w:cstheme="majorBidi"/>
          <w:sz w:val="24"/>
          <w:szCs w:val="24"/>
          <w:lang w:val="en-US"/>
        </w:rPr>
        <w:t xml:space="preserve"> </w:t>
      </w:r>
      <w:r w:rsidR="00691CA3" w:rsidRPr="00E20572">
        <w:rPr>
          <w:rFonts w:asciiTheme="majorBidi" w:eastAsia="Times New Roman" w:hAnsiTheme="majorBidi" w:cstheme="majorBidi"/>
          <w:bCs/>
          <w:sz w:val="24"/>
          <w:szCs w:val="24"/>
          <w:lang w:val="en-US"/>
        </w:rPr>
        <w:t xml:space="preserve">consultations on </w:t>
      </w:r>
      <w:r w:rsidRPr="00E20572">
        <w:rPr>
          <w:rFonts w:asciiTheme="majorBidi" w:eastAsia="Times New Roman" w:hAnsiTheme="majorBidi" w:cstheme="majorBidi"/>
          <w:bCs/>
          <w:sz w:val="24"/>
          <w:szCs w:val="24"/>
          <w:lang w:val="en-US"/>
        </w:rPr>
        <w:t xml:space="preserve">key </w:t>
      </w:r>
      <w:r w:rsidR="00691CA3" w:rsidRPr="00E20572">
        <w:rPr>
          <w:rFonts w:asciiTheme="majorBidi" w:eastAsia="Times New Roman" w:hAnsiTheme="majorBidi" w:cstheme="majorBidi"/>
          <w:bCs/>
          <w:sz w:val="24"/>
          <w:szCs w:val="24"/>
          <w:lang w:val="en-US"/>
        </w:rPr>
        <w:t>aspects of Islamic banking and finance</w:t>
      </w:r>
      <w:r w:rsidRPr="00E20572">
        <w:rPr>
          <w:rFonts w:asciiTheme="majorBidi" w:eastAsia="Times New Roman" w:hAnsiTheme="majorBidi" w:cstheme="majorBidi"/>
          <w:bCs/>
          <w:sz w:val="24"/>
          <w:szCs w:val="24"/>
          <w:lang w:val="en-US"/>
        </w:rPr>
        <w:t xml:space="preserve">. These services will target relevant as outlined in the subsequent sections and will be </w:t>
      </w:r>
      <w:r w:rsidR="00D26338" w:rsidRPr="00E20572">
        <w:rPr>
          <w:rFonts w:asciiTheme="majorBidi" w:eastAsia="Times New Roman" w:hAnsiTheme="majorBidi" w:cstheme="majorBidi"/>
          <w:bCs/>
          <w:sz w:val="24"/>
          <w:szCs w:val="24"/>
          <w:lang w:val="en-US"/>
        </w:rPr>
        <w:t>framed within</w:t>
      </w:r>
      <w:r w:rsidR="00691CA3" w:rsidRPr="00E20572">
        <w:rPr>
          <w:rFonts w:asciiTheme="majorBidi" w:eastAsia="Times New Roman" w:hAnsiTheme="majorBidi" w:cstheme="majorBidi"/>
          <w:bCs/>
          <w:sz w:val="24"/>
          <w:szCs w:val="24"/>
          <w:lang w:val="en-US"/>
        </w:rPr>
        <w:t xml:space="preserve"> the Technical Assistance of the IsDB Institute.</w:t>
      </w:r>
    </w:p>
    <w:p w14:paraId="102E1AA3" w14:textId="77777777" w:rsidR="00B90143" w:rsidRPr="00E20572" w:rsidRDefault="00B90143">
      <w:pPr>
        <w:spacing w:before="120" w:after="0" w:line="240" w:lineRule="auto"/>
        <w:ind w:firstLine="708"/>
        <w:jc w:val="both"/>
        <w:rPr>
          <w:rFonts w:asciiTheme="majorBidi" w:eastAsia="Times New Roman" w:hAnsiTheme="majorBidi" w:cstheme="majorBidi"/>
          <w:bCs/>
          <w:sz w:val="24"/>
          <w:szCs w:val="24"/>
          <w:lang w:val="en-US"/>
        </w:rPr>
      </w:pPr>
    </w:p>
    <w:p w14:paraId="70008E66" w14:textId="7F1AA011" w:rsidR="003F035B" w:rsidRPr="00E20572" w:rsidRDefault="000B4541" w:rsidP="00E20572">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5</w:t>
      </w:r>
      <w:r w:rsidR="003F035B" w:rsidRPr="00E20572">
        <w:rPr>
          <w:rFonts w:asciiTheme="majorBidi" w:eastAsia="Times New Roman" w:hAnsiTheme="majorBidi" w:cstheme="majorBidi"/>
          <w:b/>
          <w:sz w:val="24"/>
          <w:szCs w:val="24"/>
          <w:lang w:val="en-US"/>
        </w:rPr>
        <w:t xml:space="preserve">. Scope of Services, Tasks (Components) and Expected Deliverables </w:t>
      </w:r>
    </w:p>
    <w:p w14:paraId="6063E241" w14:textId="3B7BB42C" w:rsidR="000B4541" w:rsidRPr="00E20572" w:rsidRDefault="000B4541" w:rsidP="000B4541">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5.1 Overview of Services</w:t>
      </w:r>
    </w:p>
    <w:p w14:paraId="72EBB38C" w14:textId="77777777" w:rsidR="004B0375" w:rsidRPr="00E20572" w:rsidRDefault="004B0375" w:rsidP="00C2611A">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The Consultant will deliver comprehensive training and consulting services to support the effective implementation of Islamic finance capacity-building initiatives under the project. These services encompass curriculum development, delivery of online and offline training programs, and targeted consulting for participants in the Islamic Development Bank (IsDB) Financing Line for agricultural mechanization in the Kyrgyz Republic</w:t>
      </w:r>
      <w:r w:rsidR="00844306" w:rsidRPr="00E20572">
        <w:rPr>
          <w:rFonts w:asciiTheme="majorBidi" w:eastAsia="Times New Roman" w:hAnsiTheme="majorBidi" w:cstheme="majorBidi"/>
          <w:bCs/>
          <w:sz w:val="24"/>
          <w:szCs w:val="24"/>
          <w:lang w:val="en-US"/>
        </w:rPr>
        <w:t>.</w:t>
      </w:r>
    </w:p>
    <w:p w14:paraId="4C251A0A" w14:textId="77777777" w:rsidR="003F035B" w:rsidRPr="00E20572" w:rsidRDefault="00C2611A"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All trainings </w:t>
      </w:r>
      <w:r w:rsidR="004B0375" w:rsidRPr="00E20572">
        <w:rPr>
          <w:rFonts w:asciiTheme="majorBidi" w:eastAsia="Times New Roman" w:hAnsiTheme="majorBidi" w:cstheme="majorBidi"/>
          <w:bCs/>
          <w:sz w:val="24"/>
          <w:szCs w:val="24"/>
          <w:lang w:val="en-US"/>
        </w:rPr>
        <w:t xml:space="preserve">sessions </w:t>
      </w:r>
      <w:r w:rsidRPr="00E20572">
        <w:rPr>
          <w:rFonts w:asciiTheme="majorBidi" w:eastAsia="Times New Roman" w:hAnsiTheme="majorBidi" w:cstheme="majorBidi"/>
          <w:bCs/>
          <w:sz w:val="24"/>
          <w:szCs w:val="24"/>
          <w:lang w:val="en-US"/>
        </w:rPr>
        <w:t>will be conducted in English, translation will be provided from the side of the Kyrgyz Republic.</w:t>
      </w:r>
      <w:r w:rsidR="003F035B" w:rsidRPr="00E20572">
        <w:rPr>
          <w:rFonts w:asciiTheme="majorBidi" w:eastAsia="Times New Roman" w:hAnsiTheme="majorBidi" w:cstheme="majorBidi"/>
          <w:bCs/>
          <w:sz w:val="24"/>
          <w:szCs w:val="24"/>
          <w:lang w:val="en-US"/>
        </w:rPr>
        <w:t xml:space="preserve"> </w:t>
      </w:r>
      <w:r w:rsidR="004B0375" w:rsidRPr="00E20572">
        <w:rPr>
          <w:rFonts w:asciiTheme="majorBidi" w:eastAsia="Times New Roman" w:hAnsiTheme="majorBidi" w:cstheme="majorBidi"/>
          <w:bCs/>
          <w:sz w:val="24"/>
          <w:szCs w:val="24"/>
          <w:lang w:val="en-US"/>
        </w:rPr>
        <w:t>Certificates of completion will be awarded to participants upon successful fulfillment of program requirements.</w:t>
      </w:r>
    </w:p>
    <w:p w14:paraId="25CA3C84" w14:textId="45A2AF89" w:rsidR="00C2611A" w:rsidRPr="00E20572" w:rsidRDefault="00C2611A" w:rsidP="00C2611A">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The training will consist of two </w:t>
      </w:r>
      <w:r w:rsidR="004B0375" w:rsidRPr="00E20572">
        <w:rPr>
          <w:rFonts w:asciiTheme="majorBidi" w:eastAsia="Times New Roman" w:hAnsiTheme="majorBidi" w:cstheme="majorBidi"/>
          <w:bCs/>
          <w:sz w:val="24"/>
          <w:szCs w:val="24"/>
          <w:lang w:val="en-US"/>
        </w:rPr>
        <w:t xml:space="preserve">formats </w:t>
      </w:r>
      <w:r w:rsidRPr="00E20572">
        <w:rPr>
          <w:rFonts w:asciiTheme="majorBidi" w:eastAsia="Times New Roman" w:hAnsiTheme="majorBidi" w:cstheme="majorBidi"/>
          <w:bCs/>
          <w:sz w:val="24"/>
          <w:szCs w:val="24"/>
          <w:lang w:val="en-US"/>
        </w:rPr>
        <w:t xml:space="preserve">- virtual (online) </w:t>
      </w:r>
      <w:r w:rsidR="000B4541" w:rsidRPr="00E20572">
        <w:rPr>
          <w:rFonts w:asciiTheme="majorBidi" w:eastAsia="Times New Roman" w:hAnsiTheme="majorBidi" w:cstheme="majorBidi"/>
          <w:bCs/>
          <w:sz w:val="24"/>
          <w:szCs w:val="24"/>
          <w:lang w:val="en-US"/>
        </w:rPr>
        <w:t xml:space="preserve">for broader accessibility </w:t>
      </w:r>
      <w:r w:rsidRPr="00E20572">
        <w:rPr>
          <w:rFonts w:asciiTheme="majorBidi" w:eastAsia="Times New Roman" w:hAnsiTheme="majorBidi" w:cstheme="majorBidi"/>
          <w:bCs/>
          <w:sz w:val="24"/>
          <w:szCs w:val="24"/>
          <w:lang w:val="en-US"/>
        </w:rPr>
        <w:t xml:space="preserve">and physical (offline) in Bishkek, Kyrgyz Republic. In addition to </w:t>
      </w:r>
      <w:r w:rsidR="000B4541" w:rsidRPr="00E20572">
        <w:rPr>
          <w:rFonts w:asciiTheme="majorBidi" w:eastAsia="Times New Roman" w:hAnsiTheme="majorBidi" w:cstheme="majorBidi"/>
          <w:bCs/>
          <w:sz w:val="24"/>
          <w:szCs w:val="24"/>
          <w:lang w:val="en-US"/>
        </w:rPr>
        <w:t xml:space="preserve">core </w:t>
      </w:r>
      <w:r w:rsidRPr="00E20572">
        <w:rPr>
          <w:rFonts w:asciiTheme="majorBidi" w:eastAsia="Times New Roman" w:hAnsiTheme="majorBidi" w:cstheme="majorBidi"/>
          <w:bCs/>
          <w:sz w:val="24"/>
          <w:szCs w:val="24"/>
          <w:lang w:val="en-US"/>
        </w:rPr>
        <w:t xml:space="preserve">training, </w:t>
      </w:r>
      <w:r w:rsidR="000B4541" w:rsidRPr="00E20572">
        <w:rPr>
          <w:rFonts w:asciiTheme="majorBidi" w:eastAsia="Times New Roman" w:hAnsiTheme="majorBidi" w:cstheme="majorBidi"/>
          <w:bCs/>
          <w:sz w:val="24"/>
          <w:szCs w:val="24"/>
          <w:lang w:val="en-US"/>
        </w:rPr>
        <w:t xml:space="preserve">the </w:t>
      </w:r>
      <w:r w:rsidRPr="00E20572">
        <w:rPr>
          <w:rFonts w:asciiTheme="majorBidi" w:eastAsia="Times New Roman" w:hAnsiTheme="majorBidi" w:cstheme="majorBidi"/>
          <w:bCs/>
          <w:sz w:val="24"/>
          <w:szCs w:val="24"/>
          <w:lang w:val="en-US"/>
        </w:rPr>
        <w:t>consult</w:t>
      </w:r>
      <w:r w:rsidR="000B4541" w:rsidRPr="00E20572">
        <w:rPr>
          <w:rFonts w:asciiTheme="majorBidi" w:eastAsia="Times New Roman" w:hAnsiTheme="majorBidi" w:cstheme="majorBidi"/>
          <w:bCs/>
          <w:sz w:val="24"/>
          <w:szCs w:val="24"/>
          <w:lang w:val="en-US"/>
        </w:rPr>
        <w:t xml:space="preserve">ant will provide ongoing support </w:t>
      </w:r>
      <w:r w:rsidR="00D26338" w:rsidRPr="00E20572">
        <w:rPr>
          <w:rFonts w:asciiTheme="majorBidi" w:eastAsia="Times New Roman" w:hAnsiTheme="majorBidi" w:cstheme="majorBidi"/>
          <w:bCs/>
          <w:sz w:val="24"/>
          <w:szCs w:val="24"/>
          <w:lang w:val="en-US"/>
        </w:rPr>
        <w:t>to participants</w:t>
      </w:r>
      <w:r w:rsidRPr="00E20572">
        <w:rPr>
          <w:rFonts w:asciiTheme="majorBidi" w:eastAsia="Times New Roman" w:hAnsiTheme="majorBidi" w:cstheme="majorBidi"/>
          <w:bCs/>
          <w:sz w:val="24"/>
          <w:szCs w:val="24"/>
          <w:lang w:val="en-US"/>
        </w:rPr>
        <w:t xml:space="preserve"> </w:t>
      </w:r>
      <w:r w:rsidR="000B4541" w:rsidRPr="00E20572">
        <w:rPr>
          <w:rFonts w:asciiTheme="majorBidi" w:eastAsia="Times New Roman" w:hAnsiTheme="majorBidi" w:cstheme="majorBidi"/>
          <w:bCs/>
          <w:sz w:val="24"/>
          <w:szCs w:val="24"/>
          <w:lang w:val="en-US"/>
        </w:rPr>
        <w:t>involve</w:t>
      </w:r>
      <w:r w:rsidR="00DA2BED" w:rsidRPr="00E20572">
        <w:rPr>
          <w:rFonts w:asciiTheme="majorBidi" w:eastAsia="Times New Roman" w:hAnsiTheme="majorBidi" w:cstheme="majorBidi"/>
          <w:bCs/>
          <w:sz w:val="24"/>
          <w:szCs w:val="24"/>
          <w:lang w:val="en-US"/>
        </w:rPr>
        <w:t>d</w:t>
      </w:r>
      <w:r w:rsidR="000B4541" w:rsidRPr="00E20572">
        <w:rPr>
          <w:rFonts w:asciiTheme="majorBidi" w:eastAsia="Times New Roman" w:hAnsiTheme="majorBidi" w:cstheme="majorBidi"/>
          <w:bCs/>
          <w:sz w:val="24"/>
          <w:szCs w:val="24"/>
          <w:lang w:val="en-US"/>
        </w:rPr>
        <w:t xml:space="preserve"> </w:t>
      </w:r>
      <w:r w:rsidR="00D26338" w:rsidRPr="00E20572">
        <w:rPr>
          <w:rFonts w:asciiTheme="majorBidi" w:eastAsia="Times New Roman" w:hAnsiTheme="majorBidi" w:cstheme="majorBidi"/>
          <w:bCs/>
          <w:sz w:val="24"/>
          <w:szCs w:val="24"/>
          <w:lang w:val="en-US"/>
        </w:rPr>
        <w:t>in the</w:t>
      </w:r>
      <w:r w:rsidRPr="00E20572">
        <w:rPr>
          <w:rFonts w:asciiTheme="majorBidi" w:eastAsia="Times New Roman" w:hAnsiTheme="majorBidi" w:cstheme="majorBidi"/>
          <w:bCs/>
          <w:sz w:val="24"/>
          <w:szCs w:val="24"/>
          <w:lang w:val="en-US"/>
        </w:rPr>
        <w:t xml:space="preserve"> Islamic Development Bank Financing Line project</w:t>
      </w:r>
      <w:r w:rsidR="000B4541" w:rsidRPr="00E20572">
        <w:rPr>
          <w:rFonts w:asciiTheme="majorBidi" w:eastAsia="Times New Roman" w:hAnsiTheme="majorBidi" w:cstheme="majorBidi"/>
          <w:bCs/>
          <w:sz w:val="24"/>
          <w:szCs w:val="24"/>
          <w:lang w:val="en-US"/>
        </w:rPr>
        <w:t xml:space="preserve">, focusing on the practical application of Islamic banking products for </w:t>
      </w:r>
      <w:r w:rsidRPr="00E20572">
        <w:rPr>
          <w:rFonts w:asciiTheme="majorBidi" w:eastAsia="Times New Roman" w:hAnsiTheme="majorBidi" w:cstheme="majorBidi"/>
          <w:bCs/>
          <w:sz w:val="24"/>
          <w:szCs w:val="24"/>
          <w:lang w:val="en-US"/>
        </w:rPr>
        <w:t>agricultural mechanization in the Kyrgyz Republic.</w:t>
      </w:r>
    </w:p>
    <w:p w14:paraId="09D04FA4" w14:textId="0D00C960" w:rsidR="00C2611A" w:rsidRPr="00E20572" w:rsidRDefault="00C2611A" w:rsidP="00C2611A">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Three </w:t>
      </w:r>
      <w:r w:rsidR="000B4541" w:rsidRPr="00E20572">
        <w:rPr>
          <w:rFonts w:asciiTheme="majorBidi" w:eastAsia="Times New Roman" w:hAnsiTheme="majorBidi" w:cstheme="majorBidi"/>
          <w:bCs/>
          <w:sz w:val="24"/>
          <w:szCs w:val="24"/>
          <w:lang w:val="en-US"/>
        </w:rPr>
        <w:t xml:space="preserve">distinct participant </w:t>
      </w:r>
      <w:r w:rsidRPr="00E20572">
        <w:rPr>
          <w:rFonts w:asciiTheme="majorBidi" w:eastAsia="Times New Roman" w:hAnsiTheme="majorBidi" w:cstheme="majorBidi"/>
          <w:bCs/>
          <w:sz w:val="24"/>
          <w:szCs w:val="24"/>
          <w:lang w:val="en-US"/>
        </w:rPr>
        <w:t>groups will take part in the training:</w:t>
      </w:r>
    </w:p>
    <w:p w14:paraId="6FA5E106" w14:textId="7FA888C3" w:rsidR="00C2611A" w:rsidRPr="00E20572" w:rsidRDefault="00C2611A" w:rsidP="00C2611A">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
          <w:sz w:val="24"/>
          <w:szCs w:val="24"/>
          <w:lang w:val="en-US"/>
        </w:rPr>
        <w:t>Group 1</w:t>
      </w:r>
      <w:r w:rsidRPr="00E20572">
        <w:rPr>
          <w:rFonts w:asciiTheme="majorBidi" w:eastAsia="Times New Roman" w:hAnsiTheme="majorBidi" w:cstheme="majorBidi"/>
          <w:bCs/>
          <w:sz w:val="24"/>
          <w:szCs w:val="24"/>
          <w:lang w:val="en-US"/>
        </w:rPr>
        <w:t xml:space="preserve"> - </w:t>
      </w:r>
      <w:r w:rsidR="000B4541" w:rsidRPr="00E20572">
        <w:rPr>
          <w:rFonts w:asciiTheme="majorBidi" w:eastAsia="Times New Roman" w:hAnsiTheme="majorBidi" w:cstheme="majorBidi"/>
          <w:bCs/>
          <w:sz w:val="24"/>
          <w:szCs w:val="24"/>
          <w:lang w:val="en-US"/>
        </w:rPr>
        <w:t>Employees from regulatory and governmental bodies, including</w:t>
      </w:r>
      <w:r w:rsidRPr="00E20572">
        <w:rPr>
          <w:rFonts w:asciiTheme="majorBidi" w:eastAsia="Times New Roman" w:hAnsiTheme="majorBidi" w:cstheme="majorBidi"/>
          <w:bCs/>
          <w:sz w:val="24"/>
          <w:szCs w:val="24"/>
          <w:lang w:val="en-US"/>
        </w:rPr>
        <w:t xml:space="preserve"> the National Bank of the Kyrgyz Republic, the Ministry of Economy and Commerce, the Financial Market Regulation and Supervision Service, the Ministry of Justice, the Ministry of Finance, the State Tax Service, the State Customs Service,</w:t>
      </w:r>
      <w:r w:rsidRPr="00E20572">
        <w:rPr>
          <w:rFonts w:asciiTheme="majorBidi" w:hAnsiTheme="majorBidi" w:cstheme="majorBidi"/>
          <w:sz w:val="24"/>
          <w:szCs w:val="24"/>
          <w:lang w:val="en-US"/>
        </w:rPr>
        <w:t xml:space="preserve"> </w:t>
      </w:r>
      <w:r w:rsidRPr="00E20572">
        <w:rPr>
          <w:rFonts w:asciiTheme="majorBidi" w:eastAsia="Times New Roman" w:hAnsiTheme="majorBidi" w:cstheme="majorBidi"/>
          <w:bCs/>
          <w:sz w:val="24"/>
          <w:szCs w:val="24"/>
          <w:lang w:val="en-US"/>
        </w:rPr>
        <w:t>State Mortgage Company, State Insurance Company, State Enterprise “Cadastr” under the State Agency of Land Resources, State Enterprise “UNAA”, financial and credit organizations, etc.</w:t>
      </w:r>
    </w:p>
    <w:p w14:paraId="7BF7B72E" w14:textId="72A12EEA" w:rsidR="00C2611A" w:rsidRPr="00E20572" w:rsidRDefault="00C2611A" w:rsidP="00C2611A">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
          <w:sz w:val="24"/>
          <w:szCs w:val="24"/>
          <w:lang w:val="en-US"/>
        </w:rPr>
        <w:t>Group 2</w:t>
      </w:r>
      <w:r w:rsidRPr="00E20572">
        <w:rPr>
          <w:rFonts w:asciiTheme="majorBidi" w:eastAsia="Times New Roman" w:hAnsiTheme="majorBidi" w:cstheme="majorBidi"/>
          <w:bCs/>
          <w:sz w:val="24"/>
          <w:szCs w:val="24"/>
          <w:lang w:val="en-US"/>
        </w:rPr>
        <w:t xml:space="preserve"> </w:t>
      </w:r>
      <w:r w:rsidR="000B4541" w:rsidRPr="00E20572">
        <w:rPr>
          <w:rFonts w:asciiTheme="majorBidi" w:eastAsia="Times New Roman" w:hAnsiTheme="majorBidi" w:cstheme="majorBidi"/>
          <w:bCs/>
          <w:sz w:val="24"/>
          <w:szCs w:val="24"/>
          <w:lang w:val="en-US"/>
        </w:rPr>
        <w:t>–</w:t>
      </w:r>
      <w:r w:rsidRPr="00E20572">
        <w:rPr>
          <w:rFonts w:asciiTheme="majorBidi" w:eastAsia="Times New Roman" w:hAnsiTheme="majorBidi" w:cstheme="majorBidi"/>
          <w:bCs/>
          <w:sz w:val="24"/>
          <w:szCs w:val="24"/>
          <w:lang w:val="en-US"/>
        </w:rPr>
        <w:t xml:space="preserve"> </w:t>
      </w:r>
      <w:r w:rsidR="000B4541" w:rsidRPr="00E20572">
        <w:rPr>
          <w:rFonts w:asciiTheme="majorBidi" w:eastAsia="Times New Roman" w:hAnsiTheme="majorBidi" w:cstheme="majorBidi"/>
          <w:bCs/>
          <w:sz w:val="24"/>
          <w:szCs w:val="24"/>
          <w:lang w:val="en-US"/>
        </w:rPr>
        <w:t xml:space="preserve">Employees from </w:t>
      </w:r>
      <w:r w:rsidRPr="00E20572">
        <w:rPr>
          <w:rFonts w:asciiTheme="majorBidi" w:eastAsia="Times New Roman" w:hAnsiTheme="majorBidi" w:cstheme="majorBidi"/>
          <w:bCs/>
          <w:sz w:val="24"/>
          <w:szCs w:val="24"/>
          <w:lang w:val="en-US"/>
        </w:rPr>
        <w:t xml:space="preserve">Aiyl Bank OJSC, Eldik Bank OJSC; </w:t>
      </w:r>
    </w:p>
    <w:p w14:paraId="693B52F3" w14:textId="08691AB4" w:rsidR="00C2611A" w:rsidRPr="00E20572" w:rsidRDefault="00C2611A" w:rsidP="000B4541">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
          <w:sz w:val="24"/>
          <w:szCs w:val="24"/>
          <w:lang w:val="en-US"/>
        </w:rPr>
        <w:t>Group 3</w:t>
      </w:r>
      <w:r w:rsidRPr="00E20572">
        <w:rPr>
          <w:rFonts w:asciiTheme="majorBidi" w:eastAsia="Times New Roman" w:hAnsiTheme="majorBidi" w:cstheme="majorBidi"/>
          <w:bCs/>
          <w:sz w:val="24"/>
          <w:szCs w:val="24"/>
          <w:lang w:val="en-US"/>
        </w:rPr>
        <w:t xml:space="preserve"> - </w:t>
      </w:r>
      <w:r w:rsidR="000B4541" w:rsidRPr="00E20572">
        <w:rPr>
          <w:rFonts w:asciiTheme="majorBidi" w:eastAsia="Times New Roman" w:hAnsiTheme="majorBidi" w:cstheme="majorBidi"/>
          <w:bCs/>
          <w:sz w:val="24"/>
          <w:szCs w:val="24"/>
          <w:lang w:val="en-US"/>
        </w:rPr>
        <w:t xml:space="preserve">Employees from </w:t>
      </w:r>
      <w:r w:rsidRPr="00E20572">
        <w:rPr>
          <w:rFonts w:asciiTheme="majorBidi" w:eastAsia="Times New Roman" w:hAnsiTheme="majorBidi" w:cstheme="majorBidi"/>
          <w:bCs/>
          <w:sz w:val="24"/>
          <w:szCs w:val="24"/>
          <w:lang w:val="en-US"/>
        </w:rPr>
        <w:t xml:space="preserve">the National Bank, the </w:t>
      </w:r>
      <w:r w:rsidR="00A849A7" w:rsidRPr="00E20572">
        <w:rPr>
          <w:rFonts w:asciiTheme="majorBidi" w:eastAsia="Times New Roman" w:hAnsiTheme="majorBidi" w:cstheme="majorBidi"/>
          <w:bCs/>
          <w:sz w:val="24"/>
          <w:szCs w:val="24"/>
          <w:lang w:val="en-US"/>
        </w:rPr>
        <w:t xml:space="preserve">Service for </w:t>
      </w:r>
      <w:r w:rsidRPr="00E20572">
        <w:rPr>
          <w:rFonts w:asciiTheme="majorBidi" w:eastAsia="Times New Roman" w:hAnsiTheme="majorBidi" w:cstheme="majorBidi"/>
          <w:bCs/>
          <w:sz w:val="24"/>
          <w:szCs w:val="24"/>
          <w:lang w:val="en-US"/>
        </w:rPr>
        <w:t>Regulation and Supervision</w:t>
      </w:r>
      <w:r w:rsidR="00A849A7" w:rsidRPr="00E20572">
        <w:rPr>
          <w:rFonts w:asciiTheme="majorBidi" w:eastAsia="Times New Roman" w:hAnsiTheme="majorBidi" w:cstheme="majorBidi"/>
          <w:bCs/>
          <w:sz w:val="24"/>
          <w:szCs w:val="24"/>
          <w:lang w:val="en-US"/>
        </w:rPr>
        <w:t xml:space="preserve"> of the Financial Market  under the Ministry of Economy and Commerce of the Kyrgyz Republic</w:t>
      </w:r>
      <w:r w:rsidRPr="00E20572">
        <w:rPr>
          <w:rFonts w:asciiTheme="majorBidi" w:eastAsia="Times New Roman" w:hAnsiTheme="majorBidi" w:cstheme="majorBidi"/>
          <w:bCs/>
          <w:sz w:val="24"/>
          <w:szCs w:val="24"/>
          <w:lang w:val="en-US"/>
        </w:rPr>
        <w:t>, commercial banks, members of Sharia Councils, etc.</w:t>
      </w:r>
    </w:p>
    <w:p w14:paraId="23EA1C34" w14:textId="77777777" w:rsidR="000B4541" w:rsidRPr="00E20572" w:rsidRDefault="000B4541" w:rsidP="000B4541">
      <w:pPr>
        <w:spacing w:before="120" w:after="0" w:line="240" w:lineRule="auto"/>
        <w:jc w:val="both"/>
        <w:rPr>
          <w:rFonts w:asciiTheme="majorBidi" w:eastAsia="Times New Roman" w:hAnsiTheme="majorBidi" w:cstheme="majorBidi"/>
          <w:bCs/>
          <w:sz w:val="24"/>
          <w:szCs w:val="24"/>
          <w:lang w:val="en-US"/>
        </w:rPr>
      </w:pPr>
    </w:p>
    <w:p w14:paraId="6748CE41" w14:textId="77777777" w:rsidR="000B4541" w:rsidRPr="00E20572" w:rsidRDefault="000B4541" w:rsidP="000B4541">
      <w:pPr>
        <w:spacing w:before="120" w:after="0" w:line="240" w:lineRule="auto"/>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5.2 Main Program Components</w:t>
      </w:r>
    </w:p>
    <w:p w14:paraId="5B8BD84E" w14:textId="5A9E3D6D" w:rsidR="00C72277" w:rsidRPr="00E20572" w:rsidRDefault="00C72277"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The </w:t>
      </w:r>
      <w:r w:rsidR="000B4541" w:rsidRPr="00E20572">
        <w:rPr>
          <w:rFonts w:asciiTheme="majorBidi" w:eastAsia="Times New Roman" w:hAnsiTheme="majorBidi" w:cstheme="majorBidi"/>
          <w:bCs/>
          <w:sz w:val="24"/>
          <w:szCs w:val="24"/>
          <w:lang w:val="en-US"/>
        </w:rPr>
        <w:t>following table summarizes the key components, including durations, participant numbers, target audiences, and core topics. Detailed descriptions follow the table</w:t>
      </w:r>
      <w:r w:rsidRPr="00E20572">
        <w:rPr>
          <w:rFonts w:asciiTheme="majorBidi" w:eastAsia="Times New Roman" w:hAnsiTheme="majorBidi" w:cstheme="majorBidi"/>
          <w:bCs/>
          <w:sz w:val="24"/>
          <w:szCs w:val="24"/>
          <w:lang w:val="en-US"/>
        </w:rPr>
        <w:t>.</w:t>
      </w:r>
    </w:p>
    <w:p w14:paraId="1EF61090" w14:textId="77777777" w:rsidR="00C72277" w:rsidRPr="00E20572" w:rsidRDefault="00C72277" w:rsidP="000B4541">
      <w:pPr>
        <w:spacing w:before="120" w:after="0" w:line="240" w:lineRule="auto"/>
        <w:jc w:val="both"/>
        <w:rPr>
          <w:rFonts w:asciiTheme="majorBidi" w:eastAsia="Times New Roman" w:hAnsiTheme="majorBidi" w:cstheme="majorBidi"/>
          <w:bCs/>
          <w:sz w:val="24"/>
          <w:szCs w:val="24"/>
          <w:lang w:val="en-US"/>
        </w:rPr>
      </w:pPr>
    </w:p>
    <w:tbl>
      <w:tblPr>
        <w:tblW w:w="9918" w:type="dxa"/>
        <w:tblLook w:val="04A0" w:firstRow="1" w:lastRow="0" w:firstColumn="1" w:lastColumn="0" w:noHBand="0" w:noVBand="1"/>
      </w:tblPr>
      <w:tblGrid>
        <w:gridCol w:w="1317"/>
        <w:gridCol w:w="1609"/>
        <w:gridCol w:w="1500"/>
        <w:gridCol w:w="1365"/>
        <w:gridCol w:w="1949"/>
        <w:gridCol w:w="2178"/>
      </w:tblGrid>
      <w:tr w:rsidR="00C72277" w:rsidRPr="00E20572" w14:paraId="69814780" w14:textId="77777777" w:rsidTr="00D26338">
        <w:trPr>
          <w:trHeight w:val="580"/>
        </w:trPr>
        <w:tc>
          <w:tcPr>
            <w:tcW w:w="1317" w:type="dxa"/>
            <w:tcBorders>
              <w:top w:val="nil"/>
              <w:left w:val="nil"/>
              <w:bottom w:val="nil"/>
              <w:right w:val="nil"/>
            </w:tcBorders>
            <w:vAlign w:val="center"/>
            <w:hideMark/>
          </w:tcPr>
          <w:p w14:paraId="60E63130" w14:textId="77777777" w:rsidR="00C72277" w:rsidRPr="00E20572" w:rsidRDefault="00C72277" w:rsidP="00C72277">
            <w:pPr>
              <w:spacing w:after="0" w:line="240" w:lineRule="auto"/>
              <w:jc w:val="center"/>
              <w:rPr>
                <w:rFonts w:asciiTheme="majorBidi" w:eastAsia="Times New Roman" w:hAnsiTheme="majorBidi" w:cstheme="majorBidi"/>
                <w:b/>
                <w:bCs/>
                <w:color w:val="000000"/>
                <w:lang w:val="en-US" w:eastAsia="zh-CN"/>
              </w:rPr>
            </w:pPr>
            <w:r w:rsidRPr="00E20572">
              <w:rPr>
                <w:rFonts w:asciiTheme="majorBidi" w:eastAsia="Times New Roman" w:hAnsiTheme="majorBidi" w:cstheme="majorBidi"/>
                <w:b/>
                <w:bCs/>
                <w:color w:val="000000"/>
                <w:lang w:val="en-US" w:eastAsia="zh-CN"/>
              </w:rPr>
              <w:t>Component</w:t>
            </w:r>
          </w:p>
        </w:tc>
        <w:tc>
          <w:tcPr>
            <w:tcW w:w="1609" w:type="dxa"/>
            <w:tcBorders>
              <w:top w:val="nil"/>
              <w:left w:val="nil"/>
              <w:bottom w:val="nil"/>
              <w:right w:val="nil"/>
            </w:tcBorders>
            <w:vAlign w:val="center"/>
            <w:hideMark/>
          </w:tcPr>
          <w:p w14:paraId="79F9E636" w14:textId="77777777" w:rsidR="00C72277" w:rsidRPr="00E20572" w:rsidRDefault="00C72277" w:rsidP="00C72277">
            <w:pPr>
              <w:spacing w:after="0" w:line="240" w:lineRule="auto"/>
              <w:jc w:val="center"/>
              <w:rPr>
                <w:rFonts w:asciiTheme="majorBidi" w:eastAsia="Times New Roman" w:hAnsiTheme="majorBidi" w:cstheme="majorBidi"/>
                <w:b/>
                <w:bCs/>
                <w:color w:val="000000"/>
                <w:lang w:val="en-US" w:eastAsia="zh-CN"/>
              </w:rPr>
            </w:pPr>
            <w:r w:rsidRPr="00E20572">
              <w:rPr>
                <w:rFonts w:asciiTheme="majorBidi" w:eastAsia="Times New Roman" w:hAnsiTheme="majorBidi" w:cstheme="majorBidi"/>
                <w:b/>
                <w:bCs/>
                <w:color w:val="000000"/>
                <w:lang w:val="en-US" w:eastAsia="zh-CN"/>
              </w:rPr>
              <w:t>Title</w:t>
            </w:r>
          </w:p>
        </w:tc>
        <w:tc>
          <w:tcPr>
            <w:tcW w:w="1500" w:type="dxa"/>
            <w:tcBorders>
              <w:top w:val="nil"/>
              <w:left w:val="nil"/>
              <w:bottom w:val="nil"/>
              <w:right w:val="nil"/>
            </w:tcBorders>
            <w:vAlign w:val="center"/>
            <w:hideMark/>
          </w:tcPr>
          <w:p w14:paraId="0301956A" w14:textId="77777777" w:rsidR="00C72277" w:rsidRPr="00E20572" w:rsidRDefault="00C72277" w:rsidP="00C72277">
            <w:pPr>
              <w:spacing w:after="0" w:line="240" w:lineRule="auto"/>
              <w:jc w:val="center"/>
              <w:rPr>
                <w:rFonts w:asciiTheme="majorBidi" w:eastAsia="Times New Roman" w:hAnsiTheme="majorBidi" w:cstheme="majorBidi"/>
                <w:b/>
                <w:bCs/>
                <w:color w:val="000000"/>
                <w:lang w:val="en-US" w:eastAsia="zh-CN"/>
              </w:rPr>
            </w:pPr>
            <w:r w:rsidRPr="00E20572">
              <w:rPr>
                <w:rFonts w:asciiTheme="majorBidi" w:eastAsia="Times New Roman" w:hAnsiTheme="majorBidi" w:cstheme="majorBidi"/>
                <w:b/>
                <w:bCs/>
                <w:color w:val="000000"/>
                <w:lang w:val="en-US" w:eastAsia="zh-CN"/>
              </w:rPr>
              <w:t>Duration</w:t>
            </w:r>
          </w:p>
        </w:tc>
        <w:tc>
          <w:tcPr>
            <w:tcW w:w="1365" w:type="dxa"/>
            <w:tcBorders>
              <w:top w:val="nil"/>
              <w:left w:val="nil"/>
              <w:bottom w:val="nil"/>
              <w:right w:val="nil"/>
            </w:tcBorders>
            <w:vAlign w:val="center"/>
            <w:hideMark/>
          </w:tcPr>
          <w:p w14:paraId="6ECDB748" w14:textId="77777777" w:rsidR="00C72277" w:rsidRPr="00E20572" w:rsidRDefault="00C72277" w:rsidP="00C72277">
            <w:pPr>
              <w:spacing w:after="0" w:line="240" w:lineRule="auto"/>
              <w:jc w:val="center"/>
              <w:rPr>
                <w:rFonts w:asciiTheme="majorBidi" w:eastAsia="Times New Roman" w:hAnsiTheme="majorBidi" w:cstheme="majorBidi"/>
                <w:b/>
                <w:bCs/>
                <w:color w:val="000000"/>
                <w:lang w:val="en-US" w:eastAsia="zh-CN"/>
              </w:rPr>
            </w:pPr>
            <w:r w:rsidRPr="00E20572">
              <w:rPr>
                <w:rFonts w:asciiTheme="majorBidi" w:eastAsia="Times New Roman" w:hAnsiTheme="majorBidi" w:cstheme="majorBidi"/>
                <w:b/>
                <w:bCs/>
                <w:color w:val="000000"/>
                <w:lang w:val="en-US" w:eastAsia="zh-CN"/>
              </w:rPr>
              <w:t>Participants</w:t>
            </w:r>
          </w:p>
        </w:tc>
        <w:tc>
          <w:tcPr>
            <w:tcW w:w="1949" w:type="dxa"/>
            <w:tcBorders>
              <w:top w:val="nil"/>
              <w:left w:val="nil"/>
              <w:bottom w:val="nil"/>
              <w:right w:val="nil"/>
            </w:tcBorders>
            <w:vAlign w:val="center"/>
            <w:hideMark/>
          </w:tcPr>
          <w:p w14:paraId="64FD32B4" w14:textId="77777777" w:rsidR="00C72277" w:rsidRPr="00E20572" w:rsidRDefault="00C72277" w:rsidP="00C72277">
            <w:pPr>
              <w:spacing w:after="0" w:line="240" w:lineRule="auto"/>
              <w:jc w:val="center"/>
              <w:rPr>
                <w:rFonts w:asciiTheme="majorBidi" w:eastAsia="Times New Roman" w:hAnsiTheme="majorBidi" w:cstheme="majorBidi"/>
                <w:b/>
                <w:bCs/>
                <w:color w:val="000000"/>
                <w:lang w:val="en-US" w:eastAsia="zh-CN"/>
              </w:rPr>
            </w:pPr>
            <w:r w:rsidRPr="00E20572">
              <w:rPr>
                <w:rFonts w:asciiTheme="majorBidi" w:eastAsia="Times New Roman" w:hAnsiTheme="majorBidi" w:cstheme="majorBidi"/>
                <w:b/>
                <w:bCs/>
                <w:color w:val="000000"/>
                <w:lang w:val="en-US" w:eastAsia="zh-CN"/>
              </w:rPr>
              <w:t>Target Audience</w:t>
            </w:r>
          </w:p>
        </w:tc>
        <w:tc>
          <w:tcPr>
            <w:tcW w:w="2178" w:type="dxa"/>
            <w:tcBorders>
              <w:top w:val="nil"/>
              <w:left w:val="nil"/>
              <w:bottom w:val="nil"/>
              <w:right w:val="nil"/>
            </w:tcBorders>
            <w:vAlign w:val="center"/>
            <w:hideMark/>
          </w:tcPr>
          <w:p w14:paraId="608F035F" w14:textId="77777777" w:rsidR="00C72277" w:rsidRPr="00E20572" w:rsidRDefault="00C72277" w:rsidP="00C72277">
            <w:pPr>
              <w:spacing w:after="0" w:line="240" w:lineRule="auto"/>
              <w:jc w:val="center"/>
              <w:rPr>
                <w:rFonts w:asciiTheme="majorBidi" w:eastAsia="Times New Roman" w:hAnsiTheme="majorBidi" w:cstheme="majorBidi"/>
                <w:b/>
                <w:bCs/>
                <w:color w:val="000000"/>
                <w:lang w:val="en-US" w:eastAsia="zh-CN"/>
              </w:rPr>
            </w:pPr>
            <w:r w:rsidRPr="00E20572">
              <w:rPr>
                <w:rFonts w:asciiTheme="majorBidi" w:eastAsia="Times New Roman" w:hAnsiTheme="majorBidi" w:cstheme="majorBidi"/>
                <w:b/>
                <w:bCs/>
                <w:color w:val="000000"/>
                <w:lang w:val="en-US" w:eastAsia="zh-CN"/>
              </w:rPr>
              <w:t>Format</w:t>
            </w:r>
          </w:p>
        </w:tc>
      </w:tr>
      <w:tr w:rsidR="00C72277" w:rsidRPr="00E20572" w14:paraId="4D32BA27" w14:textId="77777777" w:rsidTr="00D26338">
        <w:trPr>
          <w:trHeight w:val="1584"/>
        </w:trPr>
        <w:tc>
          <w:tcPr>
            <w:tcW w:w="1317" w:type="dxa"/>
            <w:tcBorders>
              <w:top w:val="nil"/>
              <w:left w:val="nil"/>
              <w:bottom w:val="nil"/>
              <w:right w:val="nil"/>
            </w:tcBorders>
            <w:hideMark/>
          </w:tcPr>
          <w:p w14:paraId="1FA0DA3C"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1</w:t>
            </w:r>
          </w:p>
        </w:tc>
        <w:tc>
          <w:tcPr>
            <w:tcW w:w="1609" w:type="dxa"/>
            <w:tcBorders>
              <w:top w:val="nil"/>
              <w:left w:val="nil"/>
              <w:bottom w:val="nil"/>
              <w:right w:val="nil"/>
            </w:tcBorders>
            <w:hideMark/>
          </w:tcPr>
          <w:p w14:paraId="78E0F660"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Introduction to Islamic Banking: Key Differences between Islamic and Conventional Banking</w:t>
            </w:r>
          </w:p>
        </w:tc>
        <w:tc>
          <w:tcPr>
            <w:tcW w:w="1500" w:type="dxa"/>
            <w:tcBorders>
              <w:top w:val="nil"/>
              <w:left w:val="nil"/>
              <w:bottom w:val="nil"/>
              <w:right w:val="nil"/>
            </w:tcBorders>
            <w:hideMark/>
          </w:tcPr>
          <w:p w14:paraId="6958C51F"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3 days</w:t>
            </w:r>
          </w:p>
        </w:tc>
        <w:tc>
          <w:tcPr>
            <w:tcW w:w="1365" w:type="dxa"/>
            <w:tcBorders>
              <w:top w:val="nil"/>
              <w:left w:val="nil"/>
              <w:bottom w:val="nil"/>
              <w:right w:val="nil"/>
            </w:tcBorders>
            <w:hideMark/>
          </w:tcPr>
          <w:p w14:paraId="0D8F2708"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250</w:t>
            </w:r>
          </w:p>
        </w:tc>
        <w:tc>
          <w:tcPr>
            <w:tcW w:w="1949" w:type="dxa"/>
            <w:tcBorders>
              <w:top w:val="nil"/>
              <w:left w:val="nil"/>
              <w:bottom w:val="nil"/>
              <w:right w:val="nil"/>
            </w:tcBorders>
            <w:hideMark/>
          </w:tcPr>
          <w:p w14:paraId="47D91F8B"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Regulatory, governmental, and banking employees (Groups 1 and 2)</w:t>
            </w:r>
          </w:p>
        </w:tc>
        <w:tc>
          <w:tcPr>
            <w:tcW w:w="2178" w:type="dxa"/>
            <w:tcBorders>
              <w:top w:val="nil"/>
              <w:left w:val="nil"/>
              <w:bottom w:val="nil"/>
              <w:right w:val="nil"/>
            </w:tcBorders>
            <w:hideMark/>
          </w:tcPr>
          <w:p w14:paraId="6F9BF5D4"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Offline (Bishkek) with online option for regional participants (e.g., Osh)</w:t>
            </w:r>
          </w:p>
        </w:tc>
      </w:tr>
      <w:tr w:rsidR="00C72277" w:rsidRPr="00E20572" w14:paraId="2F9377B1" w14:textId="77777777" w:rsidTr="00D26338">
        <w:trPr>
          <w:trHeight w:val="1740"/>
        </w:trPr>
        <w:tc>
          <w:tcPr>
            <w:tcW w:w="1317" w:type="dxa"/>
            <w:tcBorders>
              <w:top w:val="nil"/>
              <w:left w:val="nil"/>
              <w:bottom w:val="nil"/>
              <w:right w:val="nil"/>
            </w:tcBorders>
            <w:hideMark/>
          </w:tcPr>
          <w:p w14:paraId="2E1C58FD"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2</w:t>
            </w:r>
          </w:p>
        </w:tc>
        <w:tc>
          <w:tcPr>
            <w:tcW w:w="1609" w:type="dxa"/>
            <w:tcBorders>
              <w:top w:val="nil"/>
              <w:left w:val="nil"/>
              <w:bottom w:val="nil"/>
              <w:right w:val="nil"/>
            </w:tcBorders>
            <w:hideMark/>
          </w:tcPr>
          <w:p w14:paraId="108EAE31"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Theory and Assistance in Practical Implementation of Banking Products</w:t>
            </w:r>
          </w:p>
        </w:tc>
        <w:tc>
          <w:tcPr>
            <w:tcW w:w="1500" w:type="dxa"/>
            <w:tcBorders>
              <w:top w:val="nil"/>
              <w:left w:val="nil"/>
              <w:bottom w:val="nil"/>
              <w:right w:val="nil"/>
            </w:tcBorders>
            <w:hideMark/>
          </w:tcPr>
          <w:p w14:paraId="4CBD3DD4"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15 days (3 days per product, spread over 1–2 years)</w:t>
            </w:r>
          </w:p>
        </w:tc>
        <w:tc>
          <w:tcPr>
            <w:tcW w:w="1365" w:type="dxa"/>
            <w:tcBorders>
              <w:top w:val="nil"/>
              <w:left w:val="nil"/>
              <w:bottom w:val="nil"/>
              <w:right w:val="nil"/>
            </w:tcBorders>
            <w:hideMark/>
          </w:tcPr>
          <w:p w14:paraId="12F9D86B"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30</w:t>
            </w:r>
          </w:p>
        </w:tc>
        <w:tc>
          <w:tcPr>
            <w:tcW w:w="1949" w:type="dxa"/>
            <w:tcBorders>
              <w:top w:val="nil"/>
              <w:left w:val="nil"/>
              <w:bottom w:val="nil"/>
              <w:right w:val="nil"/>
            </w:tcBorders>
            <w:hideMark/>
          </w:tcPr>
          <w:p w14:paraId="15F031A7"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Aiyl Bank OJSC and Eldik Bank OJSC employees (Group 2)</w:t>
            </w:r>
          </w:p>
        </w:tc>
        <w:tc>
          <w:tcPr>
            <w:tcW w:w="2178" w:type="dxa"/>
            <w:tcBorders>
              <w:top w:val="nil"/>
              <w:left w:val="nil"/>
              <w:bottom w:val="nil"/>
              <w:right w:val="nil"/>
            </w:tcBorders>
            <w:hideMark/>
          </w:tcPr>
          <w:p w14:paraId="3AAD90A9"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Hybrid (online/offline, with site visits)</w:t>
            </w:r>
          </w:p>
        </w:tc>
      </w:tr>
      <w:tr w:rsidR="00C72277" w:rsidRPr="00E20572" w14:paraId="4C26FB05" w14:textId="77777777" w:rsidTr="00D26338">
        <w:trPr>
          <w:trHeight w:val="1440"/>
        </w:trPr>
        <w:tc>
          <w:tcPr>
            <w:tcW w:w="1317" w:type="dxa"/>
            <w:tcBorders>
              <w:top w:val="nil"/>
              <w:left w:val="nil"/>
              <w:bottom w:val="nil"/>
              <w:right w:val="nil"/>
            </w:tcBorders>
            <w:hideMark/>
          </w:tcPr>
          <w:p w14:paraId="4763820A"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3</w:t>
            </w:r>
          </w:p>
        </w:tc>
        <w:tc>
          <w:tcPr>
            <w:tcW w:w="1609" w:type="dxa"/>
            <w:tcBorders>
              <w:top w:val="nil"/>
              <w:left w:val="nil"/>
              <w:bottom w:val="nil"/>
              <w:right w:val="nil"/>
            </w:tcBorders>
            <w:hideMark/>
          </w:tcPr>
          <w:p w14:paraId="4F809113"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Advanced Training of Trainers</w:t>
            </w:r>
          </w:p>
        </w:tc>
        <w:tc>
          <w:tcPr>
            <w:tcW w:w="1500" w:type="dxa"/>
            <w:tcBorders>
              <w:top w:val="nil"/>
              <w:left w:val="nil"/>
              <w:bottom w:val="nil"/>
              <w:right w:val="nil"/>
            </w:tcBorders>
            <w:hideMark/>
          </w:tcPr>
          <w:p w14:paraId="124A5EC5"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5–10 days per subcomponent (total minimum 30 days)</w:t>
            </w:r>
          </w:p>
        </w:tc>
        <w:tc>
          <w:tcPr>
            <w:tcW w:w="1365" w:type="dxa"/>
            <w:tcBorders>
              <w:top w:val="nil"/>
              <w:left w:val="nil"/>
              <w:bottom w:val="nil"/>
              <w:right w:val="nil"/>
            </w:tcBorders>
            <w:hideMark/>
          </w:tcPr>
          <w:p w14:paraId="4A226F60"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74</w:t>
            </w:r>
          </w:p>
        </w:tc>
        <w:tc>
          <w:tcPr>
            <w:tcW w:w="1949" w:type="dxa"/>
            <w:tcBorders>
              <w:top w:val="nil"/>
              <w:left w:val="nil"/>
              <w:bottom w:val="nil"/>
              <w:right w:val="nil"/>
            </w:tcBorders>
            <w:hideMark/>
          </w:tcPr>
          <w:p w14:paraId="26179E7A" w14:textId="76FF709A"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 xml:space="preserve">National Bank, commercial banks, </w:t>
            </w:r>
            <w:r w:rsidR="00A849A7" w:rsidRPr="00E20572">
              <w:rPr>
                <w:rFonts w:asciiTheme="majorBidi" w:eastAsia="Times New Roman" w:hAnsiTheme="majorBidi" w:cstheme="majorBidi"/>
                <w:bCs/>
                <w:sz w:val="24"/>
                <w:szCs w:val="24"/>
                <w:lang w:val="en-US"/>
              </w:rPr>
              <w:t xml:space="preserve">the Service for Regulation and Supervision of the Financial Market  under  the </w:t>
            </w:r>
            <w:r w:rsidRPr="00E20572">
              <w:rPr>
                <w:rFonts w:asciiTheme="majorBidi" w:eastAsia="Times New Roman" w:hAnsiTheme="majorBidi" w:cstheme="majorBidi"/>
                <w:color w:val="000000"/>
                <w:lang w:val="en-US" w:eastAsia="zh-CN"/>
              </w:rPr>
              <w:t>Ministry of Economy</w:t>
            </w:r>
            <w:r w:rsidR="00A849A7" w:rsidRPr="00E20572">
              <w:rPr>
                <w:rFonts w:asciiTheme="majorBidi" w:eastAsia="Times New Roman" w:hAnsiTheme="majorBidi" w:cstheme="majorBidi"/>
                <w:bCs/>
                <w:sz w:val="24"/>
                <w:szCs w:val="24"/>
                <w:lang w:val="en-US"/>
              </w:rPr>
              <w:t xml:space="preserve"> and Commerce of the Kyrgyz Republic</w:t>
            </w:r>
            <w:r w:rsidRPr="00E20572">
              <w:rPr>
                <w:rFonts w:asciiTheme="majorBidi" w:eastAsia="Times New Roman" w:hAnsiTheme="majorBidi" w:cstheme="majorBidi"/>
                <w:color w:val="000000"/>
                <w:lang w:val="en-US" w:eastAsia="zh-CN"/>
              </w:rPr>
              <w:t>, Sharia Council members (Group 3)</w:t>
            </w:r>
          </w:p>
        </w:tc>
        <w:tc>
          <w:tcPr>
            <w:tcW w:w="2178" w:type="dxa"/>
            <w:tcBorders>
              <w:top w:val="nil"/>
              <w:left w:val="nil"/>
              <w:bottom w:val="nil"/>
              <w:right w:val="nil"/>
            </w:tcBorders>
            <w:hideMark/>
          </w:tcPr>
          <w:p w14:paraId="732777AC" w14:textId="77777777" w:rsidR="00C72277" w:rsidRPr="00E20572" w:rsidRDefault="00C72277" w:rsidP="00C72277">
            <w:pPr>
              <w:spacing w:after="0" w:line="24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Hybrid (online/offline)</w:t>
            </w:r>
          </w:p>
        </w:tc>
      </w:tr>
    </w:tbl>
    <w:p w14:paraId="488EBF89" w14:textId="7568BBFD" w:rsidR="00C2611A" w:rsidRPr="00E20572" w:rsidRDefault="00C2611A" w:rsidP="00D26338">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Component 1: Introduction to Islamic Banking: Key Differences between Islamic and Conventional Banking (2026)</w:t>
      </w:r>
    </w:p>
    <w:p w14:paraId="44883FF3" w14:textId="491D6E26" w:rsidR="00B90143" w:rsidRPr="00E20572" w:rsidRDefault="00410D08" w:rsidP="00D26338">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Cs/>
          <w:sz w:val="24"/>
          <w:szCs w:val="24"/>
          <w:lang w:val="en-US"/>
        </w:rPr>
        <w:t>This component aims to build awareness of Islamic banking principles and their integration into national regulatory frameworks.</w:t>
      </w:r>
    </w:p>
    <w:p w14:paraId="4002C9F4" w14:textId="5F6EBC73" w:rsidR="00CB51FE" w:rsidRPr="00E20572" w:rsidRDefault="00CB51FE" w:rsidP="00D26338">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 xml:space="preserve">Key Topics: </w:t>
      </w:r>
      <w:r w:rsidR="00410D08" w:rsidRPr="00E20572">
        <w:rPr>
          <w:rFonts w:asciiTheme="majorBidi" w:eastAsia="Times New Roman" w:hAnsiTheme="majorBidi" w:cstheme="majorBidi"/>
          <w:b/>
          <w:sz w:val="24"/>
          <w:szCs w:val="24"/>
          <w:lang w:val="en-US"/>
        </w:rPr>
        <w:t>(divided across three days for balanced coverage)</w:t>
      </w:r>
      <w:r w:rsidRPr="00E20572">
        <w:rPr>
          <w:rFonts w:asciiTheme="majorBidi" w:eastAsia="Times New Roman" w:hAnsiTheme="majorBidi" w:cstheme="majorBidi"/>
          <w:b/>
          <w:sz w:val="24"/>
          <w:szCs w:val="24"/>
          <w:lang w:val="en-US"/>
        </w:rPr>
        <w:t>:</w:t>
      </w:r>
    </w:p>
    <w:p w14:paraId="460A5CE6" w14:textId="36406B35" w:rsidR="00CB51FE" w:rsidRPr="00E20572" w:rsidRDefault="00410D08"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Day 1:  </w:t>
      </w:r>
      <w:r w:rsidR="00CB51FE" w:rsidRPr="00E20572">
        <w:rPr>
          <w:rFonts w:asciiTheme="majorBidi" w:eastAsia="Times New Roman" w:hAnsiTheme="majorBidi" w:cstheme="majorBidi"/>
          <w:bCs/>
          <w:sz w:val="24"/>
          <w:szCs w:val="24"/>
          <w:lang w:val="en-US"/>
        </w:rPr>
        <w:t xml:space="preserve">Key differences between Islamic and conventional banking </w:t>
      </w:r>
    </w:p>
    <w:p w14:paraId="169AB36E" w14:textId="605DAB84" w:rsidR="00CB51FE" w:rsidRPr="00E20572" w:rsidRDefault="00410D08"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Day 2: </w:t>
      </w:r>
      <w:r w:rsidR="00CB51FE" w:rsidRPr="00E20572">
        <w:rPr>
          <w:rFonts w:asciiTheme="majorBidi" w:eastAsia="Times New Roman" w:hAnsiTheme="majorBidi" w:cstheme="majorBidi"/>
          <w:bCs/>
          <w:sz w:val="24"/>
          <w:szCs w:val="24"/>
          <w:lang w:val="en-US"/>
        </w:rPr>
        <w:t>Accounting and reporting of Islamic banking operations</w:t>
      </w:r>
    </w:p>
    <w:p w14:paraId="4FECCEB7" w14:textId="3514ADA4" w:rsidR="00410D08" w:rsidRPr="00E20572" w:rsidRDefault="00410D08" w:rsidP="00410D0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Day 3: Features of tax and customs administration (including digital channels); registration of rights to objects of Islamic banking agreements (including digital channels); criteria for Islamic banking and financial transactions in local legislation. Incorporate comparative experiences from countries with developed Islamic banking markets (e.g., Malaysia, UAE, Indonesia).</w:t>
      </w:r>
      <w:r w:rsidRPr="00E20572" w:rsidDel="00410D08">
        <w:rPr>
          <w:rFonts w:asciiTheme="majorBidi" w:eastAsia="Times New Roman" w:hAnsiTheme="majorBidi" w:cstheme="majorBidi"/>
          <w:bCs/>
          <w:sz w:val="24"/>
          <w:szCs w:val="24"/>
          <w:lang w:val="en-US"/>
        </w:rPr>
        <w:t xml:space="preserve"> </w:t>
      </w:r>
    </w:p>
    <w:p w14:paraId="4AC32B9B" w14:textId="77777777" w:rsidR="00410D08" w:rsidRPr="00E20572" w:rsidRDefault="00410D08" w:rsidP="00410D0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
          <w:sz w:val="24"/>
          <w:szCs w:val="24"/>
          <w:lang w:val="en-US"/>
        </w:rPr>
        <w:t>Expected Deliverables:</w:t>
      </w:r>
      <w:r w:rsidRPr="00E20572">
        <w:rPr>
          <w:rFonts w:asciiTheme="majorBidi" w:eastAsia="Times New Roman" w:hAnsiTheme="majorBidi" w:cstheme="majorBidi"/>
          <w:bCs/>
          <w:sz w:val="24"/>
          <w:szCs w:val="24"/>
          <w:lang w:val="en-US"/>
        </w:rPr>
        <w:t xml:space="preserve"> Curriculum outline; training materials; attendance reports; participant feedback summaries; 250 certificates.                     </w:t>
      </w:r>
    </w:p>
    <w:p w14:paraId="3C6CAD14" w14:textId="77777777" w:rsidR="00410D08" w:rsidRPr="00E20572" w:rsidRDefault="00410D08" w:rsidP="00D26338">
      <w:pPr>
        <w:spacing w:before="120" w:after="0" w:line="240" w:lineRule="auto"/>
        <w:jc w:val="both"/>
        <w:rPr>
          <w:rFonts w:asciiTheme="majorBidi" w:eastAsia="Times New Roman" w:hAnsiTheme="majorBidi" w:cstheme="majorBidi"/>
          <w:bCs/>
          <w:sz w:val="24"/>
          <w:szCs w:val="24"/>
          <w:lang w:val="en-US"/>
        </w:rPr>
      </w:pPr>
    </w:p>
    <w:p w14:paraId="556F0AEB" w14:textId="77777777" w:rsidR="00CB51FE" w:rsidRPr="00E20572" w:rsidRDefault="00CB51FE" w:rsidP="00410D08">
      <w:pPr>
        <w:rPr>
          <w:rFonts w:asciiTheme="majorBidi" w:hAnsiTheme="majorBidi" w:cstheme="majorBidi"/>
          <w:b/>
          <w:sz w:val="24"/>
          <w:szCs w:val="24"/>
          <w:lang w:val="en-US"/>
        </w:rPr>
      </w:pPr>
      <w:r w:rsidRPr="00E20572">
        <w:rPr>
          <w:rFonts w:asciiTheme="majorBidi" w:hAnsiTheme="majorBidi" w:cstheme="majorBidi"/>
          <w:b/>
          <w:sz w:val="24"/>
          <w:szCs w:val="24"/>
          <w:lang w:val="en-US"/>
        </w:rPr>
        <w:t>Component 2: Theory and assistance in the practical implementation of banking products (consulting and support during the period of product implementation, 2026-2027)</w:t>
      </w:r>
    </w:p>
    <w:p w14:paraId="2002B5D6" w14:textId="77777777" w:rsidR="00410D08" w:rsidRPr="00E20572" w:rsidRDefault="00410D08" w:rsidP="00410D08">
      <w:pPr>
        <w:rPr>
          <w:rFonts w:asciiTheme="majorBidi" w:hAnsiTheme="majorBidi" w:cstheme="majorBidi"/>
          <w:bCs/>
          <w:sz w:val="24"/>
          <w:szCs w:val="24"/>
          <w:lang w:val="en-US"/>
        </w:rPr>
      </w:pPr>
      <w:r w:rsidRPr="00E20572">
        <w:rPr>
          <w:rFonts w:asciiTheme="majorBidi" w:hAnsiTheme="majorBidi" w:cstheme="majorBidi"/>
          <w:bCs/>
          <w:sz w:val="24"/>
          <w:szCs w:val="24"/>
          <w:lang w:val="en-US"/>
        </w:rPr>
        <w:t>This applied component focuses on equipping banks with tools to develop and deploy Sharia-compliant products for agricultural mechanization financing.</w:t>
      </w:r>
    </w:p>
    <w:p w14:paraId="23068BC4" w14:textId="77777777" w:rsidR="00410D08" w:rsidRPr="00E20572" w:rsidRDefault="00410D08" w:rsidP="00410D08">
      <w:pPr>
        <w:rPr>
          <w:rFonts w:asciiTheme="majorBidi" w:hAnsiTheme="majorBidi" w:cstheme="majorBidi"/>
          <w:bCs/>
          <w:sz w:val="24"/>
          <w:szCs w:val="24"/>
          <w:lang w:val="en-US"/>
        </w:rPr>
      </w:pPr>
      <w:r w:rsidRPr="00E20572">
        <w:rPr>
          <w:rFonts w:asciiTheme="majorBidi" w:hAnsiTheme="majorBidi" w:cstheme="majorBidi"/>
          <w:bCs/>
          <w:sz w:val="24"/>
          <w:szCs w:val="24"/>
          <w:lang w:val="en-US"/>
        </w:rPr>
        <w:t xml:space="preserve">Key </w:t>
      </w:r>
      <w:r w:rsidR="003A512F" w:rsidRPr="00E20572">
        <w:rPr>
          <w:rFonts w:asciiTheme="majorBidi" w:hAnsiTheme="majorBidi" w:cstheme="majorBidi"/>
          <w:bCs/>
          <w:sz w:val="24"/>
          <w:szCs w:val="24"/>
          <w:lang w:val="en-US"/>
        </w:rPr>
        <w:t>Topics:</w:t>
      </w:r>
      <w:r w:rsidRPr="00E20572">
        <w:rPr>
          <w:rFonts w:asciiTheme="majorBidi" w:hAnsiTheme="majorBidi" w:cstheme="majorBidi"/>
          <w:bCs/>
          <w:sz w:val="24"/>
          <w:szCs w:val="24"/>
          <w:lang w:val="en-US"/>
        </w:rPr>
        <w:t xml:space="preserve"> (3 days dedicated to each, with consulting support extending through implementation):</w:t>
      </w:r>
    </w:p>
    <w:p w14:paraId="036C7463" w14:textId="4D77CBBE" w:rsidR="00960D29" w:rsidRPr="00E20572" w:rsidRDefault="00960D29" w:rsidP="00D26338">
      <w:pPr>
        <w:pStyle w:val="ListParagraph"/>
        <w:numPr>
          <w:ilvl w:val="0"/>
          <w:numId w:val="15"/>
        </w:numPr>
        <w:rPr>
          <w:rFonts w:asciiTheme="majorBidi" w:hAnsiTheme="majorBidi" w:cstheme="majorBidi"/>
          <w:sz w:val="24"/>
          <w:szCs w:val="24"/>
          <w:lang w:val="en-US"/>
        </w:rPr>
      </w:pPr>
      <w:r w:rsidRPr="00E20572">
        <w:rPr>
          <w:rFonts w:asciiTheme="majorBidi" w:eastAsia="Times New Roman" w:hAnsiTheme="majorBidi" w:cstheme="majorBidi"/>
          <w:bCs/>
          <w:sz w:val="24"/>
          <w:szCs w:val="24"/>
          <w:lang w:val="en-US"/>
        </w:rPr>
        <w:t>F</w:t>
      </w:r>
      <w:r w:rsidR="00410D08" w:rsidRPr="00E20572">
        <w:rPr>
          <w:rFonts w:asciiTheme="majorBidi" w:eastAsia="Times New Roman" w:hAnsiTheme="majorBidi" w:cstheme="majorBidi"/>
          <w:bCs/>
          <w:sz w:val="24"/>
          <w:szCs w:val="24"/>
          <w:lang w:val="en-US"/>
        </w:rPr>
        <w:t>inancing partnership projects for construction and sale of real estate with public/private construction companies under Mudaraba, Musharaka/Sharika, Istisna, and Parallel Istisna transactions (including hybrid products).</w:t>
      </w:r>
      <w:r w:rsidR="00410D08" w:rsidRPr="00E20572" w:rsidDel="00410D08">
        <w:rPr>
          <w:rFonts w:asciiTheme="majorBidi" w:eastAsia="Times New Roman" w:hAnsiTheme="majorBidi" w:cstheme="majorBidi"/>
          <w:bCs/>
          <w:sz w:val="24"/>
          <w:szCs w:val="24"/>
          <w:lang w:val="en-US"/>
        </w:rPr>
        <w:t xml:space="preserve"> </w:t>
      </w:r>
    </w:p>
    <w:p w14:paraId="5A36A317" w14:textId="425DC114" w:rsidR="00960D29" w:rsidRPr="00E20572" w:rsidRDefault="00410D08" w:rsidP="00960D29">
      <w:pPr>
        <w:pStyle w:val="ListParagraph"/>
        <w:numPr>
          <w:ilvl w:val="0"/>
          <w:numId w:val="15"/>
        </w:numPr>
        <w:spacing w:before="100" w:beforeAutospacing="1" w:after="100" w:afterAutospacing="1" w:line="240" w:lineRule="auto"/>
        <w:rPr>
          <w:rFonts w:asciiTheme="majorBidi" w:eastAsia="Times New Roman" w:hAnsiTheme="majorBidi" w:cstheme="majorBidi"/>
          <w:sz w:val="24"/>
          <w:szCs w:val="24"/>
          <w:lang w:val="en-US" w:eastAsia="zh-CN"/>
        </w:rPr>
      </w:pPr>
      <w:r w:rsidRPr="00E20572">
        <w:rPr>
          <w:rFonts w:asciiTheme="majorBidi" w:eastAsia="Times New Roman" w:hAnsiTheme="majorBidi" w:cstheme="majorBidi"/>
          <w:bCs/>
          <w:sz w:val="24"/>
          <w:szCs w:val="24"/>
          <w:lang w:val="en-US"/>
        </w:rPr>
        <w:t>Financing client purchases of real estate under Sharikah/Musharakah and Istisna operations in construction projects (including hybrid products).</w:t>
      </w:r>
      <w:r w:rsidRPr="00E20572" w:rsidDel="00410D08">
        <w:rPr>
          <w:rFonts w:asciiTheme="majorBidi" w:eastAsia="Times New Roman" w:hAnsiTheme="majorBidi" w:cstheme="majorBidi"/>
          <w:bCs/>
          <w:sz w:val="24"/>
          <w:szCs w:val="24"/>
          <w:lang w:val="en-US"/>
        </w:rPr>
        <w:t xml:space="preserve"> </w:t>
      </w:r>
      <w:r w:rsidR="00960D29" w:rsidRPr="00E20572">
        <w:rPr>
          <w:rFonts w:asciiTheme="majorBidi" w:eastAsia="Times New Roman" w:hAnsiTheme="majorBidi" w:cstheme="majorBidi"/>
          <w:sz w:val="24"/>
          <w:szCs w:val="24"/>
          <w:lang w:val="en-US" w:eastAsia="zh-CN"/>
        </w:rPr>
        <w:t>Financing of business projects, including Tawarruq (without entering international commodity exchanges).</w:t>
      </w:r>
    </w:p>
    <w:p w14:paraId="03A28F74" w14:textId="55B557DD" w:rsidR="00960D29" w:rsidRPr="00E20572" w:rsidRDefault="00960D29" w:rsidP="00D26338">
      <w:pPr>
        <w:pStyle w:val="ListParagraph"/>
        <w:numPr>
          <w:ilvl w:val="0"/>
          <w:numId w:val="15"/>
        </w:numPr>
        <w:rPr>
          <w:rFonts w:asciiTheme="majorBidi" w:eastAsia="Times New Roman" w:hAnsiTheme="majorBidi" w:cstheme="majorBidi"/>
          <w:b/>
          <w:sz w:val="24"/>
          <w:szCs w:val="24"/>
          <w:lang w:val="en-US"/>
        </w:rPr>
      </w:pPr>
      <w:r w:rsidRPr="00E20572">
        <w:rPr>
          <w:rFonts w:asciiTheme="majorBidi" w:eastAsia="Times New Roman" w:hAnsiTheme="majorBidi" w:cstheme="majorBidi"/>
          <w:bCs/>
          <w:sz w:val="24"/>
          <w:szCs w:val="24"/>
          <w:lang w:val="en-US"/>
        </w:rPr>
        <w:t>Financing of partner business projects under Mudaraba and Sharikah/Musharakah operations.</w:t>
      </w:r>
    </w:p>
    <w:p w14:paraId="6095DB93" w14:textId="77777777" w:rsidR="00705E6F" w:rsidRPr="00E20572" w:rsidRDefault="00960D29" w:rsidP="00705E6F">
      <w:p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The Consultant will provide hands-on support, including product design reviews and troubleshooting during rollout.</w:t>
      </w:r>
      <w:r w:rsidR="00705E6F" w:rsidRPr="00E20572">
        <w:rPr>
          <w:rFonts w:asciiTheme="majorBidi" w:eastAsia="Times New Roman" w:hAnsiTheme="majorBidi" w:cstheme="majorBidi"/>
          <w:bCs/>
          <w:sz w:val="24"/>
          <w:szCs w:val="24"/>
          <w:lang w:val="en-US"/>
        </w:rPr>
        <w:t xml:space="preserve"> To ensure the selection of a firm with practical operational depth, the Consultant must provide direct, "boots-on-the-ground" technical support that bridges the gap between conceptual design and field reality. </w:t>
      </w:r>
    </w:p>
    <w:p w14:paraId="79547EDD" w14:textId="77777777" w:rsidR="00960D29" w:rsidRPr="00E20572" w:rsidRDefault="00960D29" w:rsidP="00960D29">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
          <w:sz w:val="24"/>
          <w:szCs w:val="24"/>
          <w:lang w:val="en-US"/>
        </w:rPr>
        <w:t>Expected Deliverables</w:t>
      </w:r>
      <w:r w:rsidRPr="00E20572">
        <w:rPr>
          <w:rFonts w:asciiTheme="majorBidi" w:eastAsia="Times New Roman" w:hAnsiTheme="majorBidi" w:cstheme="majorBidi"/>
          <w:bCs/>
          <w:sz w:val="24"/>
          <w:szCs w:val="24"/>
          <w:lang w:val="en-US"/>
        </w:rPr>
        <w:t xml:space="preserve">: Product implementation guides (4 documents); consulting session minutes; progress reports on product adoption; 30 certificates. </w:t>
      </w:r>
    </w:p>
    <w:p w14:paraId="3993DB0C" w14:textId="77777777" w:rsidR="00960D29" w:rsidRPr="00E20572" w:rsidRDefault="00960D29" w:rsidP="00960D29">
      <w:pPr>
        <w:spacing w:before="120" w:after="0" w:line="240" w:lineRule="auto"/>
        <w:jc w:val="both"/>
        <w:rPr>
          <w:rFonts w:asciiTheme="majorBidi" w:eastAsia="Times New Roman" w:hAnsiTheme="majorBidi" w:cstheme="majorBidi"/>
          <w:b/>
          <w:sz w:val="24"/>
          <w:szCs w:val="24"/>
          <w:lang w:val="en-US"/>
        </w:rPr>
      </w:pPr>
    </w:p>
    <w:p w14:paraId="78473173" w14:textId="77777777" w:rsidR="00CB51FE" w:rsidRPr="00E20572" w:rsidRDefault="00CB51FE" w:rsidP="00D26338">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Component 3: Advanced training of trainers (2026-2027)</w:t>
      </w:r>
    </w:p>
    <w:p w14:paraId="7E504A61" w14:textId="7607267C" w:rsidR="00960D29" w:rsidRPr="00E20572" w:rsidRDefault="00960D29" w:rsidP="00960D29">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Cs/>
          <w:sz w:val="24"/>
          <w:szCs w:val="24"/>
          <w:lang w:val="en-US"/>
        </w:rPr>
        <w:t xml:space="preserve">This component develops a sustainable cadre of trainers to propagate Islamic finance expertise across the </w:t>
      </w:r>
      <w:r w:rsidR="00B90143" w:rsidRPr="00E20572">
        <w:rPr>
          <w:rFonts w:asciiTheme="majorBidi" w:eastAsia="Times New Roman" w:hAnsiTheme="majorBidi" w:cstheme="majorBidi"/>
          <w:bCs/>
          <w:sz w:val="24"/>
          <w:szCs w:val="24"/>
          <w:lang w:val="en-US"/>
        </w:rPr>
        <w:t>KYRGYZ REPUBLIC</w:t>
      </w:r>
      <w:r w:rsidRPr="00E20572">
        <w:rPr>
          <w:rFonts w:asciiTheme="majorBidi" w:eastAsia="Times New Roman" w:hAnsiTheme="majorBidi" w:cstheme="majorBidi"/>
          <w:bCs/>
          <w:sz w:val="24"/>
          <w:szCs w:val="24"/>
          <w:lang w:val="en-US"/>
        </w:rPr>
        <w:t xml:space="preserve"> market. Participants commit to training other market actors post-program. Programs should align with certified standards, such as those from the Accounting and Auditing Organization for Islamic Financial Institutions (AAOIFI) or equivalent</w:t>
      </w:r>
      <w:r w:rsidRPr="00E20572">
        <w:rPr>
          <w:rFonts w:asciiTheme="majorBidi" w:eastAsia="Times New Roman" w:hAnsiTheme="majorBidi" w:cstheme="majorBidi"/>
          <w:b/>
          <w:sz w:val="24"/>
          <w:szCs w:val="24"/>
          <w:lang w:val="en-US"/>
        </w:rPr>
        <w:t>.</w:t>
      </w:r>
      <w:r w:rsidRPr="00E20572" w:rsidDel="00960D29">
        <w:rPr>
          <w:rFonts w:asciiTheme="majorBidi" w:eastAsia="Times New Roman" w:hAnsiTheme="majorBidi" w:cstheme="majorBidi"/>
          <w:b/>
          <w:sz w:val="24"/>
          <w:szCs w:val="24"/>
          <w:lang w:val="en-US"/>
        </w:rPr>
        <w:t xml:space="preserve"> </w:t>
      </w:r>
    </w:p>
    <w:p w14:paraId="7A1057A3" w14:textId="77777777" w:rsidR="00C2611A" w:rsidRPr="00E20572" w:rsidRDefault="00CB51FE"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
          <w:sz w:val="24"/>
          <w:szCs w:val="24"/>
          <w:lang w:val="en-US"/>
        </w:rPr>
        <w:t>Key topics</w:t>
      </w:r>
      <w:r w:rsidRPr="00E20572">
        <w:rPr>
          <w:rFonts w:asciiTheme="majorBidi" w:eastAsia="Times New Roman" w:hAnsiTheme="majorBidi" w:cstheme="majorBidi"/>
          <w:bCs/>
          <w:sz w:val="24"/>
          <w:szCs w:val="24"/>
          <w:lang w:val="en-US"/>
        </w:rPr>
        <w:t>:</w:t>
      </w:r>
    </w:p>
    <w:p w14:paraId="533B21EA" w14:textId="369B822C" w:rsidR="00960D29" w:rsidRPr="00E20572" w:rsidRDefault="00960D29" w:rsidP="00960D29">
      <w:pPr>
        <w:pStyle w:val="ListParagraph"/>
        <w:numPr>
          <w:ilvl w:val="0"/>
          <w:numId w:val="16"/>
        </w:numPr>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Monetary Policy Instruments (Duration: 5 days; Participants: 8 National Bank employees): Focus on Sharia-compliant tools for monetary policy formulation and execution.</w:t>
      </w:r>
      <w:r w:rsidRPr="00E20572" w:rsidDel="00960D29">
        <w:rPr>
          <w:rFonts w:asciiTheme="majorBidi" w:eastAsia="Times New Roman" w:hAnsiTheme="majorBidi" w:cstheme="majorBidi"/>
          <w:bCs/>
          <w:sz w:val="24"/>
          <w:szCs w:val="24"/>
          <w:lang w:val="en-US"/>
        </w:rPr>
        <w:t xml:space="preserve"> </w:t>
      </w:r>
    </w:p>
    <w:p w14:paraId="1E90EE38" w14:textId="77777777" w:rsidR="00960D29" w:rsidRPr="00E20572" w:rsidRDefault="00960D29" w:rsidP="00D26338">
      <w:pPr>
        <w:pStyle w:val="ListParagraph"/>
        <w:numPr>
          <w:ilvl w:val="0"/>
          <w:numId w:val="16"/>
        </w:num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Instruments for Raising and Placing Funds; Accounting (Duration: 10 days; Participants: 20 from National Bank and commercial banks): Cover Mudarabah, Wakalah, Ijarah, Ijarah Muntahiyah Bittamlik, Salam, Parallel Salam, Istisna, Parallel Istisna, Sharika/Musharaka, etc.</w:t>
      </w:r>
    </w:p>
    <w:p w14:paraId="390F9683" w14:textId="77777777" w:rsidR="00960D29" w:rsidRPr="00E20572" w:rsidRDefault="00960D29" w:rsidP="00960D29">
      <w:pPr>
        <w:pStyle w:val="ListParagraph"/>
        <w:numPr>
          <w:ilvl w:val="0"/>
          <w:numId w:val="16"/>
        </w:numPr>
        <w:rPr>
          <w:rFonts w:asciiTheme="majorBidi" w:hAnsiTheme="majorBidi" w:cstheme="majorBidi"/>
          <w:sz w:val="24"/>
          <w:szCs w:val="24"/>
          <w:lang w:val="en-US"/>
        </w:rPr>
      </w:pPr>
      <w:r w:rsidRPr="00E20572">
        <w:rPr>
          <w:rFonts w:asciiTheme="majorBidi" w:hAnsiTheme="majorBidi" w:cstheme="majorBidi"/>
          <w:sz w:val="24"/>
          <w:szCs w:val="24"/>
          <w:lang w:val="en-US"/>
        </w:rPr>
        <w:t>Supervision of Islamic Banks (Duration: 5 days; Participants: 10 National Bank employees): Regulatory oversight, risk management, and compliance frameworks.</w:t>
      </w:r>
    </w:p>
    <w:p w14:paraId="260DF3F6" w14:textId="77777777" w:rsidR="00960D29" w:rsidRPr="00E20572" w:rsidRDefault="00960D29" w:rsidP="00960D29">
      <w:pPr>
        <w:pStyle w:val="ListParagraph"/>
        <w:numPr>
          <w:ilvl w:val="0"/>
          <w:numId w:val="16"/>
        </w:numPr>
        <w:rPr>
          <w:rFonts w:asciiTheme="majorBidi" w:hAnsiTheme="majorBidi" w:cstheme="majorBidi"/>
          <w:sz w:val="24"/>
          <w:szCs w:val="24"/>
          <w:lang w:val="en-US"/>
        </w:rPr>
      </w:pPr>
      <w:r w:rsidRPr="00E20572">
        <w:rPr>
          <w:rFonts w:asciiTheme="majorBidi" w:hAnsiTheme="majorBidi" w:cstheme="majorBidi"/>
          <w:sz w:val="24"/>
          <w:szCs w:val="24"/>
          <w:lang w:val="en-US"/>
        </w:rPr>
        <w:t>Sukuk and Takaful (Duration: 3–5 days; Participants: 30 from Ministry of Economy, National Bank, commercial banks, state/private insurance companies): Issuance, structuring, and operational aspects.</w:t>
      </w:r>
    </w:p>
    <w:p w14:paraId="0054EC14" w14:textId="77777777" w:rsidR="00960D29" w:rsidRPr="00E20572" w:rsidRDefault="00960D29" w:rsidP="00D26338">
      <w:pPr>
        <w:pStyle w:val="ListParagraph"/>
        <w:numPr>
          <w:ilvl w:val="0"/>
          <w:numId w:val="16"/>
        </w:numPr>
        <w:rPr>
          <w:rFonts w:asciiTheme="majorBidi" w:hAnsiTheme="majorBidi" w:cstheme="majorBidi"/>
          <w:sz w:val="24"/>
          <w:szCs w:val="24"/>
          <w:lang w:val="en-US"/>
        </w:rPr>
      </w:pPr>
      <w:r w:rsidRPr="00E20572">
        <w:rPr>
          <w:rFonts w:asciiTheme="majorBidi" w:hAnsiTheme="majorBidi" w:cstheme="majorBidi"/>
          <w:sz w:val="24"/>
          <w:szCs w:val="24"/>
          <w:lang w:val="en-US"/>
        </w:rPr>
        <w:t>Sharia Management and Arabic Language (Duration: 10 days; Participants: 20 Sharia Council members): Governance in Sharia boards; foundational Arabic for financial terminology (alternative: Russian/English instruction).</w:t>
      </w:r>
    </w:p>
    <w:p w14:paraId="5444F426" w14:textId="791F32DA" w:rsidR="00C2611A" w:rsidRPr="00E20572" w:rsidRDefault="00CC0FF7" w:rsidP="00C2611A">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
          <w:sz w:val="24"/>
          <w:szCs w:val="24"/>
          <w:lang w:val="en-US"/>
        </w:rPr>
        <w:t>Expected Deliverables</w:t>
      </w:r>
      <w:r w:rsidRPr="00E20572">
        <w:rPr>
          <w:rFonts w:asciiTheme="majorBidi" w:eastAsia="Times New Roman" w:hAnsiTheme="majorBidi" w:cstheme="majorBidi"/>
          <w:bCs/>
          <w:sz w:val="24"/>
          <w:szCs w:val="24"/>
          <w:lang w:val="en-US"/>
        </w:rPr>
        <w:t xml:space="preserve">: Trainer certification materials; follow-on training plans from participants; </w:t>
      </w:r>
      <w:r w:rsidR="00113436" w:rsidRPr="00E20572">
        <w:rPr>
          <w:rFonts w:asciiTheme="majorBidi" w:eastAsia="Times New Roman" w:hAnsiTheme="majorBidi" w:cstheme="majorBidi"/>
          <w:bCs/>
          <w:sz w:val="24"/>
          <w:szCs w:val="24"/>
          <w:lang w:val="en-US"/>
        </w:rPr>
        <w:t xml:space="preserve">88 </w:t>
      </w:r>
      <w:r w:rsidRPr="00E20572">
        <w:rPr>
          <w:rFonts w:asciiTheme="majorBidi" w:eastAsia="Times New Roman" w:hAnsiTheme="majorBidi" w:cstheme="majorBidi"/>
          <w:bCs/>
          <w:sz w:val="24"/>
          <w:szCs w:val="24"/>
          <w:lang w:val="en-US"/>
        </w:rPr>
        <w:t>certificates; alignment certification with AAOIFI standards.</w:t>
      </w:r>
    </w:p>
    <w:p w14:paraId="7457473E" w14:textId="77777777" w:rsidR="00CC0FF7" w:rsidRPr="00E20572" w:rsidRDefault="00CC0FF7" w:rsidP="00C2611A">
      <w:pPr>
        <w:spacing w:before="120" w:after="0" w:line="240" w:lineRule="auto"/>
        <w:jc w:val="both"/>
        <w:rPr>
          <w:rFonts w:asciiTheme="majorBidi" w:eastAsia="Times New Roman" w:hAnsiTheme="majorBidi" w:cstheme="majorBidi"/>
          <w:bCs/>
          <w:sz w:val="24"/>
          <w:szCs w:val="24"/>
          <w:lang w:val="en-US"/>
        </w:rPr>
      </w:pPr>
    </w:p>
    <w:p w14:paraId="535515E0" w14:textId="7C4FF15C" w:rsidR="003F035B" w:rsidRPr="00E20572" w:rsidRDefault="00CC0FF7" w:rsidP="007019C1">
      <w:pPr>
        <w:spacing w:before="120" w:after="0" w:line="240" w:lineRule="auto"/>
        <w:jc w:val="both"/>
        <w:rPr>
          <w:rFonts w:asciiTheme="majorBidi" w:eastAsia="Times New Roman" w:hAnsiTheme="majorBidi" w:cstheme="majorBidi"/>
          <w:b/>
          <w:sz w:val="24"/>
          <w:szCs w:val="24"/>
          <w:u w:val="single"/>
          <w:lang w:val="en-US"/>
        </w:rPr>
      </w:pPr>
      <w:r w:rsidRPr="00E20572">
        <w:rPr>
          <w:rFonts w:asciiTheme="majorBidi" w:eastAsia="Times New Roman" w:hAnsiTheme="majorBidi" w:cstheme="majorBidi"/>
          <w:b/>
          <w:sz w:val="24"/>
          <w:szCs w:val="24"/>
          <w:lang w:val="en-US"/>
        </w:rPr>
        <w:t>5.3</w:t>
      </w:r>
      <w:r w:rsidR="003F035B" w:rsidRPr="00E20572">
        <w:rPr>
          <w:rFonts w:asciiTheme="majorBidi" w:eastAsia="Times New Roman" w:hAnsiTheme="majorBidi" w:cstheme="majorBidi"/>
          <w:bCs/>
          <w:i/>
          <w:iCs/>
          <w:sz w:val="24"/>
          <w:szCs w:val="24"/>
          <w:lang w:val="en-US"/>
        </w:rPr>
        <w:t xml:space="preserve"> </w:t>
      </w:r>
      <w:r w:rsidR="00B64863" w:rsidRPr="00E20572">
        <w:rPr>
          <w:rFonts w:asciiTheme="majorBidi" w:eastAsia="Times New Roman" w:hAnsiTheme="majorBidi" w:cstheme="majorBidi"/>
          <w:b/>
          <w:sz w:val="24"/>
          <w:szCs w:val="24"/>
          <w:u w:val="single"/>
          <w:lang w:val="en-US"/>
        </w:rPr>
        <w:t>Other recommendations</w:t>
      </w:r>
    </w:p>
    <w:p w14:paraId="4902A191" w14:textId="5B393786" w:rsidR="00197F47" w:rsidRPr="00E20572" w:rsidRDefault="00B64863" w:rsidP="00D26338">
      <w:pPr>
        <w:spacing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Exams and Awards</w:t>
      </w:r>
    </w:p>
    <w:p w14:paraId="04FD0289" w14:textId="77777777" w:rsidR="00197F47" w:rsidRPr="00E20572" w:rsidRDefault="00197F47" w:rsidP="00D26338">
      <w:pPr>
        <w:pStyle w:val="ListParagraph"/>
        <w:numPr>
          <w:ilvl w:val="0"/>
          <w:numId w:val="47"/>
        </w:numPr>
        <w:spacing w:after="0" w:line="240" w:lineRule="auto"/>
        <w:ind w:left="360"/>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Component 1: No formal exams; incorporate optional verification questions, situational analyses, and exercises to reinforce learning outcomes.</w:t>
      </w:r>
    </w:p>
    <w:p w14:paraId="7956F77D" w14:textId="77777777" w:rsidR="00197F47" w:rsidRPr="00E20572" w:rsidRDefault="00197F47" w:rsidP="00D26338">
      <w:pPr>
        <w:pStyle w:val="ListParagraph"/>
        <w:numPr>
          <w:ilvl w:val="0"/>
          <w:numId w:val="47"/>
        </w:numPr>
        <w:spacing w:after="0" w:line="240" w:lineRule="auto"/>
        <w:ind w:left="360"/>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Components 2 and 3: Include assessments (e.g., practical exercises, case studies) to evaluate mastery. All participants receive completion certificates. Each participant in the Component 3 workshop will have a commitment to train other market participants. </w:t>
      </w:r>
    </w:p>
    <w:p w14:paraId="18617FAE" w14:textId="77777777" w:rsidR="00197F47" w:rsidRPr="00E20572" w:rsidRDefault="00197F47" w:rsidP="00D26338">
      <w:pPr>
        <w:pStyle w:val="ListParagraph"/>
        <w:numPr>
          <w:ilvl w:val="0"/>
          <w:numId w:val="47"/>
        </w:numPr>
        <w:spacing w:after="0" w:line="240" w:lineRule="auto"/>
        <w:ind w:left="360"/>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Component 3: participants must commit to delivering follow-on training to at least five market peers within six months</w:t>
      </w:r>
    </w:p>
    <w:p w14:paraId="3ACADB44" w14:textId="77777777" w:rsidR="00197F47" w:rsidRPr="00E20572" w:rsidRDefault="00197F47" w:rsidP="00CC0FF7">
      <w:pPr>
        <w:spacing w:before="120" w:after="0" w:line="240" w:lineRule="auto"/>
        <w:jc w:val="both"/>
        <w:rPr>
          <w:rFonts w:asciiTheme="majorBidi" w:eastAsia="Times New Roman" w:hAnsiTheme="majorBidi" w:cstheme="majorBidi"/>
          <w:b/>
          <w:sz w:val="24"/>
          <w:szCs w:val="24"/>
          <w:lang w:val="en-US"/>
        </w:rPr>
      </w:pPr>
    </w:p>
    <w:p w14:paraId="134A83D1" w14:textId="77777777" w:rsidR="00B64863" w:rsidRPr="00E20572" w:rsidRDefault="00B64863" w:rsidP="00CC0FF7">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Duration of training and time of classes</w:t>
      </w:r>
    </w:p>
    <w:p w14:paraId="60AE9D2B" w14:textId="77777777" w:rsidR="00CC0FF7" w:rsidRPr="00E20572" w:rsidRDefault="00CC0FF7" w:rsidP="00D26338">
      <w:pPr>
        <w:pStyle w:val="ListParagraph"/>
        <w:numPr>
          <w:ilvl w:val="0"/>
          <w:numId w:val="21"/>
        </w:numPr>
        <w:rPr>
          <w:rFonts w:asciiTheme="majorBidi" w:hAnsiTheme="majorBidi" w:cstheme="majorBidi"/>
          <w:sz w:val="24"/>
          <w:szCs w:val="24"/>
          <w:lang w:val="en-US"/>
        </w:rPr>
      </w:pPr>
      <w:r w:rsidRPr="00E20572">
        <w:rPr>
          <w:rFonts w:asciiTheme="majorBidi" w:hAnsiTheme="majorBidi" w:cstheme="majorBidi"/>
          <w:sz w:val="24"/>
          <w:szCs w:val="24"/>
          <w:lang w:val="en-US"/>
        </w:rPr>
        <w:t xml:space="preserve">Daily sessions: 6 hours (9:00 AM–5:30 PM), including two coffee breaks and one lunch break </w:t>
      </w:r>
    </w:p>
    <w:p w14:paraId="25D063D3" w14:textId="77777777" w:rsidR="00CC0FF7" w:rsidRPr="00E20572" w:rsidRDefault="00CC0FF7" w:rsidP="00D26338">
      <w:pPr>
        <w:pStyle w:val="ListParagraph"/>
        <w:numPr>
          <w:ilvl w:val="0"/>
          <w:numId w:val="21"/>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Component 2: Minimum 15 days; flexible scheduling to accommodate product implementation timelines.</w:t>
      </w:r>
    </w:p>
    <w:p w14:paraId="46924A07" w14:textId="77777777" w:rsidR="00CC0FF7" w:rsidRPr="00E20572" w:rsidRDefault="00CC0FF7" w:rsidP="00D26338">
      <w:pPr>
        <w:pStyle w:val="ListParagraph"/>
        <w:numPr>
          <w:ilvl w:val="0"/>
          <w:numId w:val="21"/>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Component 3: Minimum 30 days total; subcomponent durations adjustable based on needs.</w:t>
      </w:r>
    </w:p>
    <w:p w14:paraId="752EC71B" w14:textId="77777777" w:rsidR="00CC0FF7" w:rsidRPr="00E20572" w:rsidRDefault="00CC0FF7" w:rsidP="00D26338">
      <w:pPr>
        <w:pStyle w:val="ListParagraph"/>
        <w:numPr>
          <w:ilvl w:val="0"/>
          <w:numId w:val="21"/>
        </w:num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Overall: Adaptable for online/offline delivery to maximize participation.</w:t>
      </w:r>
    </w:p>
    <w:p w14:paraId="1E994B79" w14:textId="77777777" w:rsidR="00B64863" w:rsidRPr="00E20572" w:rsidRDefault="00B64863" w:rsidP="00D26338">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Training Materials</w:t>
      </w:r>
    </w:p>
    <w:p w14:paraId="79F133C0" w14:textId="77777777" w:rsidR="00CC0FF7" w:rsidRPr="00E20572" w:rsidRDefault="00CC0FF7" w:rsidP="00CC0FF7">
      <w:p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The Consultant will develop and provide:</w:t>
      </w:r>
    </w:p>
    <w:p w14:paraId="355B41F0" w14:textId="77777777" w:rsidR="00CC0FF7" w:rsidRPr="00E20572" w:rsidRDefault="00CC0FF7" w:rsidP="00D26338">
      <w:pPr>
        <w:pStyle w:val="ListParagraph"/>
        <w:numPr>
          <w:ilvl w:val="0"/>
          <w:numId w:val="18"/>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Presentation slides and case studies (printed for offline sessions).</w:t>
      </w:r>
    </w:p>
    <w:p w14:paraId="08FD7154" w14:textId="77777777" w:rsidR="00CC0FF7" w:rsidRPr="00E20572" w:rsidRDefault="00CC0FF7" w:rsidP="00D26338">
      <w:pPr>
        <w:pStyle w:val="ListParagraph"/>
        <w:numPr>
          <w:ilvl w:val="0"/>
          <w:numId w:val="18"/>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References to relevant research, legislation, and resources.</w:t>
      </w:r>
    </w:p>
    <w:p w14:paraId="7DF14E85" w14:textId="77777777" w:rsidR="00CC0FF7" w:rsidRPr="00E20572" w:rsidRDefault="00CC0FF7" w:rsidP="00D26338">
      <w:pPr>
        <w:pStyle w:val="ListParagraph"/>
        <w:numPr>
          <w:ilvl w:val="0"/>
          <w:numId w:val="18"/>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Supplementary materials (e.g., glossaries, templates) at the trainer's discretion.</w:t>
      </w:r>
    </w:p>
    <w:p w14:paraId="15F8A2BD" w14:textId="77777777" w:rsidR="00CC0FF7" w:rsidRPr="00E20572" w:rsidRDefault="00CC0FF7" w:rsidP="00D26338">
      <w:pPr>
        <w:pStyle w:val="ListParagraph"/>
        <w:rPr>
          <w:rFonts w:asciiTheme="majorBidi" w:eastAsia="Times New Roman" w:hAnsiTheme="majorBidi" w:cstheme="majorBidi"/>
          <w:bCs/>
          <w:sz w:val="24"/>
          <w:szCs w:val="24"/>
          <w:lang w:val="en-US"/>
        </w:rPr>
      </w:pPr>
    </w:p>
    <w:p w14:paraId="7E87D784" w14:textId="77777777" w:rsidR="00B64863" w:rsidRPr="00E20572" w:rsidRDefault="00B64863" w:rsidP="00D26338">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Key Experts</w:t>
      </w:r>
    </w:p>
    <w:p w14:paraId="3C63DF42" w14:textId="77777777" w:rsidR="00BB2712" w:rsidRPr="00E20572" w:rsidRDefault="00BB2712" w:rsidP="00BB2712">
      <w:p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The Consultant shall assign a team of experts with proven expertise in Islamic banking and finance, including domestic and international applications. Required competencies include:</w:t>
      </w:r>
    </w:p>
    <w:p w14:paraId="5E78CE00" w14:textId="77777777" w:rsidR="00BB2712" w:rsidRPr="00E20572" w:rsidRDefault="00BB2712" w:rsidP="00D26338">
      <w:pPr>
        <w:pStyle w:val="ListParagraph"/>
        <w:numPr>
          <w:ilvl w:val="0"/>
          <w:numId w:val="22"/>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Accounting, taxation, customs administration, and property rights registration.</w:t>
      </w:r>
    </w:p>
    <w:p w14:paraId="5B83CCD6" w14:textId="77777777" w:rsidR="00BB2712" w:rsidRPr="00E20572" w:rsidRDefault="00BB2712" w:rsidP="00D26338">
      <w:pPr>
        <w:pStyle w:val="ListParagraph"/>
        <w:numPr>
          <w:ilvl w:val="0"/>
          <w:numId w:val="22"/>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Implementation of Islamic contracts (e.g., Mudaraba, Istisna).</w:t>
      </w:r>
    </w:p>
    <w:p w14:paraId="6A560ABA" w14:textId="77777777" w:rsidR="00BB2712" w:rsidRPr="00E20572" w:rsidRDefault="00BB2712" w:rsidP="00D26338">
      <w:pPr>
        <w:pStyle w:val="ListParagraph"/>
        <w:numPr>
          <w:ilvl w:val="0"/>
          <w:numId w:val="22"/>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Monetary policy instruments and Sharia governance.</w:t>
      </w:r>
    </w:p>
    <w:p w14:paraId="7FB1E144" w14:textId="5D44E921" w:rsidR="00BB2712" w:rsidRPr="00E20572" w:rsidRDefault="00BB2712" w:rsidP="00BB2712">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Designated staff will collaborate on curriculum documentation and serve as project partners.</w:t>
      </w:r>
    </w:p>
    <w:p w14:paraId="661BF207" w14:textId="77777777" w:rsidR="00BB2712" w:rsidRPr="00E20572" w:rsidRDefault="00BB2712" w:rsidP="00D26338">
      <w:pPr>
        <w:spacing w:before="120" w:after="0" w:line="240" w:lineRule="auto"/>
        <w:jc w:val="both"/>
        <w:rPr>
          <w:rFonts w:asciiTheme="majorBidi" w:eastAsia="Times New Roman" w:hAnsiTheme="majorBidi" w:cstheme="majorBidi"/>
          <w:bCs/>
          <w:sz w:val="24"/>
          <w:szCs w:val="24"/>
          <w:lang w:val="en-US"/>
        </w:rPr>
      </w:pPr>
    </w:p>
    <w:p w14:paraId="7EEAC29B" w14:textId="77777777" w:rsidR="00B64863" w:rsidRPr="00E20572" w:rsidRDefault="00B64863" w:rsidP="00D26338">
      <w:pPr>
        <w:spacing w:before="120" w:after="0" w:line="240" w:lineRule="auto"/>
        <w:jc w:val="both"/>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Working methods</w:t>
      </w:r>
      <w:r w:rsidR="00BB2712" w:rsidRPr="00E20572">
        <w:rPr>
          <w:rFonts w:asciiTheme="majorBidi" w:eastAsia="Times New Roman" w:hAnsiTheme="majorBidi" w:cstheme="majorBidi"/>
          <w:b/>
          <w:sz w:val="24"/>
          <w:szCs w:val="24"/>
          <w:lang w:val="en-US"/>
        </w:rPr>
        <w:t xml:space="preserve"> and Implementation Process</w:t>
      </w:r>
    </w:p>
    <w:p w14:paraId="0F38A4DB" w14:textId="77777777" w:rsidR="00BB2712" w:rsidRPr="00E20572" w:rsidRDefault="00BB2712" w:rsidP="00BB2712">
      <w:p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The Consultant's engagement marks the project's training phase initiation. A formal selection announcement will invite international providers, including an appendix with curriculum parameters.</w:t>
      </w:r>
    </w:p>
    <w:p w14:paraId="5BE54B52" w14:textId="2098CF1B" w:rsidR="00BB2712" w:rsidRPr="00E20572" w:rsidRDefault="00BB2712" w:rsidP="00BB2712">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The curriculum development process involves:</w:t>
      </w:r>
    </w:p>
    <w:p w14:paraId="06877391" w14:textId="77777777" w:rsidR="00BB2712" w:rsidRPr="00E20572" w:rsidRDefault="00BB2712" w:rsidP="00D26338">
      <w:pPr>
        <w:pStyle w:val="ListParagraph"/>
        <w:numPr>
          <w:ilvl w:val="0"/>
          <w:numId w:val="48"/>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Initial Planning: Submit a detailed Training Plan within one month of contract signing (or as specified), outlining stages, timelines, and resource allocation.</w:t>
      </w:r>
    </w:p>
    <w:p w14:paraId="15692EEF" w14:textId="77777777" w:rsidR="00BB2712" w:rsidRPr="00E20572" w:rsidRDefault="00BB2712" w:rsidP="00D26338">
      <w:pPr>
        <w:pStyle w:val="ListParagraph"/>
        <w:numPr>
          <w:ilvl w:val="0"/>
          <w:numId w:val="48"/>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Format Breakdown:</w:t>
      </w:r>
    </w:p>
    <w:p w14:paraId="7F3A5592" w14:textId="77777777" w:rsidR="00BB2712" w:rsidRPr="00E20572" w:rsidRDefault="00BB2712" w:rsidP="00D26338">
      <w:pPr>
        <w:pStyle w:val="ListParagraph"/>
        <w:numPr>
          <w:ilvl w:val="0"/>
          <w:numId w:val="28"/>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Online: Interactive virtual sessions for theory and discussions.</w:t>
      </w:r>
    </w:p>
    <w:p w14:paraId="7BF1BE91" w14:textId="77777777" w:rsidR="00BB2712" w:rsidRPr="00E20572" w:rsidRDefault="00BB2712" w:rsidP="00D26338">
      <w:pPr>
        <w:pStyle w:val="ListParagraph"/>
        <w:numPr>
          <w:ilvl w:val="0"/>
          <w:numId w:val="28"/>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Offline: Held in Bishkek (or other </w:t>
      </w:r>
      <w:r w:rsidR="00B90143" w:rsidRPr="00E20572">
        <w:rPr>
          <w:rFonts w:asciiTheme="majorBidi" w:eastAsia="Times New Roman" w:hAnsiTheme="majorBidi" w:cstheme="majorBidi"/>
          <w:bCs/>
          <w:sz w:val="24"/>
          <w:szCs w:val="24"/>
          <w:lang w:val="en-US"/>
        </w:rPr>
        <w:t>KYRGYZ REPUBLIC</w:t>
      </w:r>
      <w:r w:rsidRPr="00E20572">
        <w:rPr>
          <w:rFonts w:asciiTheme="majorBidi" w:eastAsia="Times New Roman" w:hAnsiTheme="majorBidi" w:cstheme="majorBidi"/>
          <w:bCs/>
          <w:sz w:val="24"/>
          <w:szCs w:val="24"/>
          <w:lang w:val="en-US"/>
        </w:rPr>
        <w:t xml:space="preserve"> locations as determined); includes physical interactive classes, group discussions, forum debates, and Q&amp;A sessions.</w:t>
      </w:r>
    </w:p>
    <w:p w14:paraId="0428BCB0" w14:textId="77777777" w:rsidR="00BB2712" w:rsidRPr="00E20572" w:rsidRDefault="00BB2712" w:rsidP="00D26338">
      <w:pPr>
        <w:pStyle w:val="ListParagraph"/>
        <w:numPr>
          <w:ilvl w:val="0"/>
          <w:numId w:val="28"/>
        </w:numPr>
        <w:spacing w:before="120" w:after="0" w:line="240" w:lineRule="auto"/>
        <w:ind w:left="360"/>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Customization: Propose topic inclusions/enhancements based on the "Key Characteristics" section, ensuring relevance to participant groups.</w:t>
      </w:r>
    </w:p>
    <w:p w14:paraId="29DB50BB" w14:textId="77777777" w:rsidR="00BB2712" w:rsidRPr="00E20572" w:rsidRDefault="00BB2712" w:rsidP="00D26338">
      <w:pPr>
        <w:pStyle w:val="ListParagraph"/>
        <w:numPr>
          <w:ilvl w:val="0"/>
          <w:numId w:val="28"/>
        </w:numPr>
        <w:spacing w:before="120" w:after="0" w:line="240" w:lineRule="auto"/>
        <w:ind w:left="360"/>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Site Visits: Include a minimum of one visit per component for offline facilitation and consulting (e.g., 1 for Component 1, 2–3 for Component 2, 1–2 for Component 3).</w:t>
      </w:r>
    </w:p>
    <w:p w14:paraId="5DB4D087" w14:textId="77777777" w:rsidR="00BB2712" w:rsidRPr="00E20572" w:rsidRDefault="00BB2712" w:rsidP="00BB2712">
      <w:pPr>
        <w:spacing w:before="120" w:after="0" w:line="240" w:lineRule="auto"/>
        <w:rPr>
          <w:rFonts w:asciiTheme="majorBidi" w:eastAsia="Times New Roman" w:hAnsiTheme="majorBidi" w:cstheme="majorBidi"/>
          <w:bCs/>
          <w:sz w:val="24"/>
          <w:szCs w:val="24"/>
          <w:lang w:val="en-US"/>
        </w:rPr>
      </w:pPr>
    </w:p>
    <w:p w14:paraId="7CB0A687" w14:textId="77777777" w:rsidR="00BB2712" w:rsidRPr="00E20572" w:rsidRDefault="00BB2712" w:rsidP="00BB2712">
      <w:pPr>
        <w:spacing w:before="120" w:after="0" w:line="240" w:lineRule="auto"/>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5.4 Expected Outcomes and Long-Term Impact</w:t>
      </w:r>
    </w:p>
    <w:p w14:paraId="1FF180EE" w14:textId="77777777" w:rsidR="00BB2712" w:rsidRPr="00E20572" w:rsidRDefault="00BB2712" w:rsidP="00BB2712">
      <w:p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The assignment is anticipated to yield enduring benefits, including:</w:t>
      </w:r>
    </w:p>
    <w:p w14:paraId="0EEBF5EB" w14:textId="77777777" w:rsidR="00BB2712" w:rsidRPr="00E20572" w:rsidRDefault="00BB2712" w:rsidP="00D26338">
      <w:pPr>
        <w:pStyle w:val="ListParagraph"/>
        <w:numPr>
          <w:ilvl w:val="0"/>
          <w:numId w:val="24"/>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Market scaling through the establishment of a mentoring institution (via trained trainers).</w:t>
      </w:r>
    </w:p>
    <w:p w14:paraId="0D45E87A" w14:textId="77777777" w:rsidR="00BB2712" w:rsidRPr="00E20572" w:rsidRDefault="00BB2712" w:rsidP="00D26338">
      <w:pPr>
        <w:pStyle w:val="ListParagraph"/>
        <w:numPr>
          <w:ilvl w:val="0"/>
          <w:numId w:val="24"/>
        </w:num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Innovation in product offerings by project-participating banks.</w:t>
      </w:r>
    </w:p>
    <w:p w14:paraId="4DF45B53" w14:textId="77777777" w:rsidR="00BB2712" w:rsidRPr="00E20572" w:rsidRDefault="00BB2712" w:rsidP="00D26338">
      <w:pPr>
        <w:pStyle w:val="ListParagraph"/>
        <w:numPr>
          <w:ilvl w:val="0"/>
          <w:numId w:val="24"/>
        </w:numPr>
        <w:rPr>
          <w:rFonts w:asciiTheme="majorBidi" w:hAnsiTheme="majorBidi" w:cstheme="majorBidi"/>
          <w:sz w:val="24"/>
          <w:szCs w:val="24"/>
          <w:lang w:val="en-US"/>
        </w:rPr>
      </w:pPr>
      <w:r w:rsidRPr="00E20572">
        <w:rPr>
          <w:rFonts w:asciiTheme="majorBidi" w:hAnsiTheme="majorBidi" w:cstheme="majorBidi"/>
          <w:sz w:val="24"/>
          <w:szCs w:val="24"/>
          <w:lang w:val="en-US"/>
        </w:rPr>
        <w:t>Increased understanding and regulatory knowledge of Islamic finance principles among government officials.</w:t>
      </w:r>
    </w:p>
    <w:p w14:paraId="3260522D" w14:textId="77777777" w:rsidR="00BB2712" w:rsidRPr="00E20572" w:rsidRDefault="00BB2712" w:rsidP="00BB2712">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 xml:space="preserve">Overall, these outcomes will strengthen the Islamic finance ecosystem in the </w:t>
      </w:r>
      <w:r w:rsidR="00B90143" w:rsidRPr="00E20572">
        <w:rPr>
          <w:rFonts w:asciiTheme="majorBidi" w:eastAsia="Times New Roman" w:hAnsiTheme="majorBidi" w:cstheme="majorBidi"/>
          <w:bCs/>
          <w:sz w:val="24"/>
          <w:szCs w:val="24"/>
          <w:lang w:val="en-US"/>
        </w:rPr>
        <w:t>KYRGYZ REPUBLIC</w:t>
      </w:r>
      <w:r w:rsidRPr="00E20572">
        <w:rPr>
          <w:rFonts w:asciiTheme="majorBidi" w:eastAsia="Times New Roman" w:hAnsiTheme="majorBidi" w:cstheme="majorBidi"/>
          <w:bCs/>
          <w:sz w:val="24"/>
          <w:szCs w:val="24"/>
          <w:lang w:val="en-US"/>
        </w:rPr>
        <w:t>, facilitating greater integration with national development initiatives such as agricultural mechanization.</w:t>
      </w:r>
    </w:p>
    <w:p w14:paraId="2DA84E41" w14:textId="77777777" w:rsidR="0073193E" w:rsidRPr="00E20572" w:rsidRDefault="0073193E" w:rsidP="0073193E">
      <w:pPr>
        <w:spacing w:before="120" w:after="0" w:line="240" w:lineRule="auto"/>
        <w:jc w:val="both"/>
        <w:rPr>
          <w:rFonts w:asciiTheme="majorBidi" w:eastAsia="Times New Roman" w:hAnsiTheme="majorBidi" w:cstheme="majorBidi"/>
          <w:bCs/>
          <w:sz w:val="24"/>
          <w:szCs w:val="24"/>
          <w:lang w:val="en-US"/>
        </w:rPr>
      </w:pPr>
    </w:p>
    <w:p w14:paraId="2CCEE61C" w14:textId="77777777" w:rsidR="0073193E" w:rsidRPr="00E20572" w:rsidRDefault="0073193E" w:rsidP="0073193E">
      <w:pPr>
        <w:spacing w:before="120" w:after="0" w:line="240" w:lineRule="auto"/>
        <w:rPr>
          <w:rFonts w:asciiTheme="majorBidi" w:eastAsia="Times New Roman" w:hAnsiTheme="majorBidi" w:cstheme="majorBidi"/>
          <w:b/>
          <w:sz w:val="24"/>
          <w:szCs w:val="24"/>
          <w:lang w:val="en-US"/>
        </w:rPr>
      </w:pPr>
      <w:r w:rsidRPr="00E20572">
        <w:rPr>
          <w:rFonts w:asciiTheme="majorBidi" w:eastAsia="Times New Roman" w:hAnsiTheme="majorBidi" w:cstheme="majorBidi"/>
          <w:b/>
          <w:sz w:val="24"/>
          <w:szCs w:val="24"/>
          <w:lang w:val="en-US"/>
        </w:rPr>
        <w:t>6. Methodology and Approach</w:t>
      </w:r>
    </w:p>
    <w:p w14:paraId="185E997D" w14:textId="77777777" w:rsidR="0073193E" w:rsidRPr="00E20572" w:rsidRDefault="0073193E" w:rsidP="0073193E">
      <w:pPr>
        <w:spacing w:before="120" w:after="0" w:line="240" w:lineRule="auto"/>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The Consultant shall propose a detailed methodology in their technical proposal, emphasizing:</w:t>
      </w:r>
    </w:p>
    <w:p w14:paraId="003317AC" w14:textId="77777777" w:rsidR="0073193E" w:rsidRPr="00E20572" w:rsidRDefault="0073193E" w:rsidP="00D26338">
      <w:pPr>
        <w:pStyle w:val="ListParagraph"/>
        <w:numPr>
          <w:ilvl w:val="0"/>
          <w:numId w:val="29"/>
        </w:numPr>
        <w:spacing w:before="120" w:after="0" w:line="240" w:lineRule="auto"/>
        <w:ind w:left="360"/>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Stakeholder Engagement: Consultations with the PMU, National Bank, and participating banks to refine curricula.</w:t>
      </w:r>
    </w:p>
    <w:p w14:paraId="431FCAFF" w14:textId="77777777" w:rsidR="0073193E" w:rsidRPr="00E20572" w:rsidRDefault="0073193E" w:rsidP="00D26338">
      <w:pPr>
        <w:pStyle w:val="ListParagraph"/>
        <w:numPr>
          <w:ilvl w:val="0"/>
          <w:numId w:val="29"/>
        </w:numPr>
        <w:spacing w:before="120" w:after="0" w:line="240" w:lineRule="auto"/>
        <w:ind w:left="360"/>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Quality Assurance: Use of AAOIFI/IFSB benchmarks; pre/post-training assessments to measure knowledge gains (target: 80% improvement).</w:t>
      </w:r>
    </w:p>
    <w:p w14:paraId="35BB643E" w14:textId="77777777" w:rsidR="0073193E" w:rsidRPr="00E20572" w:rsidRDefault="0073193E" w:rsidP="00D26338">
      <w:pPr>
        <w:pStyle w:val="ListParagraph"/>
        <w:numPr>
          <w:ilvl w:val="0"/>
          <w:numId w:val="29"/>
        </w:numPr>
        <w:spacing w:before="120" w:after="0" w:line="240" w:lineRule="auto"/>
        <w:ind w:left="360"/>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Innovation: Integration of digital tools (e.g., e-learning platforms) and case studies from peer economies.</w:t>
      </w:r>
    </w:p>
    <w:p w14:paraId="71016AF3" w14:textId="77777777" w:rsidR="0073193E" w:rsidRPr="00E20572" w:rsidRDefault="0073193E" w:rsidP="00D26338">
      <w:pPr>
        <w:pStyle w:val="ListParagraph"/>
        <w:numPr>
          <w:ilvl w:val="0"/>
          <w:numId w:val="29"/>
        </w:numPr>
        <w:spacing w:before="120" w:after="0" w:line="240" w:lineRule="auto"/>
        <w:ind w:left="360"/>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Risk Mitigation: Contingency for low attendance (e.g., hybrid options) and cultural/linguistic adaptations.</w:t>
      </w:r>
    </w:p>
    <w:p w14:paraId="5E70D09B" w14:textId="77777777" w:rsidR="0073193E" w:rsidRPr="00E20572" w:rsidRDefault="0073193E" w:rsidP="00D26338">
      <w:pPr>
        <w:pStyle w:val="ListParagraph"/>
        <w:numPr>
          <w:ilvl w:val="0"/>
          <w:numId w:val="29"/>
        </w:numPr>
        <w:spacing w:before="120" w:after="0" w:line="240" w:lineRule="auto"/>
        <w:ind w:left="360"/>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Sustainability: Embed mentoring mechanisms for post-assignment knowledge transfer.</w:t>
      </w:r>
    </w:p>
    <w:p w14:paraId="738B08FD" w14:textId="6F7E3559" w:rsidR="0073193E" w:rsidRPr="00E20572" w:rsidRDefault="0073193E" w:rsidP="00D26338">
      <w:pPr>
        <w:spacing w:before="120" w:after="0" w:line="240" w:lineRule="auto"/>
        <w:jc w:val="both"/>
        <w:rPr>
          <w:rFonts w:asciiTheme="majorBidi" w:eastAsia="Times New Roman" w:hAnsiTheme="majorBidi" w:cstheme="majorBidi"/>
          <w:bCs/>
          <w:sz w:val="24"/>
          <w:szCs w:val="24"/>
          <w:lang w:val="en-US"/>
        </w:rPr>
      </w:pPr>
      <w:r w:rsidRPr="00E20572">
        <w:rPr>
          <w:rFonts w:asciiTheme="majorBidi" w:eastAsia="Times New Roman" w:hAnsiTheme="majorBidi" w:cstheme="majorBidi"/>
          <w:bCs/>
          <w:sz w:val="24"/>
          <w:szCs w:val="24"/>
          <w:lang w:val="en-US"/>
        </w:rPr>
        <w:t>The methodology must align with Sharia principles and IsDB's environmental/social safeguards.</w:t>
      </w:r>
    </w:p>
    <w:p w14:paraId="2E89F519" w14:textId="77777777" w:rsidR="008A2543" w:rsidRPr="00E20572" w:rsidRDefault="008A2543" w:rsidP="00D26338">
      <w:pPr>
        <w:spacing w:before="120" w:after="0" w:line="240" w:lineRule="auto"/>
        <w:jc w:val="both"/>
        <w:rPr>
          <w:rFonts w:asciiTheme="majorBidi" w:eastAsia="Times New Roman" w:hAnsiTheme="majorBidi" w:cstheme="majorBidi"/>
          <w:bCs/>
          <w:sz w:val="24"/>
          <w:szCs w:val="24"/>
          <w:lang w:val="en-US"/>
        </w:rPr>
      </w:pPr>
    </w:p>
    <w:p w14:paraId="7D8C9905" w14:textId="554CDABA" w:rsidR="003F035B" w:rsidRPr="00E20572" w:rsidRDefault="0073193E" w:rsidP="008A2543">
      <w:pPr>
        <w:spacing w:before="120" w:after="0" w:line="240" w:lineRule="auto"/>
        <w:jc w:val="both"/>
        <w:rPr>
          <w:rFonts w:asciiTheme="majorBidi" w:eastAsia="Times New Roman" w:hAnsiTheme="majorBidi" w:cstheme="majorBidi"/>
          <w:b/>
          <w:i/>
          <w:sz w:val="24"/>
          <w:szCs w:val="24"/>
          <w:lang w:val="en-US"/>
        </w:rPr>
      </w:pPr>
      <w:r w:rsidRPr="00E20572">
        <w:rPr>
          <w:rFonts w:asciiTheme="majorBidi" w:eastAsia="Times New Roman" w:hAnsiTheme="majorBidi" w:cstheme="majorBidi"/>
          <w:b/>
          <w:i/>
          <w:sz w:val="24"/>
          <w:szCs w:val="24"/>
          <w:lang w:val="en-US"/>
        </w:rPr>
        <w:t>7</w:t>
      </w:r>
      <w:r w:rsidR="003F035B" w:rsidRPr="00E20572">
        <w:rPr>
          <w:rFonts w:asciiTheme="majorBidi" w:eastAsia="Times New Roman" w:hAnsiTheme="majorBidi" w:cstheme="majorBidi"/>
          <w:b/>
          <w:i/>
          <w:sz w:val="24"/>
          <w:szCs w:val="24"/>
          <w:lang w:val="en-US"/>
        </w:rPr>
        <w:t xml:space="preserve">.  </w:t>
      </w:r>
      <w:r w:rsidR="00344FA1" w:rsidRPr="00E20572">
        <w:rPr>
          <w:rFonts w:asciiTheme="majorBidi" w:eastAsia="Times New Roman" w:hAnsiTheme="majorBidi" w:cstheme="majorBidi"/>
          <w:b/>
          <w:i/>
          <w:sz w:val="24"/>
          <w:szCs w:val="24"/>
          <w:lang w:val="en-US"/>
        </w:rPr>
        <w:t>Consultant Qualifications and Team Composition</w:t>
      </w:r>
    </w:p>
    <w:p w14:paraId="15D745F6" w14:textId="77777777" w:rsidR="00344FA1" w:rsidRPr="00E20572" w:rsidRDefault="0073193E" w:rsidP="0073193E">
      <w:pPr>
        <w:spacing w:before="120" w:after="0" w:line="240" w:lineRule="auto"/>
        <w:rPr>
          <w:rFonts w:asciiTheme="majorBidi" w:eastAsia="Times New Roman" w:hAnsiTheme="majorBidi" w:cstheme="majorBidi"/>
          <w:sz w:val="24"/>
          <w:szCs w:val="24"/>
          <w:lang w:val="en-US"/>
        </w:rPr>
      </w:pPr>
      <w:r w:rsidRPr="00E20572">
        <w:rPr>
          <w:rFonts w:asciiTheme="majorBidi" w:eastAsia="Times New Roman" w:hAnsiTheme="majorBidi" w:cstheme="majorBidi"/>
          <w:sz w:val="24"/>
          <w:szCs w:val="24"/>
          <w:lang w:val="en-US"/>
        </w:rPr>
        <w:t xml:space="preserve">The Consultant must be an established educational/consulting firm with at least 10 years' experience in Islamic finance training, preferably in Central Asia or OIC member states. </w:t>
      </w:r>
    </w:p>
    <w:p w14:paraId="7EA3ACA1" w14:textId="77777777" w:rsidR="0073193E" w:rsidRPr="00E20572" w:rsidRDefault="0073193E" w:rsidP="0073193E">
      <w:pPr>
        <w:spacing w:before="120" w:after="0" w:line="240" w:lineRule="auto"/>
        <w:rPr>
          <w:rFonts w:asciiTheme="majorBidi" w:eastAsia="Times New Roman" w:hAnsiTheme="majorBidi" w:cstheme="majorBidi"/>
          <w:sz w:val="24"/>
          <w:szCs w:val="24"/>
          <w:lang w:val="en-US"/>
        </w:rPr>
      </w:pPr>
      <w:r w:rsidRPr="00E20572">
        <w:rPr>
          <w:rFonts w:asciiTheme="majorBidi" w:eastAsia="Times New Roman" w:hAnsiTheme="majorBidi" w:cstheme="majorBidi"/>
          <w:sz w:val="24"/>
          <w:szCs w:val="24"/>
          <w:lang w:val="en-US"/>
        </w:rPr>
        <w:t>Minimum requirements:</w:t>
      </w:r>
    </w:p>
    <w:p w14:paraId="68229A84" w14:textId="5A4562BF" w:rsidR="0073193E" w:rsidRPr="00E20572" w:rsidRDefault="0073193E" w:rsidP="00D26338">
      <w:pPr>
        <w:pStyle w:val="ListParagraph"/>
        <w:numPr>
          <w:ilvl w:val="0"/>
          <w:numId w:val="26"/>
        </w:numPr>
        <w:spacing w:before="120" w:after="0" w:line="240" w:lineRule="auto"/>
        <w:rPr>
          <w:rFonts w:asciiTheme="majorBidi" w:eastAsia="Times New Roman" w:hAnsiTheme="majorBidi" w:cstheme="majorBidi"/>
          <w:sz w:val="24"/>
          <w:szCs w:val="24"/>
          <w:lang w:val="en-US"/>
        </w:rPr>
      </w:pPr>
      <w:r w:rsidRPr="00E20572">
        <w:rPr>
          <w:rFonts w:asciiTheme="majorBidi" w:eastAsia="Times New Roman" w:hAnsiTheme="majorBidi" w:cstheme="majorBidi"/>
          <w:sz w:val="24"/>
          <w:szCs w:val="24"/>
          <w:lang w:val="en-US"/>
        </w:rPr>
        <w:t>Proven track record of delivering AAOIFI-aligned programs (at least 3 similar assignments).</w:t>
      </w:r>
      <w:r w:rsidR="004E11B1" w:rsidRPr="00E20572">
        <w:rPr>
          <w:rFonts w:asciiTheme="majorBidi" w:eastAsia="Times New Roman" w:hAnsiTheme="majorBidi" w:cstheme="majorBidi"/>
          <w:sz w:val="24"/>
          <w:szCs w:val="24"/>
          <w:lang w:val="en-US"/>
        </w:rPr>
        <w:t xml:space="preserve"> Bidders must provide evidence of their internal Shari’ah governance frameworks and a detailed methodology demonstrating how AAOIFI standards will be integrated into the specific product design, certification processes, and implementation phases of this project.</w:t>
      </w:r>
    </w:p>
    <w:p w14:paraId="128EA7E0" w14:textId="51459762" w:rsidR="0073193E" w:rsidRPr="00E20572" w:rsidRDefault="00255F11" w:rsidP="00D26338">
      <w:pPr>
        <w:pStyle w:val="ListParagraph"/>
        <w:numPr>
          <w:ilvl w:val="0"/>
          <w:numId w:val="26"/>
        </w:numPr>
        <w:spacing w:before="120" w:after="0" w:line="240" w:lineRule="auto"/>
        <w:rPr>
          <w:rFonts w:asciiTheme="majorBidi" w:eastAsia="Times New Roman" w:hAnsiTheme="majorBidi" w:cstheme="majorBidi"/>
          <w:sz w:val="24"/>
          <w:szCs w:val="24"/>
          <w:lang w:val="en-US"/>
        </w:rPr>
      </w:pPr>
      <w:r w:rsidRPr="00E20572">
        <w:rPr>
          <w:rFonts w:asciiTheme="majorBidi" w:eastAsia="Times New Roman" w:hAnsiTheme="majorBidi" w:cstheme="majorBidi"/>
          <w:sz w:val="24"/>
          <w:szCs w:val="24"/>
          <w:lang w:val="en-US"/>
        </w:rPr>
        <w:t>Requires experience in Central Asia or OIC countries</w:t>
      </w:r>
      <w:r w:rsidR="0073193E" w:rsidRPr="00E20572">
        <w:rPr>
          <w:rFonts w:asciiTheme="majorBidi" w:eastAsia="Times New Roman" w:hAnsiTheme="majorBidi" w:cstheme="majorBidi"/>
          <w:sz w:val="24"/>
          <w:szCs w:val="24"/>
          <w:lang w:val="en-US"/>
        </w:rPr>
        <w:t>.</w:t>
      </w:r>
    </w:p>
    <w:p w14:paraId="05CB01C3" w14:textId="77777777" w:rsidR="0073193E" w:rsidRPr="00E20572" w:rsidRDefault="0073193E" w:rsidP="0073193E">
      <w:pPr>
        <w:spacing w:before="120" w:after="0" w:line="240" w:lineRule="auto"/>
        <w:rPr>
          <w:rFonts w:asciiTheme="majorBidi" w:eastAsia="Times New Roman" w:hAnsiTheme="majorBidi" w:cstheme="majorBidi"/>
          <w:sz w:val="24"/>
          <w:szCs w:val="24"/>
          <w:lang w:val="en-US"/>
        </w:rPr>
      </w:pPr>
      <w:r w:rsidRPr="00E20572">
        <w:rPr>
          <w:rFonts w:asciiTheme="majorBidi" w:eastAsia="Times New Roman" w:hAnsiTheme="majorBidi" w:cstheme="majorBidi"/>
          <w:sz w:val="24"/>
          <w:szCs w:val="24"/>
          <w:lang w:val="en-US"/>
        </w:rPr>
        <w:t>Team Composition (</w:t>
      </w:r>
      <w:r w:rsidR="00344FA1" w:rsidRPr="00E20572">
        <w:rPr>
          <w:rFonts w:asciiTheme="majorBidi" w:eastAsia="Times New Roman" w:hAnsiTheme="majorBidi" w:cstheme="majorBidi"/>
          <w:sz w:val="24"/>
          <w:szCs w:val="24"/>
          <w:lang w:val="en-US"/>
        </w:rPr>
        <w:t>tentative</w:t>
      </w:r>
      <w:r w:rsidRPr="00E20572">
        <w:rPr>
          <w:rFonts w:asciiTheme="majorBidi" w:eastAsia="Times New Roman" w:hAnsiTheme="majorBidi" w:cstheme="majorBidi"/>
          <w:sz w:val="24"/>
          <w:szCs w:val="24"/>
          <w:lang w:val="en-US"/>
        </w:rPr>
        <w:t>):</w:t>
      </w:r>
    </w:p>
    <w:p w14:paraId="580F50F5" w14:textId="75CD784B" w:rsidR="0073193E" w:rsidRPr="00E20572" w:rsidRDefault="0073193E" w:rsidP="00D26338">
      <w:pPr>
        <w:pStyle w:val="ListParagraph"/>
        <w:numPr>
          <w:ilvl w:val="0"/>
          <w:numId w:val="25"/>
        </w:numPr>
        <w:spacing w:before="120" w:after="0" w:line="240" w:lineRule="auto"/>
        <w:rPr>
          <w:rFonts w:asciiTheme="majorBidi" w:eastAsia="Times New Roman" w:hAnsiTheme="majorBidi" w:cstheme="majorBidi"/>
          <w:sz w:val="24"/>
          <w:szCs w:val="24"/>
          <w:lang w:val="en-US"/>
        </w:rPr>
      </w:pPr>
      <w:r w:rsidRPr="00E20572">
        <w:rPr>
          <w:rFonts w:asciiTheme="majorBidi" w:eastAsia="Times New Roman" w:hAnsiTheme="majorBidi" w:cstheme="majorBidi"/>
          <w:sz w:val="24"/>
          <w:szCs w:val="24"/>
          <w:lang w:val="en-US"/>
        </w:rPr>
        <w:t xml:space="preserve">Team Leader/Lead Trainer: 15+ years in Islamic banking; </w:t>
      </w:r>
      <w:r w:rsidR="00991F3D" w:rsidRPr="00E20572">
        <w:rPr>
          <w:rFonts w:asciiTheme="majorBidi" w:eastAsia="Times New Roman" w:hAnsiTheme="majorBidi" w:cstheme="majorBidi"/>
          <w:sz w:val="24"/>
          <w:szCs w:val="24"/>
          <w:lang w:val="en-US"/>
        </w:rPr>
        <w:t>M</w:t>
      </w:r>
      <w:r w:rsidR="00344FA1" w:rsidRPr="00E20572">
        <w:rPr>
          <w:rFonts w:asciiTheme="majorBidi" w:eastAsia="Times New Roman" w:hAnsiTheme="majorBidi" w:cstheme="majorBidi"/>
          <w:sz w:val="24"/>
          <w:szCs w:val="24"/>
          <w:lang w:val="en-US"/>
        </w:rPr>
        <w:t xml:space="preserve">aster’s </w:t>
      </w:r>
      <w:r w:rsidR="00991F3D" w:rsidRPr="00E20572">
        <w:rPr>
          <w:rFonts w:asciiTheme="majorBidi" w:eastAsia="Times New Roman" w:hAnsiTheme="majorBidi" w:cstheme="majorBidi"/>
          <w:sz w:val="24"/>
          <w:szCs w:val="24"/>
          <w:lang w:val="en-US"/>
        </w:rPr>
        <w:t xml:space="preserve">degree </w:t>
      </w:r>
      <w:r w:rsidR="00344FA1" w:rsidRPr="00E20572">
        <w:rPr>
          <w:rFonts w:asciiTheme="majorBidi" w:eastAsia="Times New Roman" w:hAnsiTheme="majorBidi" w:cstheme="majorBidi"/>
          <w:sz w:val="24"/>
          <w:szCs w:val="24"/>
          <w:lang w:val="en-US"/>
        </w:rPr>
        <w:t>in finance</w:t>
      </w:r>
      <w:r w:rsidRPr="00E20572">
        <w:rPr>
          <w:rFonts w:asciiTheme="majorBidi" w:eastAsia="Times New Roman" w:hAnsiTheme="majorBidi" w:cstheme="majorBidi"/>
          <w:sz w:val="24"/>
          <w:szCs w:val="24"/>
          <w:lang w:val="en-US"/>
        </w:rPr>
        <w:t>/Islamic Economics; experience in regulatory training.</w:t>
      </w:r>
    </w:p>
    <w:p w14:paraId="5EA1ACE8" w14:textId="77777777" w:rsidR="0073193E" w:rsidRPr="00E20572" w:rsidRDefault="0073193E" w:rsidP="00D26338">
      <w:pPr>
        <w:pStyle w:val="ListParagraph"/>
        <w:numPr>
          <w:ilvl w:val="0"/>
          <w:numId w:val="25"/>
        </w:numPr>
        <w:spacing w:before="120" w:after="0" w:line="240" w:lineRule="auto"/>
        <w:rPr>
          <w:rFonts w:asciiTheme="majorBidi" w:eastAsia="Times New Roman" w:hAnsiTheme="majorBidi" w:cstheme="majorBidi"/>
          <w:sz w:val="24"/>
          <w:szCs w:val="24"/>
          <w:lang w:val="en-US"/>
        </w:rPr>
      </w:pPr>
      <w:r w:rsidRPr="00E20572">
        <w:rPr>
          <w:rFonts w:asciiTheme="majorBidi" w:eastAsia="Times New Roman" w:hAnsiTheme="majorBidi" w:cstheme="majorBidi"/>
          <w:sz w:val="24"/>
          <w:szCs w:val="24"/>
          <w:lang w:val="en-US"/>
        </w:rPr>
        <w:t>Technical Experts (3–5): Specialists in Sharia contracts, accounting, and supervision; certified by AAOIFI/IFSB.</w:t>
      </w:r>
    </w:p>
    <w:p w14:paraId="7B731B51" w14:textId="77777777" w:rsidR="0073193E" w:rsidRPr="00E20572" w:rsidRDefault="0073193E" w:rsidP="00D26338">
      <w:pPr>
        <w:pStyle w:val="ListParagraph"/>
        <w:numPr>
          <w:ilvl w:val="0"/>
          <w:numId w:val="25"/>
        </w:numPr>
        <w:spacing w:before="120" w:after="0" w:line="240" w:lineRule="auto"/>
        <w:rPr>
          <w:rFonts w:asciiTheme="majorBidi" w:eastAsia="Times New Roman" w:hAnsiTheme="majorBidi" w:cstheme="majorBidi"/>
          <w:sz w:val="24"/>
          <w:szCs w:val="24"/>
          <w:lang w:val="en-US"/>
        </w:rPr>
      </w:pPr>
      <w:r w:rsidRPr="00E20572">
        <w:rPr>
          <w:rFonts w:asciiTheme="majorBidi" w:eastAsia="Times New Roman" w:hAnsiTheme="majorBidi" w:cstheme="majorBidi"/>
          <w:sz w:val="24"/>
          <w:szCs w:val="24"/>
          <w:lang w:val="en-US"/>
        </w:rPr>
        <w:t>Support Staff: Translators, logistics coordinators.</w:t>
      </w:r>
    </w:p>
    <w:p w14:paraId="3A04909D" w14:textId="7692A6E8" w:rsidR="0073193E" w:rsidRPr="00E20572" w:rsidRDefault="0073193E" w:rsidP="00D26338">
      <w:pPr>
        <w:spacing w:before="120" w:after="0" w:line="240" w:lineRule="auto"/>
        <w:contextualSpacing/>
        <w:jc w:val="both"/>
        <w:rPr>
          <w:rFonts w:asciiTheme="majorBidi" w:eastAsia="Times New Roman" w:hAnsiTheme="majorBidi" w:cstheme="majorBidi"/>
          <w:sz w:val="24"/>
          <w:szCs w:val="24"/>
          <w:lang w:val="en-US"/>
        </w:rPr>
      </w:pPr>
      <w:r w:rsidRPr="00E20572">
        <w:rPr>
          <w:rFonts w:asciiTheme="majorBidi" w:eastAsia="Times New Roman" w:hAnsiTheme="majorBidi" w:cstheme="majorBidi"/>
          <w:sz w:val="24"/>
          <w:szCs w:val="24"/>
          <w:lang w:val="en-US"/>
        </w:rPr>
        <w:t>CVs (max 5 pages each) must be submitted for key personnel, demonstrating relevant qualifications.</w:t>
      </w:r>
    </w:p>
    <w:p w14:paraId="5B28B69C" w14:textId="77777777" w:rsidR="003F035B" w:rsidRPr="00E20572" w:rsidRDefault="003F035B" w:rsidP="007019C1">
      <w:pPr>
        <w:spacing w:before="120" w:after="0" w:line="240" w:lineRule="auto"/>
        <w:rPr>
          <w:rFonts w:asciiTheme="majorBidi" w:eastAsia="Times New Roman" w:hAnsiTheme="majorBidi" w:cstheme="majorBidi"/>
          <w:b/>
          <w:i/>
          <w:sz w:val="24"/>
          <w:szCs w:val="24"/>
          <w:lang w:val="en-US"/>
        </w:rPr>
      </w:pPr>
    </w:p>
    <w:p w14:paraId="47B83788" w14:textId="77777777" w:rsidR="0073193E" w:rsidRPr="00E20572" w:rsidRDefault="0073193E" w:rsidP="0073193E">
      <w:pPr>
        <w:spacing w:before="120" w:after="0" w:line="240" w:lineRule="auto"/>
        <w:rPr>
          <w:rFonts w:asciiTheme="majorBidi" w:eastAsia="Times New Roman" w:hAnsiTheme="majorBidi" w:cstheme="majorBidi"/>
          <w:b/>
          <w:iCs/>
          <w:sz w:val="24"/>
          <w:szCs w:val="24"/>
          <w:lang w:val="en-US"/>
        </w:rPr>
      </w:pPr>
      <w:r w:rsidRPr="00E20572">
        <w:rPr>
          <w:rFonts w:asciiTheme="majorBidi" w:eastAsia="Times New Roman" w:hAnsiTheme="majorBidi" w:cstheme="majorBidi"/>
          <w:b/>
          <w:iCs/>
          <w:sz w:val="24"/>
          <w:szCs w:val="24"/>
          <w:lang w:val="en-US"/>
        </w:rPr>
        <w:t>8. Reporting, Monitoring, and Evaluation</w:t>
      </w:r>
    </w:p>
    <w:p w14:paraId="01373700" w14:textId="77777777" w:rsidR="0073193E" w:rsidRPr="00E20572" w:rsidRDefault="0073193E" w:rsidP="0073193E">
      <w:pPr>
        <w:spacing w:before="120" w:after="0" w:line="240" w:lineRule="auto"/>
        <w:rPr>
          <w:rFonts w:asciiTheme="majorBidi" w:eastAsia="Times New Roman" w:hAnsiTheme="majorBidi" w:cstheme="majorBidi"/>
          <w:bCs/>
          <w:iCs/>
          <w:sz w:val="24"/>
          <w:szCs w:val="24"/>
          <w:lang w:val="en-US"/>
        </w:rPr>
      </w:pPr>
      <w:r w:rsidRPr="00E20572">
        <w:rPr>
          <w:rFonts w:asciiTheme="majorBidi" w:eastAsia="Times New Roman" w:hAnsiTheme="majorBidi" w:cstheme="majorBidi"/>
          <w:bCs/>
          <w:iCs/>
          <w:sz w:val="24"/>
          <w:szCs w:val="24"/>
          <w:lang w:val="en-US"/>
        </w:rPr>
        <w:t>The Consultant will submit:</w:t>
      </w:r>
    </w:p>
    <w:p w14:paraId="3E459F44" w14:textId="77777777" w:rsidR="0073193E" w:rsidRPr="00E20572" w:rsidRDefault="0073193E" w:rsidP="00D26338">
      <w:pPr>
        <w:pStyle w:val="ListParagraph"/>
        <w:numPr>
          <w:ilvl w:val="0"/>
          <w:numId w:val="30"/>
        </w:numPr>
        <w:spacing w:before="120" w:after="0" w:line="240" w:lineRule="auto"/>
        <w:ind w:left="360"/>
        <w:rPr>
          <w:rFonts w:asciiTheme="majorBidi" w:eastAsia="Times New Roman" w:hAnsiTheme="majorBidi" w:cstheme="majorBidi"/>
          <w:bCs/>
          <w:iCs/>
          <w:sz w:val="24"/>
          <w:szCs w:val="24"/>
          <w:lang w:val="en-US"/>
        </w:rPr>
      </w:pPr>
      <w:r w:rsidRPr="00E20572">
        <w:rPr>
          <w:rFonts w:asciiTheme="majorBidi" w:eastAsia="Times New Roman" w:hAnsiTheme="majorBidi" w:cstheme="majorBidi"/>
          <w:bCs/>
          <w:iCs/>
          <w:sz w:val="24"/>
          <w:szCs w:val="24"/>
          <w:lang w:val="en-US"/>
        </w:rPr>
        <w:t>Inception Report: Within 2 weeks of contract signing; includes detailed work plan and methodology.</w:t>
      </w:r>
    </w:p>
    <w:p w14:paraId="0FFBCA40" w14:textId="77777777" w:rsidR="0073193E" w:rsidRPr="00E20572" w:rsidRDefault="0073193E" w:rsidP="00D26338">
      <w:pPr>
        <w:pStyle w:val="ListParagraph"/>
        <w:numPr>
          <w:ilvl w:val="0"/>
          <w:numId w:val="30"/>
        </w:numPr>
        <w:spacing w:before="120" w:after="0" w:line="240" w:lineRule="auto"/>
        <w:ind w:left="360"/>
        <w:rPr>
          <w:rFonts w:asciiTheme="majorBidi" w:eastAsia="Times New Roman" w:hAnsiTheme="majorBidi" w:cstheme="majorBidi"/>
          <w:bCs/>
          <w:iCs/>
          <w:sz w:val="24"/>
          <w:szCs w:val="24"/>
          <w:lang w:val="en-US"/>
        </w:rPr>
      </w:pPr>
      <w:r w:rsidRPr="00E20572">
        <w:rPr>
          <w:rFonts w:asciiTheme="majorBidi" w:eastAsia="Times New Roman" w:hAnsiTheme="majorBidi" w:cstheme="majorBidi"/>
          <w:bCs/>
          <w:iCs/>
          <w:sz w:val="24"/>
          <w:szCs w:val="24"/>
          <w:lang w:val="en-US"/>
        </w:rPr>
        <w:t>Progress Reports: Quarterly, covering achievements, challenges, and KPIs (e.g., participant satisfaction &gt;85%).</w:t>
      </w:r>
    </w:p>
    <w:p w14:paraId="498AB052" w14:textId="77777777" w:rsidR="0073193E" w:rsidRPr="00E20572" w:rsidRDefault="0073193E" w:rsidP="00D26338">
      <w:pPr>
        <w:pStyle w:val="ListParagraph"/>
        <w:numPr>
          <w:ilvl w:val="0"/>
          <w:numId w:val="30"/>
        </w:numPr>
        <w:spacing w:before="120" w:after="0" w:line="240" w:lineRule="auto"/>
        <w:ind w:left="360"/>
        <w:rPr>
          <w:rFonts w:asciiTheme="majorBidi" w:eastAsia="Times New Roman" w:hAnsiTheme="majorBidi" w:cstheme="majorBidi"/>
          <w:bCs/>
          <w:iCs/>
          <w:sz w:val="24"/>
          <w:szCs w:val="24"/>
          <w:lang w:val="en-US"/>
        </w:rPr>
      </w:pPr>
      <w:r w:rsidRPr="00E20572">
        <w:rPr>
          <w:rFonts w:asciiTheme="majorBidi" w:eastAsia="Times New Roman" w:hAnsiTheme="majorBidi" w:cstheme="majorBidi"/>
          <w:bCs/>
          <w:iCs/>
          <w:sz w:val="24"/>
          <w:szCs w:val="24"/>
          <w:lang w:val="en-US"/>
        </w:rPr>
        <w:t>Component-Specific Reports: Post each component, with attendance, feedback, and impact assessments.</w:t>
      </w:r>
    </w:p>
    <w:p w14:paraId="689B2708" w14:textId="78390B66" w:rsidR="0073193E" w:rsidRPr="00E20572" w:rsidRDefault="0073193E" w:rsidP="00D26338">
      <w:pPr>
        <w:pStyle w:val="ListParagraph"/>
        <w:numPr>
          <w:ilvl w:val="0"/>
          <w:numId w:val="30"/>
        </w:numPr>
        <w:spacing w:before="120" w:after="0" w:line="240" w:lineRule="auto"/>
        <w:ind w:left="360"/>
        <w:rPr>
          <w:rFonts w:asciiTheme="majorBidi" w:eastAsia="Times New Roman" w:hAnsiTheme="majorBidi" w:cstheme="majorBidi"/>
          <w:bCs/>
          <w:iCs/>
          <w:sz w:val="24"/>
          <w:szCs w:val="24"/>
          <w:lang w:val="en-US"/>
        </w:rPr>
      </w:pPr>
      <w:r w:rsidRPr="00E20572">
        <w:rPr>
          <w:rFonts w:asciiTheme="majorBidi" w:eastAsia="Times New Roman" w:hAnsiTheme="majorBidi" w:cstheme="majorBidi"/>
          <w:bCs/>
          <w:iCs/>
          <w:sz w:val="24"/>
          <w:szCs w:val="24"/>
          <w:lang w:val="en-US"/>
        </w:rPr>
        <w:t xml:space="preserve">Final Report: By </w:t>
      </w:r>
      <w:r w:rsidR="006B4349" w:rsidRPr="00E20572">
        <w:rPr>
          <w:rFonts w:asciiTheme="majorBidi" w:eastAsia="Times New Roman" w:hAnsiTheme="majorBidi" w:cstheme="majorBidi"/>
          <w:bCs/>
          <w:iCs/>
          <w:sz w:val="24"/>
          <w:szCs w:val="24"/>
          <w:lang w:val="en-US"/>
        </w:rPr>
        <w:t>April</w:t>
      </w:r>
      <w:r w:rsidRPr="00E20572">
        <w:rPr>
          <w:rFonts w:asciiTheme="majorBidi" w:eastAsia="Times New Roman" w:hAnsiTheme="majorBidi" w:cstheme="majorBidi"/>
          <w:bCs/>
          <w:iCs/>
          <w:sz w:val="24"/>
          <w:szCs w:val="24"/>
          <w:lang w:val="en-US"/>
        </w:rPr>
        <w:t xml:space="preserve"> 202</w:t>
      </w:r>
      <w:r w:rsidR="006B4349" w:rsidRPr="00E20572">
        <w:rPr>
          <w:rFonts w:asciiTheme="majorBidi" w:eastAsia="Times New Roman" w:hAnsiTheme="majorBidi" w:cstheme="majorBidi"/>
          <w:bCs/>
          <w:iCs/>
          <w:sz w:val="24"/>
          <w:szCs w:val="24"/>
          <w:lang w:val="en-US"/>
        </w:rPr>
        <w:t>8</w:t>
      </w:r>
      <w:r w:rsidRPr="00E20572">
        <w:rPr>
          <w:rFonts w:asciiTheme="majorBidi" w:eastAsia="Times New Roman" w:hAnsiTheme="majorBidi" w:cstheme="majorBidi"/>
          <w:bCs/>
          <w:iCs/>
          <w:sz w:val="24"/>
          <w:szCs w:val="24"/>
          <w:lang w:val="en-US"/>
        </w:rPr>
        <w:t>; synthesizes outcomes, lessons learned, and recommendations for scaling Islamic finance.</w:t>
      </w:r>
    </w:p>
    <w:p w14:paraId="5070F4F7" w14:textId="256AA30B" w:rsidR="00586CE3" w:rsidRPr="00E20572" w:rsidRDefault="0073193E" w:rsidP="00D26338">
      <w:pPr>
        <w:spacing w:before="120" w:after="0" w:line="240" w:lineRule="auto"/>
        <w:jc w:val="both"/>
        <w:rPr>
          <w:rFonts w:asciiTheme="majorBidi" w:eastAsia="Times New Roman" w:hAnsiTheme="majorBidi" w:cstheme="majorBidi"/>
          <w:bCs/>
          <w:iCs/>
          <w:sz w:val="24"/>
          <w:szCs w:val="24"/>
          <w:lang w:val="en-US"/>
        </w:rPr>
      </w:pPr>
      <w:r w:rsidRPr="00E20572">
        <w:rPr>
          <w:rFonts w:asciiTheme="majorBidi" w:eastAsia="Times New Roman" w:hAnsiTheme="majorBidi" w:cstheme="majorBidi"/>
          <w:bCs/>
          <w:iCs/>
          <w:sz w:val="24"/>
          <w:szCs w:val="24"/>
          <w:lang w:val="en-US"/>
        </w:rPr>
        <w:t>Reports in English/Russian; PMU</w:t>
      </w:r>
      <w:r w:rsidR="005E0DAF" w:rsidRPr="00E20572">
        <w:rPr>
          <w:rFonts w:asciiTheme="majorBidi" w:eastAsia="Times New Roman" w:hAnsiTheme="majorBidi" w:cstheme="majorBidi"/>
          <w:bCs/>
          <w:iCs/>
          <w:sz w:val="24"/>
          <w:szCs w:val="24"/>
          <w:lang w:val="en-US"/>
        </w:rPr>
        <w:t>/IsDBI</w:t>
      </w:r>
      <w:r w:rsidRPr="00E20572">
        <w:rPr>
          <w:rFonts w:asciiTheme="majorBidi" w:eastAsia="Times New Roman" w:hAnsiTheme="majorBidi" w:cstheme="majorBidi"/>
          <w:bCs/>
          <w:iCs/>
          <w:sz w:val="24"/>
          <w:szCs w:val="24"/>
          <w:lang w:val="en-US"/>
        </w:rPr>
        <w:t xml:space="preserve"> approval required before payments. Monitoring via joint review meetings (bi-annual).</w:t>
      </w:r>
    </w:p>
    <w:p w14:paraId="18728A44" w14:textId="77777777" w:rsidR="00586CE3" w:rsidRPr="00E20572" w:rsidRDefault="00586CE3" w:rsidP="0073193E">
      <w:pPr>
        <w:spacing w:before="120" w:after="0" w:line="240" w:lineRule="auto"/>
        <w:ind w:firstLine="708"/>
        <w:jc w:val="both"/>
        <w:rPr>
          <w:rFonts w:asciiTheme="majorBidi" w:eastAsia="Times New Roman" w:hAnsiTheme="majorBidi" w:cstheme="majorBidi"/>
          <w:bCs/>
          <w:iCs/>
          <w:sz w:val="24"/>
          <w:szCs w:val="24"/>
          <w:lang w:val="en-US"/>
        </w:rPr>
      </w:pPr>
    </w:p>
    <w:p w14:paraId="678E2B0C" w14:textId="3538A6EC" w:rsidR="005E0DAF" w:rsidRPr="00E20572" w:rsidRDefault="005E0DAF" w:rsidP="005E0DAF">
      <w:pPr>
        <w:spacing w:before="120" w:after="0" w:line="240" w:lineRule="auto"/>
        <w:rPr>
          <w:rFonts w:asciiTheme="majorBidi" w:eastAsia="Times New Roman" w:hAnsiTheme="majorBidi" w:cstheme="majorBidi"/>
          <w:b/>
          <w:spacing w:val="-3"/>
          <w:sz w:val="24"/>
          <w:szCs w:val="24"/>
          <w:lang w:val="en-US"/>
        </w:rPr>
      </w:pPr>
      <w:r w:rsidRPr="00E20572">
        <w:rPr>
          <w:rFonts w:asciiTheme="majorBidi" w:hAnsiTheme="majorBidi" w:cstheme="majorBidi"/>
          <w:bCs/>
          <w:sz w:val="24"/>
          <w:szCs w:val="24"/>
          <w:lang w:val="en-US"/>
        </w:rPr>
        <w:t xml:space="preserve"> </w:t>
      </w:r>
      <w:r w:rsidRPr="00E20572">
        <w:rPr>
          <w:rFonts w:asciiTheme="majorBidi" w:eastAsia="Times New Roman" w:hAnsiTheme="majorBidi" w:cstheme="majorBidi"/>
          <w:b/>
          <w:spacing w:val="-3"/>
          <w:sz w:val="24"/>
          <w:szCs w:val="24"/>
          <w:lang w:val="en-US"/>
        </w:rPr>
        <w:t>9. Implementation Timeline</w:t>
      </w:r>
      <w:r w:rsidR="003A512F" w:rsidRPr="00E20572">
        <w:rPr>
          <w:rFonts w:asciiTheme="majorBidi" w:eastAsia="Times New Roman" w:hAnsiTheme="majorBidi" w:cstheme="majorBidi"/>
          <w:b/>
          <w:spacing w:val="-3"/>
          <w:sz w:val="24"/>
          <w:szCs w:val="24"/>
          <w:lang w:val="en-US"/>
        </w:rPr>
        <w:t xml:space="preserve"> (Tentative subject to discuss with PMU)</w:t>
      </w:r>
    </w:p>
    <w:p w14:paraId="54164B91" w14:textId="77777777" w:rsidR="005E0DAF" w:rsidRPr="00E20572" w:rsidRDefault="005E0DAF" w:rsidP="005E0DAF">
      <w:pPr>
        <w:spacing w:before="120" w:after="0" w:line="240" w:lineRule="auto"/>
        <w:rPr>
          <w:rFonts w:asciiTheme="majorBidi" w:eastAsia="Times New Roman" w:hAnsiTheme="majorBidi" w:cstheme="majorBidi"/>
          <w:bCs/>
          <w:spacing w:val="-3"/>
          <w:sz w:val="24"/>
          <w:szCs w:val="24"/>
          <w:lang w:val="en-US"/>
        </w:rPr>
      </w:pPr>
    </w:p>
    <w:tbl>
      <w:tblPr>
        <w:tblW w:w="9640" w:type="dxa"/>
        <w:tblBorders>
          <w:top w:val="single" w:sz="4" w:space="0" w:color="auto"/>
          <w:bottom w:val="single" w:sz="4" w:space="0" w:color="auto"/>
        </w:tblBorders>
        <w:tblLook w:val="04A0" w:firstRow="1" w:lastRow="0" w:firstColumn="1" w:lastColumn="0" w:noHBand="0" w:noVBand="1"/>
      </w:tblPr>
      <w:tblGrid>
        <w:gridCol w:w="2790"/>
        <w:gridCol w:w="460"/>
        <w:gridCol w:w="1880"/>
        <w:gridCol w:w="460"/>
        <w:gridCol w:w="1300"/>
        <w:gridCol w:w="1160"/>
        <w:gridCol w:w="460"/>
        <w:gridCol w:w="670"/>
        <w:gridCol w:w="460"/>
      </w:tblGrid>
      <w:tr w:rsidR="005E0DAF" w:rsidRPr="00E20572" w14:paraId="7634A7D5" w14:textId="77777777" w:rsidTr="00D26338">
        <w:trPr>
          <w:trHeight w:val="290"/>
        </w:trPr>
        <w:tc>
          <w:tcPr>
            <w:tcW w:w="3250" w:type="dxa"/>
            <w:gridSpan w:val="2"/>
            <w:noWrap/>
            <w:vAlign w:val="bottom"/>
            <w:hideMark/>
          </w:tcPr>
          <w:p w14:paraId="765DDC34" w14:textId="77777777" w:rsidR="005E0DAF" w:rsidRPr="00E20572" w:rsidRDefault="005E0DAF" w:rsidP="00D26338">
            <w:pPr>
              <w:spacing w:after="0" w:line="360" w:lineRule="auto"/>
              <w:rPr>
                <w:rFonts w:asciiTheme="majorBidi" w:eastAsia="Times New Roman" w:hAnsiTheme="majorBidi" w:cstheme="majorBidi"/>
                <w:b/>
                <w:bCs/>
                <w:color w:val="000000"/>
                <w:lang w:val="en-US" w:eastAsia="zh-CN"/>
              </w:rPr>
            </w:pPr>
            <w:r w:rsidRPr="00E20572">
              <w:rPr>
                <w:rFonts w:asciiTheme="majorBidi" w:eastAsia="Times New Roman" w:hAnsiTheme="majorBidi" w:cstheme="majorBidi"/>
                <w:b/>
                <w:bCs/>
                <w:color w:val="000000"/>
                <w:lang w:val="en-US" w:eastAsia="zh-CN"/>
              </w:rPr>
              <w:t>Milestone</w:t>
            </w:r>
          </w:p>
        </w:tc>
        <w:tc>
          <w:tcPr>
            <w:tcW w:w="2340" w:type="dxa"/>
            <w:gridSpan w:val="2"/>
            <w:noWrap/>
            <w:vAlign w:val="bottom"/>
            <w:hideMark/>
          </w:tcPr>
          <w:p w14:paraId="09D5B1A0" w14:textId="77777777" w:rsidR="005E0DAF" w:rsidRPr="00E20572" w:rsidRDefault="005E0DAF" w:rsidP="00D26338">
            <w:pPr>
              <w:spacing w:after="0" w:line="360" w:lineRule="auto"/>
              <w:rPr>
                <w:rFonts w:asciiTheme="majorBidi" w:eastAsia="Times New Roman" w:hAnsiTheme="majorBidi" w:cstheme="majorBidi"/>
                <w:b/>
                <w:bCs/>
                <w:color w:val="000000"/>
                <w:lang w:val="en-US" w:eastAsia="zh-CN"/>
              </w:rPr>
            </w:pPr>
            <w:r w:rsidRPr="00E20572">
              <w:rPr>
                <w:rFonts w:asciiTheme="majorBidi" w:eastAsia="Times New Roman" w:hAnsiTheme="majorBidi" w:cstheme="majorBidi"/>
                <w:b/>
                <w:bCs/>
                <w:color w:val="000000"/>
                <w:lang w:val="en-US" w:eastAsia="zh-CN"/>
              </w:rPr>
              <w:t>Date</w:t>
            </w:r>
          </w:p>
        </w:tc>
        <w:tc>
          <w:tcPr>
            <w:tcW w:w="1300" w:type="dxa"/>
            <w:noWrap/>
            <w:vAlign w:val="bottom"/>
            <w:hideMark/>
          </w:tcPr>
          <w:p w14:paraId="660C0EFB" w14:textId="77777777" w:rsidR="005E0DAF" w:rsidRPr="00E20572" w:rsidRDefault="005E0DAF" w:rsidP="00D26338">
            <w:pPr>
              <w:spacing w:after="0" w:line="360" w:lineRule="auto"/>
              <w:rPr>
                <w:rFonts w:asciiTheme="majorBidi" w:eastAsia="Times New Roman" w:hAnsiTheme="majorBidi" w:cstheme="majorBidi"/>
                <w:b/>
                <w:bCs/>
                <w:color w:val="000000"/>
                <w:lang w:val="en-US" w:eastAsia="zh-CN"/>
              </w:rPr>
            </w:pPr>
            <w:r w:rsidRPr="00E20572">
              <w:rPr>
                <w:rFonts w:asciiTheme="majorBidi" w:eastAsia="Times New Roman" w:hAnsiTheme="majorBidi" w:cstheme="majorBidi"/>
                <w:b/>
                <w:bCs/>
                <w:color w:val="000000"/>
                <w:lang w:val="en-US" w:eastAsia="zh-CN"/>
              </w:rPr>
              <w:t>Deliverable</w:t>
            </w:r>
          </w:p>
        </w:tc>
        <w:tc>
          <w:tcPr>
            <w:tcW w:w="1620" w:type="dxa"/>
            <w:gridSpan w:val="2"/>
            <w:noWrap/>
            <w:vAlign w:val="bottom"/>
            <w:hideMark/>
          </w:tcPr>
          <w:p w14:paraId="77A79470"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p>
        </w:tc>
        <w:tc>
          <w:tcPr>
            <w:tcW w:w="1130" w:type="dxa"/>
            <w:gridSpan w:val="2"/>
            <w:noWrap/>
            <w:vAlign w:val="bottom"/>
            <w:hideMark/>
          </w:tcPr>
          <w:p w14:paraId="72F6840C" w14:textId="77777777" w:rsidR="005E0DAF" w:rsidRPr="00E20572" w:rsidRDefault="005E0DAF" w:rsidP="00D26338">
            <w:pPr>
              <w:spacing w:after="0" w:line="360" w:lineRule="auto"/>
              <w:rPr>
                <w:rFonts w:asciiTheme="majorBidi" w:eastAsia="Times New Roman" w:hAnsiTheme="majorBidi" w:cstheme="majorBidi"/>
                <w:lang w:val="en-US" w:eastAsia="zh-CN"/>
              </w:rPr>
            </w:pPr>
          </w:p>
        </w:tc>
      </w:tr>
      <w:tr w:rsidR="001747CD" w:rsidRPr="00E20572" w14:paraId="3196E2C4" w14:textId="77777777" w:rsidTr="00D26338">
        <w:trPr>
          <w:gridAfter w:val="1"/>
          <w:wAfter w:w="460" w:type="dxa"/>
          <w:trHeight w:val="290"/>
        </w:trPr>
        <w:tc>
          <w:tcPr>
            <w:tcW w:w="2790" w:type="dxa"/>
            <w:noWrap/>
            <w:vAlign w:val="bottom"/>
            <w:hideMark/>
          </w:tcPr>
          <w:p w14:paraId="5D1790BC"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Contract Signing</w:t>
            </w:r>
          </w:p>
        </w:tc>
        <w:tc>
          <w:tcPr>
            <w:tcW w:w="2340" w:type="dxa"/>
            <w:gridSpan w:val="2"/>
            <w:noWrap/>
            <w:vAlign w:val="bottom"/>
            <w:hideMark/>
          </w:tcPr>
          <w:p w14:paraId="6C186DF6" w14:textId="668CD273"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Q</w:t>
            </w:r>
            <w:r w:rsidR="00DA2BED" w:rsidRPr="00E20572">
              <w:rPr>
                <w:rFonts w:asciiTheme="majorBidi" w:eastAsia="Times New Roman" w:hAnsiTheme="majorBidi" w:cstheme="majorBidi"/>
                <w:color w:val="000000"/>
                <w:lang w:val="en-US" w:eastAsia="zh-CN"/>
              </w:rPr>
              <w:t>3</w:t>
            </w:r>
            <w:r w:rsidRPr="00E20572">
              <w:rPr>
                <w:rFonts w:asciiTheme="majorBidi" w:eastAsia="Times New Roman" w:hAnsiTheme="majorBidi" w:cstheme="majorBidi"/>
                <w:color w:val="000000"/>
                <w:lang w:val="en-US" w:eastAsia="zh-CN"/>
              </w:rPr>
              <w:t xml:space="preserve"> 202</w:t>
            </w:r>
            <w:r w:rsidR="006B4349" w:rsidRPr="00E20572">
              <w:rPr>
                <w:rFonts w:asciiTheme="majorBidi" w:eastAsia="Times New Roman" w:hAnsiTheme="majorBidi" w:cstheme="majorBidi"/>
                <w:color w:val="000000"/>
                <w:lang w:val="en-US" w:eastAsia="zh-CN"/>
              </w:rPr>
              <w:t>6</w:t>
            </w:r>
          </w:p>
        </w:tc>
        <w:tc>
          <w:tcPr>
            <w:tcW w:w="2920" w:type="dxa"/>
            <w:gridSpan w:val="3"/>
            <w:noWrap/>
            <w:vAlign w:val="bottom"/>
            <w:hideMark/>
          </w:tcPr>
          <w:p w14:paraId="003F6544"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Inception Report</w:t>
            </w:r>
          </w:p>
        </w:tc>
        <w:tc>
          <w:tcPr>
            <w:tcW w:w="1130" w:type="dxa"/>
            <w:gridSpan w:val="2"/>
            <w:noWrap/>
            <w:vAlign w:val="bottom"/>
            <w:hideMark/>
          </w:tcPr>
          <w:p w14:paraId="1B1C8E96"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p>
        </w:tc>
      </w:tr>
      <w:tr w:rsidR="001747CD" w:rsidRPr="00E20572" w14:paraId="5D3872FE" w14:textId="77777777" w:rsidTr="00D26338">
        <w:trPr>
          <w:gridAfter w:val="1"/>
          <w:wAfter w:w="460" w:type="dxa"/>
          <w:trHeight w:val="290"/>
        </w:trPr>
        <w:tc>
          <w:tcPr>
            <w:tcW w:w="2790" w:type="dxa"/>
            <w:noWrap/>
            <w:vAlign w:val="bottom"/>
            <w:hideMark/>
          </w:tcPr>
          <w:p w14:paraId="04864C01"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 xml:space="preserve">Component 1 </w:t>
            </w:r>
          </w:p>
        </w:tc>
        <w:tc>
          <w:tcPr>
            <w:tcW w:w="2340" w:type="dxa"/>
            <w:gridSpan w:val="2"/>
            <w:noWrap/>
            <w:vAlign w:val="bottom"/>
            <w:hideMark/>
          </w:tcPr>
          <w:p w14:paraId="2F1E6AD3" w14:textId="18CD5F6A" w:rsidR="005E0DAF" w:rsidRPr="00E20572" w:rsidRDefault="005E0DAF" w:rsidP="00DA2BED">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Q</w:t>
            </w:r>
            <w:r w:rsidR="00DA2BED" w:rsidRPr="00E20572">
              <w:rPr>
                <w:rFonts w:asciiTheme="majorBidi" w:eastAsia="Times New Roman" w:hAnsiTheme="majorBidi" w:cstheme="majorBidi"/>
                <w:color w:val="000000"/>
                <w:lang w:val="en-US" w:eastAsia="zh-CN"/>
              </w:rPr>
              <w:t>3</w:t>
            </w:r>
            <w:r w:rsidRPr="00E20572">
              <w:rPr>
                <w:rFonts w:asciiTheme="majorBidi" w:eastAsia="Times New Roman" w:hAnsiTheme="majorBidi" w:cstheme="majorBidi"/>
                <w:color w:val="000000"/>
                <w:lang w:val="en-US" w:eastAsia="zh-CN"/>
              </w:rPr>
              <w:t>-Q</w:t>
            </w:r>
            <w:r w:rsidR="00DA2BED" w:rsidRPr="00E20572">
              <w:rPr>
                <w:rFonts w:asciiTheme="majorBidi" w:eastAsia="Times New Roman" w:hAnsiTheme="majorBidi" w:cstheme="majorBidi"/>
                <w:color w:val="000000"/>
                <w:lang w:val="en-US" w:eastAsia="zh-CN"/>
              </w:rPr>
              <w:t>4</w:t>
            </w:r>
            <w:r w:rsidRPr="00E20572">
              <w:rPr>
                <w:rFonts w:asciiTheme="majorBidi" w:eastAsia="Times New Roman" w:hAnsiTheme="majorBidi" w:cstheme="majorBidi"/>
                <w:color w:val="000000"/>
                <w:lang w:val="en-US" w:eastAsia="zh-CN"/>
              </w:rPr>
              <w:t xml:space="preserve"> 2026</w:t>
            </w:r>
          </w:p>
        </w:tc>
        <w:tc>
          <w:tcPr>
            <w:tcW w:w="2920" w:type="dxa"/>
            <w:gridSpan w:val="3"/>
            <w:noWrap/>
            <w:vAlign w:val="bottom"/>
            <w:hideMark/>
          </w:tcPr>
          <w:p w14:paraId="3CF4FDCA"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Training Session &amp; Report</w:t>
            </w:r>
          </w:p>
        </w:tc>
        <w:tc>
          <w:tcPr>
            <w:tcW w:w="1130" w:type="dxa"/>
            <w:gridSpan w:val="2"/>
            <w:noWrap/>
            <w:vAlign w:val="bottom"/>
            <w:hideMark/>
          </w:tcPr>
          <w:p w14:paraId="1DB8FFC2"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p>
        </w:tc>
      </w:tr>
      <w:tr w:rsidR="001747CD" w:rsidRPr="00E20572" w14:paraId="470D1419" w14:textId="77777777" w:rsidTr="00D26338">
        <w:trPr>
          <w:gridAfter w:val="1"/>
          <w:wAfter w:w="460" w:type="dxa"/>
          <w:trHeight w:val="290"/>
        </w:trPr>
        <w:tc>
          <w:tcPr>
            <w:tcW w:w="2790" w:type="dxa"/>
            <w:noWrap/>
            <w:vAlign w:val="bottom"/>
            <w:hideMark/>
          </w:tcPr>
          <w:p w14:paraId="59A058FB"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Component 2</w:t>
            </w:r>
          </w:p>
        </w:tc>
        <w:tc>
          <w:tcPr>
            <w:tcW w:w="2340" w:type="dxa"/>
            <w:gridSpan w:val="2"/>
            <w:noWrap/>
            <w:vAlign w:val="bottom"/>
            <w:hideMark/>
          </w:tcPr>
          <w:p w14:paraId="778285CC" w14:textId="39EA8D00"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Q</w:t>
            </w:r>
            <w:r w:rsidR="006B4349" w:rsidRPr="00E20572">
              <w:rPr>
                <w:rFonts w:asciiTheme="majorBidi" w:eastAsia="Times New Roman" w:hAnsiTheme="majorBidi" w:cstheme="majorBidi"/>
                <w:color w:val="000000"/>
                <w:lang w:val="en-US" w:eastAsia="zh-CN"/>
              </w:rPr>
              <w:t>4</w:t>
            </w:r>
            <w:r w:rsidRPr="00E20572">
              <w:rPr>
                <w:rFonts w:asciiTheme="majorBidi" w:eastAsia="Times New Roman" w:hAnsiTheme="majorBidi" w:cstheme="majorBidi"/>
                <w:color w:val="000000"/>
                <w:lang w:val="en-US" w:eastAsia="zh-CN"/>
              </w:rPr>
              <w:t>-2026 - Q</w:t>
            </w:r>
            <w:r w:rsidR="006B4349" w:rsidRPr="00E20572">
              <w:rPr>
                <w:rFonts w:asciiTheme="majorBidi" w:eastAsia="Times New Roman" w:hAnsiTheme="majorBidi" w:cstheme="majorBidi"/>
                <w:color w:val="000000"/>
                <w:lang w:val="en-US" w:eastAsia="zh-CN"/>
              </w:rPr>
              <w:t>4</w:t>
            </w:r>
            <w:r w:rsidRPr="00E20572">
              <w:rPr>
                <w:rFonts w:asciiTheme="majorBidi" w:eastAsia="Times New Roman" w:hAnsiTheme="majorBidi" w:cstheme="majorBidi"/>
                <w:color w:val="000000"/>
                <w:lang w:val="en-US" w:eastAsia="zh-CN"/>
              </w:rPr>
              <w:t xml:space="preserve"> 2027</w:t>
            </w:r>
          </w:p>
        </w:tc>
        <w:tc>
          <w:tcPr>
            <w:tcW w:w="2920" w:type="dxa"/>
            <w:gridSpan w:val="3"/>
            <w:noWrap/>
            <w:vAlign w:val="bottom"/>
            <w:hideMark/>
          </w:tcPr>
          <w:p w14:paraId="6553E389"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Product Support &amp; Report</w:t>
            </w:r>
          </w:p>
        </w:tc>
        <w:tc>
          <w:tcPr>
            <w:tcW w:w="1130" w:type="dxa"/>
            <w:gridSpan w:val="2"/>
            <w:noWrap/>
            <w:vAlign w:val="bottom"/>
            <w:hideMark/>
          </w:tcPr>
          <w:p w14:paraId="5E4CE57F"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p>
        </w:tc>
      </w:tr>
      <w:tr w:rsidR="001747CD" w:rsidRPr="00E20572" w14:paraId="5C500A32" w14:textId="77777777" w:rsidTr="00D26338">
        <w:trPr>
          <w:gridAfter w:val="1"/>
          <w:wAfter w:w="460" w:type="dxa"/>
          <w:trHeight w:val="290"/>
        </w:trPr>
        <w:tc>
          <w:tcPr>
            <w:tcW w:w="2790" w:type="dxa"/>
            <w:noWrap/>
            <w:vAlign w:val="bottom"/>
            <w:hideMark/>
          </w:tcPr>
          <w:p w14:paraId="5BC8F08D"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Component 3</w:t>
            </w:r>
          </w:p>
        </w:tc>
        <w:tc>
          <w:tcPr>
            <w:tcW w:w="2340" w:type="dxa"/>
            <w:gridSpan w:val="2"/>
            <w:noWrap/>
            <w:vAlign w:val="bottom"/>
            <w:hideMark/>
          </w:tcPr>
          <w:p w14:paraId="46C13986" w14:textId="19D220A1"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Q</w:t>
            </w:r>
            <w:r w:rsidR="00DA2BED" w:rsidRPr="00E20572">
              <w:rPr>
                <w:rFonts w:asciiTheme="majorBidi" w:eastAsia="Times New Roman" w:hAnsiTheme="majorBidi" w:cstheme="majorBidi"/>
                <w:color w:val="000000"/>
                <w:lang w:val="en-US" w:eastAsia="zh-CN"/>
              </w:rPr>
              <w:t>1</w:t>
            </w:r>
            <w:r w:rsidRPr="00E20572">
              <w:rPr>
                <w:rFonts w:asciiTheme="majorBidi" w:eastAsia="Times New Roman" w:hAnsiTheme="majorBidi" w:cstheme="majorBidi"/>
                <w:color w:val="000000"/>
                <w:lang w:val="en-US" w:eastAsia="zh-CN"/>
              </w:rPr>
              <w:t xml:space="preserve"> 2027 - Q4 2027</w:t>
            </w:r>
          </w:p>
        </w:tc>
        <w:tc>
          <w:tcPr>
            <w:tcW w:w="2920" w:type="dxa"/>
            <w:gridSpan w:val="3"/>
            <w:noWrap/>
            <w:vAlign w:val="bottom"/>
            <w:hideMark/>
          </w:tcPr>
          <w:p w14:paraId="7DC89D85"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 xml:space="preserve">Training Certification &amp; </w:t>
            </w:r>
            <w:r w:rsidR="00211E18" w:rsidRPr="00E20572">
              <w:rPr>
                <w:rFonts w:asciiTheme="majorBidi" w:eastAsia="Times New Roman" w:hAnsiTheme="majorBidi" w:cstheme="majorBidi"/>
                <w:color w:val="000000"/>
                <w:lang w:val="en-US" w:eastAsia="zh-CN"/>
              </w:rPr>
              <w:t>R</w:t>
            </w:r>
            <w:r w:rsidRPr="00E20572">
              <w:rPr>
                <w:rFonts w:asciiTheme="majorBidi" w:eastAsia="Times New Roman" w:hAnsiTheme="majorBidi" w:cstheme="majorBidi"/>
                <w:color w:val="000000"/>
                <w:lang w:val="en-US" w:eastAsia="zh-CN"/>
              </w:rPr>
              <w:t>eport</w:t>
            </w:r>
          </w:p>
        </w:tc>
        <w:tc>
          <w:tcPr>
            <w:tcW w:w="1130" w:type="dxa"/>
            <w:gridSpan w:val="2"/>
            <w:noWrap/>
            <w:vAlign w:val="bottom"/>
            <w:hideMark/>
          </w:tcPr>
          <w:p w14:paraId="14500156"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p>
        </w:tc>
      </w:tr>
      <w:tr w:rsidR="001747CD" w:rsidRPr="00E20572" w14:paraId="0025B29F" w14:textId="77777777" w:rsidTr="00D26338">
        <w:trPr>
          <w:gridAfter w:val="1"/>
          <w:wAfter w:w="460" w:type="dxa"/>
          <w:trHeight w:val="290"/>
        </w:trPr>
        <w:tc>
          <w:tcPr>
            <w:tcW w:w="2790" w:type="dxa"/>
            <w:noWrap/>
            <w:vAlign w:val="bottom"/>
            <w:hideMark/>
          </w:tcPr>
          <w:p w14:paraId="05A404B9"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Final Reporting &amp; Closure</w:t>
            </w:r>
          </w:p>
        </w:tc>
        <w:tc>
          <w:tcPr>
            <w:tcW w:w="2340" w:type="dxa"/>
            <w:gridSpan w:val="2"/>
            <w:noWrap/>
            <w:vAlign w:val="bottom"/>
            <w:hideMark/>
          </w:tcPr>
          <w:p w14:paraId="0055D78C"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Q12028</w:t>
            </w:r>
          </w:p>
        </w:tc>
        <w:tc>
          <w:tcPr>
            <w:tcW w:w="4050" w:type="dxa"/>
            <w:gridSpan w:val="5"/>
            <w:noWrap/>
            <w:vAlign w:val="bottom"/>
            <w:hideMark/>
          </w:tcPr>
          <w:p w14:paraId="783ABB05" w14:textId="77777777" w:rsidR="005E0DAF" w:rsidRPr="00E20572" w:rsidRDefault="005E0DAF" w:rsidP="00D26338">
            <w:pPr>
              <w:spacing w:after="0" w:line="360" w:lineRule="auto"/>
              <w:rPr>
                <w:rFonts w:asciiTheme="majorBidi" w:eastAsia="Times New Roman" w:hAnsiTheme="majorBidi" w:cstheme="majorBidi"/>
                <w:color w:val="000000"/>
                <w:lang w:val="en-US" w:eastAsia="zh-CN"/>
              </w:rPr>
            </w:pPr>
            <w:r w:rsidRPr="00E20572">
              <w:rPr>
                <w:rFonts w:asciiTheme="majorBidi" w:eastAsia="Times New Roman" w:hAnsiTheme="majorBidi" w:cstheme="majorBidi"/>
                <w:color w:val="000000"/>
                <w:lang w:val="en-US" w:eastAsia="zh-CN"/>
              </w:rPr>
              <w:t xml:space="preserve">Final Report &amp; Certificates of Completion </w:t>
            </w:r>
          </w:p>
        </w:tc>
      </w:tr>
    </w:tbl>
    <w:p w14:paraId="41422CBE" w14:textId="77777777" w:rsidR="003F035B" w:rsidRPr="00E20572" w:rsidRDefault="005E0DAF" w:rsidP="005E0DAF">
      <w:pPr>
        <w:spacing w:before="120" w:after="0" w:line="240" w:lineRule="auto"/>
        <w:rPr>
          <w:rFonts w:asciiTheme="majorBidi" w:eastAsia="Times New Roman" w:hAnsiTheme="majorBidi" w:cstheme="majorBidi"/>
          <w:strike/>
          <w:spacing w:val="-3"/>
          <w:sz w:val="24"/>
          <w:szCs w:val="24"/>
          <w:lang w:val="en-US"/>
        </w:rPr>
      </w:pPr>
      <w:r w:rsidRPr="00E20572">
        <w:rPr>
          <w:rFonts w:asciiTheme="majorBidi" w:eastAsia="Times New Roman" w:hAnsiTheme="majorBidi" w:cstheme="majorBidi"/>
          <w:b/>
          <w:bCs/>
          <w:strike/>
          <w:spacing w:val="-3"/>
          <w:sz w:val="24"/>
          <w:szCs w:val="24"/>
          <w:lang w:val="en-US"/>
        </w:rPr>
        <w:t>Note:</w:t>
      </w:r>
      <w:r w:rsidRPr="00E20572">
        <w:rPr>
          <w:rFonts w:asciiTheme="majorBidi" w:eastAsia="Times New Roman" w:hAnsiTheme="majorBidi" w:cstheme="majorBidi"/>
          <w:strike/>
          <w:spacing w:val="-3"/>
          <w:sz w:val="24"/>
          <w:szCs w:val="24"/>
          <w:lang w:val="en-US"/>
        </w:rPr>
        <w:t xml:space="preserve"> Timeline adjustable with PMU approval, not exceeding Last Disbursement Date (07.09.2029).</w:t>
      </w:r>
    </w:p>
    <w:p w14:paraId="22BB4A98" w14:textId="77777777" w:rsidR="005E0DAF" w:rsidRPr="00E20572" w:rsidRDefault="005E0DAF" w:rsidP="005E0DAF">
      <w:pPr>
        <w:spacing w:before="120" w:after="0" w:line="240" w:lineRule="auto"/>
        <w:rPr>
          <w:rFonts w:asciiTheme="majorBidi" w:eastAsia="Times New Roman" w:hAnsiTheme="majorBidi" w:cstheme="majorBidi"/>
          <w:spacing w:val="-3"/>
          <w:sz w:val="24"/>
          <w:szCs w:val="24"/>
          <w:lang w:val="en-US"/>
        </w:rPr>
      </w:pPr>
    </w:p>
    <w:p w14:paraId="06297BB8" w14:textId="29DFFB5A" w:rsidR="001747CD" w:rsidRPr="00E20572" w:rsidRDefault="001747CD" w:rsidP="001747CD">
      <w:pPr>
        <w:spacing w:before="120" w:after="0" w:line="240" w:lineRule="auto"/>
        <w:rPr>
          <w:rFonts w:asciiTheme="majorBidi" w:eastAsia="Times New Roman" w:hAnsiTheme="majorBidi" w:cstheme="majorBidi"/>
          <w:b/>
          <w:bCs/>
          <w:spacing w:val="-3"/>
          <w:sz w:val="24"/>
          <w:szCs w:val="24"/>
          <w:lang w:val="en-US"/>
        </w:rPr>
      </w:pPr>
      <w:r w:rsidRPr="00E20572">
        <w:rPr>
          <w:rFonts w:asciiTheme="majorBidi" w:eastAsia="Times New Roman" w:hAnsiTheme="majorBidi" w:cstheme="majorBidi"/>
          <w:b/>
          <w:bCs/>
          <w:spacing w:val="-3"/>
          <w:sz w:val="24"/>
          <w:szCs w:val="24"/>
          <w:lang w:val="en-US"/>
        </w:rPr>
        <w:t>10. Payment Terms</w:t>
      </w:r>
      <w:r w:rsidR="003A512F" w:rsidRPr="00E20572">
        <w:rPr>
          <w:rFonts w:asciiTheme="majorBidi" w:eastAsia="Times New Roman" w:hAnsiTheme="majorBidi" w:cstheme="majorBidi"/>
          <w:b/>
          <w:bCs/>
          <w:spacing w:val="-3"/>
          <w:sz w:val="24"/>
          <w:szCs w:val="24"/>
          <w:lang w:val="en-US"/>
        </w:rPr>
        <w:t xml:space="preserve"> (Tentative subject to procurement approval)</w:t>
      </w:r>
    </w:p>
    <w:p w14:paraId="2E6AFD5E" w14:textId="77777777" w:rsidR="001747CD" w:rsidRPr="00E20572" w:rsidRDefault="001747CD" w:rsidP="001747CD">
      <w:pPr>
        <w:spacing w:before="120" w:after="0" w:line="240" w:lineRule="auto"/>
        <w:rPr>
          <w:rFonts w:asciiTheme="majorBidi" w:eastAsia="Times New Roman" w:hAnsiTheme="majorBidi" w:cstheme="majorBidi"/>
          <w:i/>
          <w:iCs/>
          <w:spacing w:val="-3"/>
          <w:sz w:val="24"/>
          <w:szCs w:val="24"/>
          <w:lang w:val="en-US"/>
        </w:rPr>
      </w:pPr>
      <w:r w:rsidRPr="00E20572">
        <w:rPr>
          <w:rFonts w:asciiTheme="majorBidi" w:eastAsia="Times New Roman" w:hAnsiTheme="majorBidi" w:cstheme="majorBidi"/>
          <w:i/>
          <w:iCs/>
          <w:spacing w:val="-3"/>
          <w:sz w:val="24"/>
          <w:szCs w:val="24"/>
          <w:lang w:val="en-US"/>
        </w:rPr>
        <w:t>Breakdown:</w:t>
      </w:r>
    </w:p>
    <w:p w14:paraId="5986CF06" w14:textId="03755FA7" w:rsidR="001747CD" w:rsidRPr="00E20572" w:rsidRDefault="001747CD" w:rsidP="00D26338">
      <w:pPr>
        <w:pStyle w:val="ListParagraph"/>
        <w:numPr>
          <w:ilvl w:val="0"/>
          <w:numId w:val="32"/>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 xml:space="preserve">Curriculum Development: </w:t>
      </w:r>
      <w:r w:rsidR="00005F89" w:rsidRPr="00E20572">
        <w:rPr>
          <w:rFonts w:asciiTheme="majorBidi" w:eastAsia="Times New Roman" w:hAnsiTheme="majorBidi" w:cstheme="majorBidi"/>
          <w:spacing w:val="-3"/>
          <w:sz w:val="24"/>
          <w:szCs w:val="24"/>
          <w:lang w:val="en-US"/>
        </w:rPr>
        <w:t>1</w:t>
      </w:r>
      <w:r w:rsidRPr="00E20572">
        <w:rPr>
          <w:rFonts w:asciiTheme="majorBidi" w:eastAsia="Times New Roman" w:hAnsiTheme="majorBidi" w:cstheme="majorBidi"/>
          <w:spacing w:val="-3"/>
          <w:sz w:val="24"/>
          <w:szCs w:val="24"/>
          <w:lang w:val="en-US"/>
        </w:rPr>
        <w:t>0%</w:t>
      </w:r>
    </w:p>
    <w:p w14:paraId="23C0F049" w14:textId="48E33760" w:rsidR="001747CD" w:rsidRPr="00E20572" w:rsidRDefault="001747CD" w:rsidP="00D26338">
      <w:pPr>
        <w:pStyle w:val="ListParagraph"/>
        <w:numPr>
          <w:ilvl w:val="0"/>
          <w:numId w:val="32"/>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 xml:space="preserve">Training Delivery: </w:t>
      </w:r>
      <w:r w:rsidR="00005F89" w:rsidRPr="00E20572">
        <w:rPr>
          <w:rFonts w:asciiTheme="majorBidi" w:eastAsia="Times New Roman" w:hAnsiTheme="majorBidi" w:cstheme="majorBidi"/>
          <w:spacing w:val="-3"/>
          <w:sz w:val="24"/>
          <w:szCs w:val="24"/>
          <w:lang w:val="en-US"/>
        </w:rPr>
        <w:t>4</w:t>
      </w:r>
      <w:r w:rsidRPr="00E20572">
        <w:rPr>
          <w:rFonts w:asciiTheme="majorBidi" w:eastAsia="Times New Roman" w:hAnsiTheme="majorBidi" w:cstheme="majorBidi"/>
          <w:spacing w:val="-3"/>
          <w:sz w:val="24"/>
          <w:szCs w:val="24"/>
          <w:lang w:val="en-US"/>
        </w:rPr>
        <w:t>0%</w:t>
      </w:r>
    </w:p>
    <w:p w14:paraId="3BCEED3F" w14:textId="77777777" w:rsidR="001747CD" w:rsidRPr="00E20572" w:rsidRDefault="001747CD" w:rsidP="00D26338">
      <w:pPr>
        <w:pStyle w:val="ListParagraph"/>
        <w:numPr>
          <w:ilvl w:val="0"/>
          <w:numId w:val="32"/>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Consulting &amp; Materials: 20%</w:t>
      </w:r>
    </w:p>
    <w:p w14:paraId="0C7063BB" w14:textId="4FD03012" w:rsidR="001747CD" w:rsidRPr="00E20572" w:rsidRDefault="001747CD" w:rsidP="00D26338">
      <w:pPr>
        <w:pStyle w:val="ListParagraph"/>
        <w:numPr>
          <w:ilvl w:val="0"/>
          <w:numId w:val="32"/>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 xml:space="preserve">Travel/Contingencies: </w:t>
      </w:r>
      <w:r w:rsidR="00005F89" w:rsidRPr="00E20572">
        <w:rPr>
          <w:rFonts w:asciiTheme="majorBidi" w:eastAsia="Times New Roman" w:hAnsiTheme="majorBidi" w:cstheme="majorBidi"/>
          <w:spacing w:val="-3"/>
          <w:sz w:val="24"/>
          <w:szCs w:val="24"/>
          <w:lang w:val="en-US"/>
        </w:rPr>
        <w:t>3</w:t>
      </w:r>
      <w:r w:rsidRPr="00E20572">
        <w:rPr>
          <w:rFonts w:asciiTheme="majorBidi" w:eastAsia="Times New Roman" w:hAnsiTheme="majorBidi" w:cstheme="majorBidi"/>
          <w:spacing w:val="-3"/>
          <w:sz w:val="24"/>
          <w:szCs w:val="24"/>
          <w:lang w:val="en-US"/>
        </w:rPr>
        <w:t>0%</w:t>
      </w:r>
    </w:p>
    <w:p w14:paraId="4EAEA83E" w14:textId="77777777" w:rsidR="001747CD" w:rsidRPr="00E20572" w:rsidRDefault="001747CD" w:rsidP="001747CD">
      <w:pPr>
        <w:spacing w:before="120" w:after="0" w:line="240" w:lineRule="auto"/>
        <w:rPr>
          <w:rFonts w:asciiTheme="majorBidi" w:eastAsia="Times New Roman" w:hAnsiTheme="majorBidi" w:cstheme="majorBidi"/>
          <w:i/>
          <w:iCs/>
          <w:spacing w:val="-3"/>
          <w:sz w:val="24"/>
          <w:szCs w:val="24"/>
          <w:lang w:val="en-US"/>
        </w:rPr>
      </w:pPr>
      <w:r w:rsidRPr="00E20572">
        <w:rPr>
          <w:rFonts w:asciiTheme="majorBidi" w:eastAsia="Times New Roman" w:hAnsiTheme="majorBidi" w:cstheme="majorBidi"/>
          <w:i/>
          <w:iCs/>
          <w:spacing w:val="-3"/>
          <w:sz w:val="24"/>
          <w:szCs w:val="24"/>
          <w:lang w:val="en-US"/>
        </w:rPr>
        <w:t>Payment milestone-based:</w:t>
      </w:r>
    </w:p>
    <w:p w14:paraId="1D792BEA" w14:textId="00D10659" w:rsidR="001747CD" w:rsidRPr="00E20572" w:rsidRDefault="00005F89" w:rsidP="00D26338">
      <w:pPr>
        <w:pStyle w:val="ListParagraph"/>
        <w:numPr>
          <w:ilvl w:val="0"/>
          <w:numId w:val="33"/>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1</w:t>
      </w:r>
      <w:r w:rsidR="001747CD" w:rsidRPr="00E20572">
        <w:rPr>
          <w:rFonts w:asciiTheme="majorBidi" w:eastAsia="Times New Roman" w:hAnsiTheme="majorBidi" w:cstheme="majorBidi"/>
          <w:spacing w:val="-3"/>
          <w:sz w:val="24"/>
          <w:szCs w:val="24"/>
          <w:lang w:val="en-US"/>
        </w:rPr>
        <w:t>0% on inception.</w:t>
      </w:r>
    </w:p>
    <w:p w14:paraId="4C967E3C" w14:textId="77777777" w:rsidR="001747CD" w:rsidRPr="00E20572" w:rsidRDefault="001747CD" w:rsidP="00D26338">
      <w:pPr>
        <w:pStyle w:val="ListParagraph"/>
        <w:numPr>
          <w:ilvl w:val="0"/>
          <w:numId w:val="33"/>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30% post-Component 1.</w:t>
      </w:r>
    </w:p>
    <w:p w14:paraId="44758F8D" w14:textId="77777777" w:rsidR="001747CD" w:rsidRPr="00E20572" w:rsidRDefault="001747CD" w:rsidP="00D26338">
      <w:pPr>
        <w:pStyle w:val="ListParagraph"/>
        <w:numPr>
          <w:ilvl w:val="0"/>
          <w:numId w:val="33"/>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30% post-Component 2.</w:t>
      </w:r>
    </w:p>
    <w:p w14:paraId="6D10E033" w14:textId="6DED35B5" w:rsidR="001747CD" w:rsidRPr="00E20572" w:rsidRDefault="00005F89" w:rsidP="00D26338">
      <w:pPr>
        <w:pStyle w:val="ListParagraph"/>
        <w:numPr>
          <w:ilvl w:val="0"/>
          <w:numId w:val="33"/>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3</w:t>
      </w:r>
      <w:r w:rsidR="001747CD" w:rsidRPr="00E20572">
        <w:rPr>
          <w:rFonts w:asciiTheme="majorBidi" w:eastAsia="Times New Roman" w:hAnsiTheme="majorBidi" w:cstheme="majorBidi"/>
          <w:spacing w:val="-3"/>
          <w:sz w:val="24"/>
          <w:szCs w:val="24"/>
          <w:lang w:val="en-US"/>
        </w:rPr>
        <w:t>0% on final acceptance.</w:t>
      </w:r>
    </w:p>
    <w:p w14:paraId="3B75E569" w14:textId="77777777" w:rsidR="005E0DAF" w:rsidRPr="00E20572" w:rsidRDefault="001747CD" w:rsidP="001747CD">
      <w:p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Invoices supported by Certificates of Completion.</w:t>
      </w:r>
    </w:p>
    <w:p w14:paraId="34EEC1BD" w14:textId="77777777" w:rsidR="001747CD" w:rsidRPr="00E20572" w:rsidRDefault="001747CD" w:rsidP="001747CD">
      <w:pPr>
        <w:spacing w:before="120" w:after="0" w:line="240" w:lineRule="auto"/>
        <w:rPr>
          <w:rFonts w:asciiTheme="majorBidi" w:eastAsia="Times New Roman" w:hAnsiTheme="majorBidi" w:cstheme="majorBidi"/>
          <w:spacing w:val="-3"/>
          <w:sz w:val="24"/>
          <w:szCs w:val="24"/>
          <w:lang w:val="en-US"/>
        </w:rPr>
      </w:pPr>
    </w:p>
    <w:p w14:paraId="468B4C45" w14:textId="77777777" w:rsidR="001747CD" w:rsidRPr="00E20572" w:rsidRDefault="001747CD" w:rsidP="001747CD">
      <w:pPr>
        <w:spacing w:before="120" w:after="0" w:line="240" w:lineRule="auto"/>
        <w:rPr>
          <w:rFonts w:asciiTheme="majorBidi" w:eastAsia="Times New Roman" w:hAnsiTheme="majorBidi" w:cstheme="majorBidi"/>
          <w:b/>
          <w:bCs/>
          <w:spacing w:val="-3"/>
          <w:sz w:val="24"/>
          <w:szCs w:val="24"/>
          <w:lang w:val="en-US"/>
        </w:rPr>
      </w:pPr>
      <w:r w:rsidRPr="00E20572">
        <w:rPr>
          <w:rFonts w:asciiTheme="majorBidi" w:eastAsia="Times New Roman" w:hAnsiTheme="majorBidi" w:cstheme="majorBidi"/>
          <w:b/>
          <w:bCs/>
          <w:spacing w:val="-3"/>
          <w:sz w:val="24"/>
          <w:szCs w:val="24"/>
          <w:lang w:val="en-US"/>
        </w:rPr>
        <w:t>11. Client Support and Facilities</w:t>
      </w:r>
    </w:p>
    <w:p w14:paraId="68F9E062" w14:textId="77777777" w:rsidR="001747CD" w:rsidRPr="00E20572" w:rsidRDefault="001747CD" w:rsidP="001747CD">
      <w:p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The Client (PMU) will provide:</w:t>
      </w:r>
    </w:p>
    <w:p w14:paraId="55221054" w14:textId="77777777" w:rsidR="001747CD" w:rsidRPr="00E20572" w:rsidRDefault="001747CD" w:rsidP="00D26338">
      <w:pPr>
        <w:pStyle w:val="ListParagraph"/>
        <w:numPr>
          <w:ilvl w:val="0"/>
          <w:numId w:val="31"/>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Venue in Bishkek for offline sessions.</w:t>
      </w:r>
    </w:p>
    <w:p w14:paraId="16D9429B" w14:textId="77777777" w:rsidR="001747CD" w:rsidRPr="00E20572" w:rsidRDefault="001747CD" w:rsidP="00D26338">
      <w:pPr>
        <w:pStyle w:val="ListParagraph"/>
        <w:numPr>
          <w:ilvl w:val="0"/>
          <w:numId w:val="31"/>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Participant lists and translations.</w:t>
      </w:r>
    </w:p>
    <w:p w14:paraId="27DCF0DA" w14:textId="77777777" w:rsidR="001747CD" w:rsidRPr="00E20572" w:rsidRDefault="001747CD" w:rsidP="00D26338">
      <w:pPr>
        <w:pStyle w:val="ListParagraph"/>
        <w:numPr>
          <w:ilvl w:val="0"/>
          <w:numId w:val="31"/>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Local transport/logistics for site visits.</w:t>
      </w:r>
    </w:p>
    <w:p w14:paraId="6210AC0B" w14:textId="77777777" w:rsidR="001747CD" w:rsidRPr="00E20572" w:rsidRDefault="001747CD" w:rsidP="00D26338">
      <w:pPr>
        <w:pStyle w:val="ListParagraph"/>
        <w:numPr>
          <w:ilvl w:val="0"/>
          <w:numId w:val="31"/>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Access to relevant data (e.g., regulatory docs).</w:t>
      </w:r>
    </w:p>
    <w:p w14:paraId="34A4FB76" w14:textId="77777777" w:rsidR="001747CD" w:rsidRPr="00E20572" w:rsidRDefault="001747CD" w:rsidP="001747CD">
      <w:pPr>
        <w:spacing w:before="120" w:after="0" w:line="240" w:lineRule="auto"/>
        <w:rPr>
          <w:rFonts w:asciiTheme="majorBidi" w:eastAsia="Times New Roman" w:hAnsiTheme="majorBidi" w:cstheme="majorBidi"/>
          <w:spacing w:val="-3"/>
          <w:sz w:val="24"/>
          <w:szCs w:val="24"/>
          <w:lang w:val="en-US"/>
        </w:rPr>
      </w:pPr>
    </w:p>
    <w:p w14:paraId="4EE17F58" w14:textId="77777777" w:rsidR="001747CD" w:rsidRPr="00E20572" w:rsidRDefault="001747CD" w:rsidP="001747CD">
      <w:pPr>
        <w:spacing w:before="120" w:after="0" w:line="240" w:lineRule="auto"/>
        <w:rPr>
          <w:rFonts w:asciiTheme="majorBidi" w:eastAsia="Times New Roman" w:hAnsiTheme="majorBidi" w:cstheme="majorBidi"/>
          <w:b/>
          <w:bCs/>
          <w:spacing w:val="-3"/>
          <w:sz w:val="24"/>
          <w:szCs w:val="24"/>
          <w:lang w:val="en-US"/>
        </w:rPr>
      </w:pPr>
    </w:p>
    <w:p w14:paraId="3BDF3906" w14:textId="252BD610" w:rsidR="001747CD" w:rsidRPr="00E20572" w:rsidRDefault="00E0682B" w:rsidP="001747CD">
      <w:pPr>
        <w:spacing w:before="120" w:after="0" w:line="240" w:lineRule="auto"/>
        <w:rPr>
          <w:rFonts w:asciiTheme="majorBidi" w:eastAsia="Times New Roman" w:hAnsiTheme="majorBidi" w:cstheme="majorBidi"/>
          <w:b/>
          <w:bCs/>
          <w:spacing w:val="-3"/>
          <w:sz w:val="24"/>
          <w:szCs w:val="24"/>
          <w:lang w:val="en-US"/>
        </w:rPr>
      </w:pPr>
      <w:r w:rsidRPr="00E20572">
        <w:rPr>
          <w:rFonts w:asciiTheme="majorBidi" w:eastAsia="Times New Roman" w:hAnsiTheme="majorBidi" w:cstheme="majorBidi"/>
          <w:b/>
          <w:bCs/>
          <w:spacing w:val="-3"/>
          <w:sz w:val="24"/>
          <w:szCs w:val="24"/>
          <w:lang w:val="en-US"/>
        </w:rPr>
        <w:t>12</w:t>
      </w:r>
      <w:r w:rsidR="001747CD" w:rsidRPr="00E20572">
        <w:rPr>
          <w:rFonts w:asciiTheme="majorBidi" w:eastAsia="Times New Roman" w:hAnsiTheme="majorBidi" w:cstheme="majorBidi"/>
          <w:b/>
          <w:bCs/>
          <w:spacing w:val="-3"/>
          <w:sz w:val="24"/>
          <w:szCs w:val="24"/>
          <w:lang w:val="en-US"/>
        </w:rPr>
        <w:t>. Consultant Selection</w:t>
      </w:r>
    </w:p>
    <w:p w14:paraId="7D9B5DCA" w14:textId="63DE219D" w:rsidR="001747CD" w:rsidRPr="00E20572" w:rsidRDefault="009A14C3" w:rsidP="001747CD">
      <w:p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Consultant Qualification Selection</w:t>
      </w:r>
      <w:r w:rsidRPr="00E20572" w:rsidDel="009A14C3">
        <w:rPr>
          <w:rFonts w:asciiTheme="majorBidi" w:eastAsia="Times New Roman" w:hAnsiTheme="majorBidi" w:cstheme="majorBidi"/>
          <w:spacing w:val="-3"/>
          <w:sz w:val="24"/>
          <w:szCs w:val="24"/>
          <w:lang w:val="en-US"/>
        </w:rPr>
        <w:t xml:space="preserve"> </w:t>
      </w:r>
      <w:r w:rsidR="001747CD" w:rsidRPr="00E20572">
        <w:rPr>
          <w:rFonts w:asciiTheme="majorBidi" w:eastAsia="Times New Roman" w:hAnsiTheme="majorBidi" w:cstheme="majorBidi"/>
          <w:spacing w:val="-3"/>
          <w:sz w:val="24"/>
          <w:szCs w:val="24"/>
          <w:lang w:val="en-US"/>
        </w:rPr>
        <w:t>(</w:t>
      </w:r>
      <w:r w:rsidR="00E0682B" w:rsidRPr="00E20572">
        <w:rPr>
          <w:rFonts w:asciiTheme="majorBidi" w:eastAsia="Times New Roman" w:hAnsiTheme="majorBidi" w:cstheme="majorBidi"/>
          <w:spacing w:val="-3"/>
          <w:sz w:val="24"/>
          <w:szCs w:val="24"/>
          <w:lang w:val="en-US"/>
        </w:rPr>
        <w:t>CQS</w:t>
      </w:r>
      <w:r w:rsidR="001747CD" w:rsidRPr="00E20572">
        <w:rPr>
          <w:rFonts w:asciiTheme="majorBidi" w:eastAsia="Times New Roman" w:hAnsiTheme="majorBidi" w:cstheme="majorBidi"/>
          <w:spacing w:val="-3"/>
          <w:sz w:val="24"/>
          <w:szCs w:val="24"/>
          <w:lang w:val="en-US"/>
        </w:rPr>
        <w:t>; 80% technical/20% financial). Evaluation criteria:</w:t>
      </w:r>
    </w:p>
    <w:p w14:paraId="4C69FA94" w14:textId="77777777" w:rsidR="001747CD" w:rsidRPr="00E20572" w:rsidRDefault="001747CD" w:rsidP="00D26338">
      <w:pPr>
        <w:pStyle w:val="ListParagraph"/>
        <w:numPr>
          <w:ilvl w:val="0"/>
          <w:numId w:val="34"/>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Technical Approach (30%)</w:t>
      </w:r>
    </w:p>
    <w:p w14:paraId="18BEE4B2" w14:textId="77777777" w:rsidR="001747CD" w:rsidRPr="00E20572" w:rsidRDefault="001747CD" w:rsidP="00D26338">
      <w:pPr>
        <w:pStyle w:val="ListParagraph"/>
        <w:numPr>
          <w:ilvl w:val="0"/>
          <w:numId w:val="34"/>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Methodology &amp; Innovation (25%)</w:t>
      </w:r>
    </w:p>
    <w:p w14:paraId="6E584DD6" w14:textId="77777777" w:rsidR="001747CD" w:rsidRPr="00E20572" w:rsidRDefault="001747CD" w:rsidP="00D26338">
      <w:pPr>
        <w:pStyle w:val="ListParagraph"/>
        <w:numPr>
          <w:ilvl w:val="0"/>
          <w:numId w:val="34"/>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Team Qualifications (25%)</w:t>
      </w:r>
    </w:p>
    <w:p w14:paraId="4CAF0E64" w14:textId="77777777" w:rsidR="001747CD" w:rsidRPr="00E20572" w:rsidRDefault="001747CD" w:rsidP="00D26338">
      <w:pPr>
        <w:pStyle w:val="ListParagraph"/>
        <w:numPr>
          <w:ilvl w:val="0"/>
          <w:numId w:val="34"/>
        </w:num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Experience (20%)</w:t>
      </w:r>
    </w:p>
    <w:p w14:paraId="72C7F1B6" w14:textId="77777777" w:rsidR="00197F47" w:rsidRPr="00E20572" w:rsidRDefault="001747CD">
      <w:p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 xml:space="preserve">Proposals due </w:t>
      </w:r>
    </w:p>
    <w:p w14:paraId="7B90B5B8" w14:textId="77777777" w:rsidR="001747CD" w:rsidRPr="00D26338" w:rsidRDefault="00197F47" w:rsidP="00D26338">
      <w:pPr>
        <w:spacing w:before="120" w:after="0" w:line="240" w:lineRule="auto"/>
        <w:rPr>
          <w:rFonts w:asciiTheme="majorBidi" w:eastAsia="Times New Roman" w:hAnsiTheme="majorBidi" w:cstheme="majorBidi"/>
          <w:spacing w:val="-3"/>
          <w:sz w:val="24"/>
          <w:szCs w:val="24"/>
          <w:lang w:val="en-US"/>
        </w:rPr>
      </w:pPr>
      <w:r w:rsidRPr="00E20572">
        <w:rPr>
          <w:rFonts w:asciiTheme="majorBidi" w:eastAsia="Times New Roman" w:hAnsiTheme="majorBidi" w:cstheme="majorBidi"/>
          <w:spacing w:val="-3"/>
          <w:sz w:val="24"/>
          <w:szCs w:val="24"/>
          <w:lang w:val="en-US"/>
        </w:rPr>
        <w:t>S</w:t>
      </w:r>
      <w:r w:rsidR="001747CD" w:rsidRPr="00E20572">
        <w:rPr>
          <w:rFonts w:asciiTheme="majorBidi" w:eastAsia="Times New Roman" w:hAnsiTheme="majorBidi" w:cstheme="majorBidi"/>
          <w:spacing w:val="-3"/>
          <w:sz w:val="24"/>
          <w:szCs w:val="24"/>
          <w:lang w:val="en-US"/>
        </w:rPr>
        <w:t>hortlisting based on EOI.</w:t>
      </w:r>
    </w:p>
    <w:sectPr w:rsidR="001747CD" w:rsidRPr="00D2633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DF9C" w14:textId="77777777" w:rsidR="00C5295E" w:rsidRDefault="00C5295E" w:rsidP="00BA2B47">
      <w:pPr>
        <w:spacing w:after="0" w:line="240" w:lineRule="auto"/>
      </w:pPr>
      <w:r>
        <w:separator/>
      </w:r>
    </w:p>
  </w:endnote>
  <w:endnote w:type="continuationSeparator" w:id="0">
    <w:p w14:paraId="7D460A38" w14:textId="77777777" w:rsidR="00C5295E" w:rsidRDefault="00C5295E" w:rsidP="00BA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03089"/>
      <w:docPartObj>
        <w:docPartGallery w:val="Page Numbers (Bottom of Page)"/>
        <w:docPartUnique/>
      </w:docPartObj>
    </w:sdtPr>
    <w:sdtEndPr>
      <w:rPr>
        <w:color w:val="7F7F7F" w:themeColor="background1" w:themeShade="7F"/>
        <w:spacing w:val="60"/>
      </w:rPr>
    </w:sdtEndPr>
    <w:sdtContent>
      <w:p w14:paraId="1849E3B5" w14:textId="747639D4" w:rsidR="003808E8" w:rsidRDefault="003808E8">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72B0">
          <w:rPr>
            <w:noProof/>
          </w:rPr>
          <w:t>1</w:t>
        </w:r>
        <w:r>
          <w:rPr>
            <w:noProof/>
          </w:rPr>
          <w:fldChar w:fldCharType="end"/>
        </w:r>
        <w:r>
          <w:t xml:space="preserve"> | </w:t>
        </w:r>
        <w:r>
          <w:rPr>
            <w:color w:val="7F7F7F" w:themeColor="background1" w:themeShade="7F"/>
            <w:spacing w:val="60"/>
          </w:rPr>
          <w:t>Page</w:t>
        </w:r>
      </w:p>
    </w:sdtContent>
  </w:sdt>
  <w:p w14:paraId="50935B59" w14:textId="77777777" w:rsidR="003808E8" w:rsidRDefault="00380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E5B7" w14:textId="77777777" w:rsidR="00C5295E" w:rsidRDefault="00C5295E" w:rsidP="00BA2B47">
      <w:pPr>
        <w:spacing w:after="0" w:line="240" w:lineRule="auto"/>
      </w:pPr>
      <w:r>
        <w:separator/>
      </w:r>
    </w:p>
  </w:footnote>
  <w:footnote w:type="continuationSeparator" w:id="0">
    <w:p w14:paraId="2932355B" w14:textId="77777777" w:rsidR="00C5295E" w:rsidRDefault="00C5295E" w:rsidP="00BA2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4F8"/>
    <w:multiLevelType w:val="hybridMultilevel"/>
    <w:tmpl w:val="FC42157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1C1289"/>
    <w:multiLevelType w:val="hybridMultilevel"/>
    <w:tmpl w:val="8E10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2622F"/>
    <w:multiLevelType w:val="hybridMultilevel"/>
    <w:tmpl w:val="2DE65A22"/>
    <w:lvl w:ilvl="0" w:tplc="A6C8BAD6">
      <w:start w:val="1"/>
      <w:numFmt w:val="decimal"/>
      <w:lvlText w:val="%1)"/>
      <w:lvlJc w:val="left"/>
      <w:pPr>
        <w:ind w:left="3354" w:hanging="360"/>
      </w:pPr>
      <w:rPr>
        <w:rFonts w:hint="default"/>
      </w:rPr>
    </w:lvl>
    <w:lvl w:ilvl="1" w:tplc="04190019" w:tentative="1">
      <w:start w:val="1"/>
      <w:numFmt w:val="lowerLetter"/>
      <w:lvlText w:val="%2."/>
      <w:lvlJc w:val="left"/>
      <w:pPr>
        <w:ind w:left="4074" w:hanging="360"/>
      </w:pPr>
    </w:lvl>
    <w:lvl w:ilvl="2" w:tplc="0419001B" w:tentative="1">
      <w:start w:val="1"/>
      <w:numFmt w:val="lowerRoman"/>
      <w:lvlText w:val="%3."/>
      <w:lvlJc w:val="right"/>
      <w:pPr>
        <w:ind w:left="4794" w:hanging="180"/>
      </w:pPr>
    </w:lvl>
    <w:lvl w:ilvl="3" w:tplc="0419000F" w:tentative="1">
      <w:start w:val="1"/>
      <w:numFmt w:val="decimal"/>
      <w:lvlText w:val="%4."/>
      <w:lvlJc w:val="left"/>
      <w:pPr>
        <w:ind w:left="5514" w:hanging="360"/>
      </w:pPr>
    </w:lvl>
    <w:lvl w:ilvl="4" w:tplc="04190019" w:tentative="1">
      <w:start w:val="1"/>
      <w:numFmt w:val="lowerLetter"/>
      <w:lvlText w:val="%5."/>
      <w:lvlJc w:val="left"/>
      <w:pPr>
        <w:ind w:left="6234" w:hanging="360"/>
      </w:pPr>
    </w:lvl>
    <w:lvl w:ilvl="5" w:tplc="0419001B" w:tentative="1">
      <w:start w:val="1"/>
      <w:numFmt w:val="lowerRoman"/>
      <w:lvlText w:val="%6."/>
      <w:lvlJc w:val="right"/>
      <w:pPr>
        <w:ind w:left="6954" w:hanging="180"/>
      </w:pPr>
    </w:lvl>
    <w:lvl w:ilvl="6" w:tplc="0419000F" w:tentative="1">
      <w:start w:val="1"/>
      <w:numFmt w:val="decimal"/>
      <w:lvlText w:val="%7."/>
      <w:lvlJc w:val="left"/>
      <w:pPr>
        <w:ind w:left="7674" w:hanging="360"/>
      </w:pPr>
    </w:lvl>
    <w:lvl w:ilvl="7" w:tplc="04190019" w:tentative="1">
      <w:start w:val="1"/>
      <w:numFmt w:val="lowerLetter"/>
      <w:lvlText w:val="%8."/>
      <w:lvlJc w:val="left"/>
      <w:pPr>
        <w:ind w:left="8394" w:hanging="360"/>
      </w:pPr>
    </w:lvl>
    <w:lvl w:ilvl="8" w:tplc="0419001B" w:tentative="1">
      <w:start w:val="1"/>
      <w:numFmt w:val="lowerRoman"/>
      <w:lvlText w:val="%9."/>
      <w:lvlJc w:val="right"/>
      <w:pPr>
        <w:ind w:left="9114" w:hanging="180"/>
      </w:pPr>
    </w:lvl>
  </w:abstractNum>
  <w:abstractNum w:abstractNumId="3"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602"/>
    <w:multiLevelType w:val="hybridMultilevel"/>
    <w:tmpl w:val="E6FAB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C5AEA"/>
    <w:multiLevelType w:val="multilevel"/>
    <w:tmpl w:val="F18AD514"/>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F56238"/>
    <w:multiLevelType w:val="hybridMultilevel"/>
    <w:tmpl w:val="B036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F7CE1"/>
    <w:multiLevelType w:val="hybridMultilevel"/>
    <w:tmpl w:val="246C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A67F5"/>
    <w:multiLevelType w:val="hybridMultilevel"/>
    <w:tmpl w:val="DB70040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E1003A"/>
    <w:multiLevelType w:val="hybridMultilevel"/>
    <w:tmpl w:val="A77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061F9"/>
    <w:multiLevelType w:val="hybridMultilevel"/>
    <w:tmpl w:val="9FCE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23EAC"/>
    <w:multiLevelType w:val="hybridMultilevel"/>
    <w:tmpl w:val="1356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454A6"/>
    <w:multiLevelType w:val="hybridMultilevel"/>
    <w:tmpl w:val="32C06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E58CE"/>
    <w:multiLevelType w:val="hybridMultilevel"/>
    <w:tmpl w:val="5AE68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7039C"/>
    <w:multiLevelType w:val="hybridMultilevel"/>
    <w:tmpl w:val="288A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80411"/>
    <w:multiLevelType w:val="hybridMultilevel"/>
    <w:tmpl w:val="4C745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E0627B"/>
    <w:multiLevelType w:val="hybridMultilevel"/>
    <w:tmpl w:val="A4EEC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BA1CD2"/>
    <w:multiLevelType w:val="hybridMultilevel"/>
    <w:tmpl w:val="D38C2A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52142D"/>
    <w:multiLevelType w:val="hybridMultilevel"/>
    <w:tmpl w:val="4BD24B8A"/>
    <w:lvl w:ilvl="0" w:tplc="46F0EB66">
      <w:numFmt w:val="bullet"/>
      <w:lvlText w:val="•"/>
      <w:lvlJc w:val="left"/>
      <w:pPr>
        <w:ind w:left="720" w:hanging="360"/>
      </w:pPr>
      <w:rPr>
        <w:rFonts w:ascii="Roboto" w:eastAsiaTheme="minorEastAsia" w:hAnsi="Robo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46F85"/>
    <w:multiLevelType w:val="hybridMultilevel"/>
    <w:tmpl w:val="FEA2317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1F62F69"/>
    <w:multiLevelType w:val="hybridMultilevel"/>
    <w:tmpl w:val="037E726C"/>
    <w:lvl w:ilvl="0" w:tplc="CA3E3704">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2E46817"/>
    <w:multiLevelType w:val="hybridMultilevel"/>
    <w:tmpl w:val="249C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460F0"/>
    <w:multiLevelType w:val="hybridMultilevel"/>
    <w:tmpl w:val="EF96F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E65708"/>
    <w:multiLevelType w:val="hybridMultilevel"/>
    <w:tmpl w:val="2F9E0DDA"/>
    <w:lvl w:ilvl="0" w:tplc="DD908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F4457"/>
    <w:multiLevelType w:val="hybridMultilevel"/>
    <w:tmpl w:val="E784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41F7F"/>
    <w:multiLevelType w:val="hybridMultilevel"/>
    <w:tmpl w:val="0C44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5B24687"/>
    <w:multiLevelType w:val="hybridMultilevel"/>
    <w:tmpl w:val="C7BAC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1D4CCC"/>
    <w:multiLevelType w:val="hybridMultilevel"/>
    <w:tmpl w:val="E688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E8D"/>
    <w:multiLevelType w:val="hybridMultilevel"/>
    <w:tmpl w:val="0D72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740"/>
    <w:multiLevelType w:val="hybridMultilevel"/>
    <w:tmpl w:val="9DCC428C"/>
    <w:lvl w:ilvl="0" w:tplc="D2D84DF8">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FA86A65"/>
    <w:multiLevelType w:val="hybridMultilevel"/>
    <w:tmpl w:val="E5C66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260481"/>
    <w:multiLevelType w:val="hybridMultilevel"/>
    <w:tmpl w:val="04DCD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4" w15:restartNumberingAfterBreak="0">
    <w:nsid w:val="659F4766"/>
    <w:multiLevelType w:val="hybridMultilevel"/>
    <w:tmpl w:val="BEB80EA4"/>
    <w:lvl w:ilvl="0" w:tplc="041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55132"/>
    <w:multiLevelType w:val="hybridMultilevel"/>
    <w:tmpl w:val="E424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959C3"/>
    <w:multiLevelType w:val="hybridMultilevel"/>
    <w:tmpl w:val="CB1A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A32170"/>
    <w:multiLevelType w:val="hybridMultilevel"/>
    <w:tmpl w:val="7A3486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F016EB"/>
    <w:multiLevelType w:val="hybridMultilevel"/>
    <w:tmpl w:val="E2BCCCC4"/>
    <w:lvl w:ilvl="0" w:tplc="46F0EB66">
      <w:numFmt w:val="bullet"/>
      <w:lvlText w:val="•"/>
      <w:lvlJc w:val="left"/>
      <w:pPr>
        <w:ind w:left="360" w:hanging="360"/>
      </w:pPr>
      <w:rPr>
        <w:rFonts w:ascii="Roboto" w:eastAsiaTheme="minorEastAsia" w:hAnsi="Robo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C20092"/>
    <w:multiLevelType w:val="hybridMultilevel"/>
    <w:tmpl w:val="22022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1911F4"/>
    <w:multiLevelType w:val="hybridMultilevel"/>
    <w:tmpl w:val="024ED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AE7520"/>
    <w:multiLevelType w:val="hybridMultilevel"/>
    <w:tmpl w:val="232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F4CFA"/>
    <w:multiLevelType w:val="hybridMultilevel"/>
    <w:tmpl w:val="BCFA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70616"/>
    <w:multiLevelType w:val="hybridMultilevel"/>
    <w:tmpl w:val="78969A2C"/>
    <w:lvl w:ilvl="0" w:tplc="21E252E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F885C2F"/>
    <w:multiLevelType w:val="hybridMultilevel"/>
    <w:tmpl w:val="901E5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90065A"/>
    <w:multiLevelType w:val="hybridMultilevel"/>
    <w:tmpl w:val="BE06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771317">
    <w:abstractNumId w:val="26"/>
  </w:num>
  <w:num w:numId="2" w16cid:durableId="1406802098">
    <w:abstractNumId w:val="5"/>
  </w:num>
  <w:num w:numId="3" w16cid:durableId="1538006517">
    <w:abstractNumId w:val="38"/>
  </w:num>
  <w:num w:numId="4" w16cid:durableId="2141805446">
    <w:abstractNumId w:val="33"/>
  </w:num>
  <w:num w:numId="5" w16cid:durableId="915936103">
    <w:abstractNumId w:val="3"/>
  </w:num>
  <w:num w:numId="6" w16cid:durableId="1942715565">
    <w:abstractNumId w:val="23"/>
  </w:num>
  <w:num w:numId="7" w16cid:durableId="307056889">
    <w:abstractNumId w:val="35"/>
  </w:num>
  <w:num w:numId="8" w16cid:durableId="389697704">
    <w:abstractNumId w:val="34"/>
  </w:num>
  <w:num w:numId="9" w16cid:durableId="308948143">
    <w:abstractNumId w:val="20"/>
  </w:num>
  <w:num w:numId="10" w16cid:durableId="152568683">
    <w:abstractNumId w:val="30"/>
  </w:num>
  <w:num w:numId="11" w16cid:durableId="222327076">
    <w:abstractNumId w:val="45"/>
  </w:num>
  <w:num w:numId="12" w16cid:durableId="1922375671">
    <w:abstractNumId w:val="2"/>
  </w:num>
  <w:num w:numId="13" w16cid:durableId="1641767275">
    <w:abstractNumId w:val="19"/>
  </w:num>
  <w:num w:numId="14" w16cid:durableId="76874554">
    <w:abstractNumId w:val="8"/>
  </w:num>
  <w:num w:numId="15" w16cid:durableId="2128431943">
    <w:abstractNumId w:val="39"/>
  </w:num>
  <w:num w:numId="16" w16cid:durableId="1235436788">
    <w:abstractNumId w:val="17"/>
  </w:num>
  <w:num w:numId="17" w16cid:durableId="1164080907">
    <w:abstractNumId w:val="7"/>
  </w:num>
  <w:num w:numId="18" w16cid:durableId="1091269428">
    <w:abstractNumId w:val="41"/>
  </w:num>
  <w:num w:numId="19" w16cid:durableId="1994068616">
    <w:abstractNumId w:val="18"/>
  </w:num>
  <w:num w:numId="20" w16cid:durableId="1512797695">
    <w:abstractNumId w:val="40"/>
  </w:num>
  <w:num w:numId="21" w16cid:durableId="1416436057">
    <w:abstractNumId w:val="0"/>
  </w:num>
  <w:num w:numId="22" w16cid:durableId="1326860062">
    <w:abstractNumId w:val="15"/>
  </w:num>
  <w:num w:numId="23" w16cid:durableId="517962964">
    <w:abstractNumId w:val="16"/>
  </w:num>
  <w:num w:numId="24" w16cid:durableId="1703742431">
    <w:abstractNumId w:val="12"/>
  </w:num>
  <w:num w:numId="25" w16cid:durableId="409231900">
    <w:abstractNumId w:val="31"/>
  </w:num>
  <w:num w:numId="26" w16cid:durableId="1588881047">
    <w:abstractNumId w:val="42"/>
  </w:num>
  <w:num w:numId="27" w16cid:durableId="1017851516">
    <w:abstractNumId w:val="4"/>
  </w:num>
  <w:num w:numId="28" w16cid:durableId="1646278556">
    <w:abstractNumId w:val="36"/>
  </w:num>
  <w:num w:numId="29" w16cid:durableId="1522426509">
    <w:abstractNumId w:val="37"/>
  </w:num>
  <w:num w:numId="30" w16cid:durableId="397441413">
    <w:abstractNumId w:val="10"/>
  </w:num>
  <w:num w:numId="31" w16cid:durableId="1939676726">
    <w:abstractNumId w:val="27"/>
  </w:num>
  <w:num w:numId="32" w16cid:durableId="505899991">
    <w:abstractNumId w:val="9"/>
  </w:num>
  <w:num w:numId="33" w16cid:durableId="1594706098">
    <w:abstractNumId w:val="43"/>
  </w:num>
  <w:num w:numId="34" w16cid:durableId="1599555449">
    <w:abstractNumId w:val="28"/>
  </w:num>
  <w:num w:numId="35" w16cid:durableId="447545894">
    <w:abstractNumId w:val="29"/>
  </w:num>
  <w:num w:numId="36" w16cid:durableId="1793328459">
    <w:abstractNumId w:val="25"/>
  </w:num>
  <w:num w:numId="37" w16cid:durableId="1206522571">
    <w:abstractNumId w:val="47"/>
  </w:num>
  <w:num w:numId="38" w16cid:durableId="980618477">
    <w:abstractNumId w:val="13"/>
  </w:num>
  <w:num w:numId="39" w16cid:durableId="1120958124">
    <w:abstractNumId w:val="32"/>
  </w:num>
  <w:num w:numId="40" w16cid:durableId="1121266960">
    <w:abstractNumId w:val="24"/>
  </w:num>
  <w:num w:numId="41" w16cid:durableId="1317996673">
    <w:abstractNumId w:val="46"/>
  </w:num>
  <w:num w:numId="42" w16cid:durableId="1715614082">
    <w:abstractNumId w:val="14"/>
  </w:num>
  <w:num w:numId="43" w16cid:durableId="283317592">
    <w:abstractNumId w:val="11"/>
  </w:num>
  <w:num w:numId="44" w16cid:durableId="1202520595">
    <w:abstractNumId w:val="6"/>
  </w:num>
  <w:num w:numId="45" w16cid:durableId="688681353">
    <w:abstractNumId w:val="21"/>
  </w:num>
  <w:num w:numId="46" w16cid:durableId="1211963979">
    <w:abstractNumId w:val="44"/>
  </w:num>
  <w:num w:numId="47" w16cid:durableId="2129929212">
    <w:abstractNumId w:val="1"/>
  </w:num>
  <w:num w:numId="48" w16cid:durableId="18989720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43"/>
    <w:rsid w:val="00005F89"/>
    <w:rsid w:val="00046CE9"/>
    <w:rsid w:val="00060BB8"/>
    <w:rsid w:val="00064F79"/>
    <w:rsid w:val="000A5BF1"/>
    <w:rsid w:val="000B4541"/>
    <w:rsid w:val="000D16E5"/>
    <w:rsid w:val="000D3E80"/>
    <w:rsid w:val="00113436"/>
    <w:rsid w:val="00140CC4"/>
    <w:rsid w:val="001747CD"/>
    <w:rsid w:val="001804ED"/>
    <w:rsid w:val="00197F47"/>
    <w:rsid w:val="001A7439"/>
    <w:rsid w:val="0020519F"/>
    <w:rsid w:val="00211E18"/>
    <w:rsid w:val="00244810"/>
    <w:rsid w:val="00255F11"/>
    <w:rsid w:val="0026592A"/>
    <w:rsid w:val="002B0309"/>
    <w:rsid w:val="002D28C9"/>
    <w:rsid w:val="00344FA1"/>
    <w:rsid w:val="003627B2"/>
    <w:rsid w:val="00366A43"/>
    <w:rsid w:val="003808E8"/>
    <w:rsid w:val="00391FA0"/>
    <w:rsid w:val="003A512F"/>
    <w:rsid w:val="003E78EC"/>
    <w:rsid w:val="003F035B"/>
    <w:rsid w:val="00410D08"/>
    <w:rsid w:val="0043471B"/>
    <w:rsid w:val="004A5845"/>
    <w:rsid w:val="004B011C"/>
    <w:rsid w:val="004B0375"/>
    <w:rsid w:val="004B0F81"/>
    <w:rsid w:val="004C1513"/>
    <w:rsid w:val="004E11B1"/>
    <w:rsid w:val="004E177E"/>
    <w:rsid w:val="00510E18"/>
    <w:rsid w:val="00514B9D"/>
    <w:rsid w:val="00527F25"/>
    <w:rsid w:val="00547143"/>
    <w:rsid w:val="00584A5D"/>
    <w:rsid w:val="00586CE3"/>
    <w:rsid w:val="005B1693"/>
    <w:rsid w:val="005C3B8E"/>
    <w:rsid w:val="005C5199"/>
    <w:rsid w:val="005D3AFA"/>
    <w:rsid w:val="005E0DAF"/>
    <w:rsid w:val="005F1FF8"/>
    <w:rsid w:val="00671EA8"/>
    <w:rsid w:val="00691CA3"/>
    <w:rsid w:val="006A5BBD"/>
    <w:rsid w:val="006B4349"/>
    <w:rsid w:val="006D4425"/>
    <w:rsid w:val="006F2F58"/>
    <w:rsid w:val="007019C1"/>
    <w:rsid w:val="00705E6F"/>
    <w:rsid w:val="0072727E"/>
    <w:rsid w:val="0073193E"/>
    <w:rsid w:val="007516F3"/>
    <w:rsid w:val="007D3C72"/>
    <w:rsid w:val="00825B79"/>
    <w:rsid w:val="00844306"/>
    <w:rsid w:val="00882CB7"/>
    <w:rsid w:val="00894F76"/>
    <w:rsid w:val="008A2543"/>
    <w:rsid w:val="008C06D9"/>
    <w:rsid w:val="008D631C"/>
    <w:rsid w:val="00920CE6"/>
    <w:rsid w:val="00960D29"/>
    <w:rsid w:val="00991F3D"/>
    <w:rsid w:val="009A14C3"/>
    <w:rsid w:val="009D478D"/>
    <w:rsid w:val="009E3EBA"/>
    <w:rsid w:val="009F0C73"/>
    <w:rsid w:val="009F1D49"/>
    <w:rsid w:val="00A066E5"/>
    <w:rsid w:val="00A141F5"/>
    <w:rsid w:val="00A849A7"/>
    <w:rsid w:val="00A84EED"/>
    <w:rsid w:val="00AA54F8"/>
    <w:rsid w:val="00AD03AE"/>
    <w:rsid w:val="00AE7F26"/>
    <w:rsid w:val="00B038FE"/>
    <w:rsid w:val="00B339F1"/>
    <w:rsid w:val="00B40C81"/>
    <w:rsid w:val="00B64863"/>
    <w:rsid w:val="00B81D93"/>
    <w:rsid w:val="00B90143"/>
    <w:rsid w:val="00BA2B47"/>
    <w:rsid w:val="00BB2355"/>
    <w:rsid w:val="00BB2712"/>
    <w:rsid w:val="00BD1C33"/>
    <w:rsid w:val="00BD5572"/>
    <w:rsid w:val="00BF5713"/>
    <w:rsid w:val="00BF654F"/>
    <w:rsid w:val="00C016ED"/>
    <w:rsid w:val="00C2611A"/>
    <w:rsid w:val="00C32A63"/>
    <w:rsid w:val="00C5295E"/>
    <w:rsid w:val="00C72277"/>
    <w:rsid w:val="00CA4721"/>
    <w:rsid w:val="00CB51FE"/>
    <w:rsid w:val="00CC0FF7"/>
    <w:rsid w:val="00CD3EC4"/>
    <w:rsid w:val="00CF0543"/>
    <w:rsid w:val="00D2305D"/>
    <w:rsid w:val="00D26338"/>
    <w:rsid w:val="00D5508B"/>
    <w:rsid w:val="00D7677F"/>
    <w:rsid w:val="00D844B8"/>
    <w:rsid w:val="00D8472E"/>
    <w:rsid w:val="00DA2BED"/>
    <w:rsid w:val="00DC296C"/>
    <w:rsid w:val="00DE1545"/>
    <w:rsid w:val="00DE18AC"/>
    <w:rsid w:val="00E0682B"/>
    <w:rsid w:val="00E06F3F"/>
    <w:rsid w:val="00E20572"/>
    <w:rsid w:val="00E22EB4"/>
    <w:rsid w:val="00EA38A9"/>
    <w:rsid w:val="00EA72B0"/>
    <w:rsid w:val="00EC5A4D"/>
    <w:rsid w:val="00F57540"/>
    <w:rsid w:val="00F709B9"/>
    <w:rsid w:val="00FE248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676AE"/>
  <w15:chartTrackingRefBased/>
  <w15:docId w15:val="{0C666C05-34C5-4E03-A6DA-0921725A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35B"/>
    <w:pPr>
      <w:ind w:left="720"/>
      <w:contextualSpacing/>
    </w:pPr>
  </w:style>
  <w:style w:type="paragraph" w:styleId="Revision">
    <w:name w:val="Revision"/>
    <w:hidden/>
    <w:uiPriority w:val="99"/>
    <w:semiHidden/>
    <w:rsid w:val="003627B2"/>
    <w:pPr>
      <w:spacing w:after="0" w:line="240" w:lineRule="auto"/>
    </w:pPr>
  </w:style>
  <w:style w:type="paragraph" w:styleId="NormalWeb">
    <w:name w:val="Normal (Web)"/>
    <w:basedOn w:val="Normal"/>
    <w:uiPriority w:val="99"/>
    <w:semiHidden/>
    <w:unhideWhenUsed/>
    <w:rsid w:val="000B454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9F1"/>
    <w:rPr>
      <w:sz w:val="16"/>
      <w:szCs w:val="16"/>
    </w:rPr>
  </w:style>
  <w:style w:type="paragraph" w:styleId="CommentText">
    <w:name w:val="annotation text"/>
    <w:basedOn w:val="Normal"/>
    <w:link w:val="CommentTextChar"/>
    <w:uiPriority w:val="99"/>
    <w:unhideWhenUsed/>
    <w:rsid w:val="00B339F1"/>
    <w:pPr>
      <w:spacing w:line="240" w:lineRule="auto"/>
    </w:pPr>
    <w:rPr>
      <w:sz w:val="20"/>
      <w:szCs w:val="20"/>
    </w:rPr>
  </w:style>
  <w:style w:type="character" w:customStyle="1" w:styleId="CommentTextChar">
    <w:name w:val="Comment Text Char"/>
    <w:basedOn w:val="DefaultParagraphFont"/>
    <w:link w:val="CommentText"/>
    <w:uiPriority w:val="99"/>
    <w:rsid w:val="00B339F1"/>
    <w:rPr>
      <w:sz w:val="20"/>
      <w:szCs w:val="20"/>
    </w:rPr>
  </w:style>
  <w:style w:type="paragraph" w:styleId="CommentSubject">
    <w:name w:val="annotation subject"/>
    <w:basedOn w:val="CommentText"/>
    <w:next w:val="CommentText"/>
    <w:link w:val="CommentSubjectChar"/>
    <w:uiPriority w:val="99"/>
    <w:semiHidden/>
    <w:unhideWhenUsed/>
    <w:rsid w:val="00B339F1"/>
    <w:rPr>
      <w:b/>
      <w:bCs/>
    </w:rPr>
  </w:style>
  <w:style w:type="character" w:customStyle="1" w:styleId="CommentSubjectChar">
    <w:name w:val="Comment Subject Char"/>
    <w:basedOn w:val="CommentTextChar"/>
    <w:link w:val="CommentSubject"/>
    <w:uiPriority w:val="99"/>
    <w:semiHidden/>
    <w:rsid w:val="00B339F1"/>
    <w:rPr>
      <w:b/>
      <w:bCs/>
      <w:sz w:val="20"/>
      <w:szCs w:val="20"/>
    </w:rPr>
  </w:style>
  <w:style w:type="paragraph" w:styleId="BalloonText">
    <w:name w:val="Balloon Text"/>
    <w:basedOn w:val="Normal"/>
    <w:link w:val="BalloonTextChar"/>
    <w:uiPriority w:val="99"/>
    <w:semiHidden/>
    <w:unhideWhenUsed/>
    <w:rsid w:val="00AE7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F26"/>
    <w:rPr>
      <w:rFonts w:ascii="Segoe UI" w:hAnsi="Segoe UI" w:cs="Segoe UI"/>
      <w:sz w:val="18"/>
      <w:szCs w:val="18"/>
    </w:rPr>
  </w:style>
  <w:style w:type="paragraph" w:styleId="Header">
    <w:name w:val="header"/>
    <w:basedOn w:val="Normal"/>
    <w:link w:val="HeaderChar"/>
    <w:uiPriority w:val="99"/>
    <w:unhideWhenUsed/>
    <w:rsid w:val="00BA2B47"/>
    <w:pPr>
      <w:tabs>
        <w:tab w:val="center" w:pos="4677"/>
        <w:tab w:val="right" w:pos="9355"/>
      </w:tabs>
      <w:spacing w:after="0" w:line="240" w:lineRule="auto"/>
    </w:pPr>
  </w:style>
  <w:style w:type="character" w:customStyle="1" w:styleId="HeaderChar">
    <w:name w:val="Header Char"/>
    <w:basedOn w:val="DefaultParagraphFont"/>
    <w:link w:val="Header"/>
    <w:uiPriority w:val="99"/>
    <w:rsid w:val="00BA2B47"/>
  </w:style>
  <w:style w:type="paragraph" w:styleId="Footer">
    <w:name w:val="footer"/>
    <w:basedOn w:val="Normal"/>
    <w:link w:val="FooterChar"/>
    <w:uiPriority w:val="99"/>
    <w:unhideWhenUsed/>
    <w:rsid w:val="00BA2B47"/>
    <w:pPr>
      <w:tabs>
        <w:tab w:val="center" w:pos="4677"/>
        <w:tab w:val="right" w:pos="9355"/>
      </w:tabs>
      <w:spacing w:after="0" w:line="240" w:lineRule="auto"/>
    </w:pPr>
  </w:style>
  <w:style w:type="character" w:customStyle="1" w:styleId="FooterChar">
    <w:name w:val="Footer Char"/>
    <w:basedOn w:val="DefaultParagraphFont"/>
    <w:link w:val="Footer"/>
    <w:uiPriority w:val="99"/>
    <w:rsid w:val="00BA2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4898">
      <w:bodyDiv w:val="1"/>
      <w:marLeft w:val="0"/>
      <w:marRight w:val="0"/>
      <w:marTop w:val="0"/>
      <w:marBottom w:val="0"/>
      <w:divBdr>
        <w:top w:val="none" w:sz="0" w:space="0" w:color="auto"/>
        <w:left w:val="none" w:sz="0" w:space="0" w:color="auto"/>
        <w:bottom w:val="none" w:sz="0" w:space="0" w:color="auto"/>
        <w:right w:val="none" w:sz="0" w:space="0" w:color="auto"/>
      </w:divBdr>
    </w:div>
    <w:div w:id="174349395">
      <w:bodyDiv w:val="1"/>
      <w:marLeft w:val="0"/>
      <w:marRight w:val="0"/>
      <w:marTop w:val="0"/>
      <w:marBottom w:val="0"/>
      <w:divBdr>
        <w:top w:val="none" w:sz="0" w:space="0" w:color="auto"/>
        <w:left w:val="none" w:sz="0" w:space="0" w:color="auto"/>
        <w:bottom w:val="none" w:sz="0" w:space="0" w:color="auto"/>
        <w:right w:val="none" w:sz="0" w:space="0" w:color="auto"/>
      </w:divBdr>
    </w:div>
    <w:div w:id="399911828">
      <w:bodyDiv w:val="1"/>
      <w:marLeft w:val="0"/>
      <w:marRight w:val="0"/>
      <w:marTop w:val="0"/>
      <w:marBottom w:val="0"/>
      <w:divBdr>
        <w:top w:val="none" w:sz="0" w:space="0" w:color="auto"/>
        <w:left w:val="none" w:sz="0" w:space="0" w:color="auto"/>
        <w:bottom w:val="none" w:sz="0" w:space="0" w:color="auto"/>
        <w:right w:val="none" w:sz="0" w:space="0" w:color="auto"/>
      </w:divBdr>
    </w:div>
    <w:div w:id="490101394">
      <w:bodyDiv w:val="1"/>
      <w:marLeft w:val="0"/>
      <w:marRight w:val="0"/>
      <w:marTop w:val="0"/>
      <w:marBottom w:val="0"/>
      <w:divBdr>
        <w:top w:val="none" w:sz="0" w:space="0" w:color="auto"/>
        <w:left w:val="none" w:sz="0" w:space="0" w:color="auto"/>
        <w:bottom w:val="none" w:sz="0" w:space="0" w:color="auto"/>
        <w:right w:val="none" w:sz="0" w:space="0" w:color="auto"/>
      </w:divBdr>
    </w:div>
    <w:div w:id="507671601">
      <w:bodyDiv w:val="1"/>
      <w:marLeft w:val="0"/>
      <w:marRight w:val="0"/>
      <w:marTop w:val="0"/>
      <w:marBottom w:val="0"/>
      <w:divBdr>
        <w:top w:val="none" w:sz="0" w:space="0" w:color="auto"/>
        <w:left w:val="none" w:sz="0" w:space="0" w:color="auto"/>
        <w:bottom w:val="none" w:sz="0" w:space="0" w:color="auto"/>
        <w:right w:val="none" w:sz="0" w:space="0" w:color="auto"/>
      </w:divBdr>
    </w:div>
    <w:div w:id="614675249">
      <w:bodyDiv w:val="1"/>
      <w:marLeft w:val="0"/>
      <w:marRight w:val="0"/>
      <w:marTop w:val="0"/>
      <w:marBottom w:val="0"/>
      <w:divBdr>
        <w:top w:val="none" w:sz="0" w:space="0" w:color="auto"/>
        <w:left w:val="none" w:sz="0" w:space="0" w:color="auto"/>
        <w:bottom w:val="none" w:sz="0" w:space="0" w:color="auto"/>
        <w:right w:val="none" w:sz="0" w:space="0" w:color="auto"/>
      </w:divBdr>
    </w:div>
    <w:div w:id="670136627">
      <w:bodyDiv w:val="1"/>
      <w:marLeft w:val="0"/>
      <w:marRight w:val="0"/>
      <w:marTop w:val="0"/>
      <w:marBottom w:val="0"/>
      <w:divBdr>
        <w:top w:val="none" w:sz="0" w:space="0" w:color="auto"/>
        <w:left w:val="none" w:sz="0" w:space="0" w:color="auto"/>
        <w:bottom w:val="none" w:sz="0" w:space="0" w:color="auto"/>
        <w:right w:val="none" w:sz="0" w:space="0" w:color="auto"/>
      </w:divBdr>
    </w:div>
    <w:div w:id="676276662">
      <w:bodyDiv w:val="1"/>
      <w:marLeft w:val="0"/>
      <w:marRight w:val="0"/>
      <w:marTop w:val="0"/>
      <w:marBottom w:val="0"/>
      <w:divBdr>
        <w:top w:val="none" w:sz="0" w:space="0" w:color="auto"/>
        <w:left w:val="none" w:sz="0" w:space="0" w:color="auto"/>
        <w:bottom w:val="none" w:sz="0" w:space="0" w:color="auto"/>
        <w:right w:val="none" w:sz="0" w:space="0" w:color="auto"/>
      </w:divBdr>
    </w:div>
    <w:div w:id="751581040">
      <w:bodyDiv w:val="1"/>
      <w:marLeft w:val="0"/>
      <w:marRight w:val="0"/>
      <w:marTop w:val="0"/>
      <w:marBottom w:val="0"/>
      <w:divBdr>
        <w:top w:val="none" w:sz="0" w:space="0" w:color="auto"/>
        <w:left w:val="none" w:sz="0" w:space="0" w:color="auto"/>
        <w:bottom w:val="none" w:sz="0" w:space="0" w:color="auto"/>
        <w:right w:val="none" w:sz="0" w:space="0" w:color="auto"/>
      </w:divBdr>
    </w:div>
    <w:div w:id="888758736">
      <w:bodyDiv w:val="1"/>
      <w:marLeft w:val="0"/>
      <w:marRight w:val="0"/>
      <w:marTop w:val="0"/>
      <w:marBottom w:val="0"/>
      <w:divBdr>
        <w:top w:val="none" w:sz="0" w:space="0" w:color="auto"/>
        <w:left w:val="none" w:sz="0" w:space="0" w:color="auto"/>
        <w:bottom w:val="none" w:sz="0" w:space="0" w:color="auto"/>
        <w:right w:val="none" w:sz="0" w:space="0" w:color="auto"/>
      </w:divBdr>
    </w:div>
    <w:div w:id="942759824">
      <w:bodyDiv w:val="1"/>
      <w:marLeft w:val="0"/>
      <w:marRight w:val="0"/>
      <w:marTop w:val="0"/>
      <w:marBottom w:val="0"/>
      <w:divBdr>
        <w:top w:val="none" w:sz="0" w:space="0" w:color="auto"/>
        <w:left w:val="none" w:sz="0" w:space="0" w:color="auto"/>
        <w:bottom w:val="none" w:sz="0" w:space="0" w:color="auto"/>
        <w:right w:val="none" w:sz="0" w:space="0" w:color="auto"/>
      </w:divBdr>
    </w:div>
    <w:div w:id="1033386459">
      <w:bodyDiv w:val="1"/>
      <w:marLeft w:val="0"/>
      <w:marRight w:val="0"/>
      <w:marTop w:val="0"/>
      <w:marBottom w:val="0"/>
      <w:divBdr>
        <w:top w:val="none" w:sz="0" w:space="0" w:color="auto"/>
        <w:left w:val="none" w:sz="0" w:space="0" w:color="auto"/>
        <w:bottom w:val="none" w:sz="0" w:space="0" w:color="auto"/>
        <w:right w:val="none" w:sz="0" w:space="0" w:color="auto"/>
      </w:divBdr>
    </w:div>
    <w:div w:id="1186863686">
      <w:bodyDiv w:val="1"/>
      <w:marLeft w:val="0"/>
      <w:marRight w:val="0"/>
      <w:marTop w:val="0"/>
      <w:marBottom w:val="0"/>
      <w:divBdr>
        <w:top w:val="none" w:sz="0" w:space="0" w:color="auto"/>
        <w:left w:val="none" w:sz="0" w:space="0" w:color="auto"/>
        <w:bottom w:val="none" w:sz="0" w:space="0" w:color="auto"/>
        <w:right w:val="none" w:sz="0" w:space="0" w:color="auto"/>
      </w:divBdr>
    </w:div>
    <w:div w:id="1196233045">
      <w:bodyDiv w:val="1"/>
      <w:marLeft w:val="0"/>
      <w:marRight w:val="0"/>
      <w:marTop w:val="0"/>
      <w:marBottom w:val="0"/>
      <w:divBdr>
        <w:top w:val="none" w:sz="0" w:space="0" w:color="auto"/>
        <w:left w:val="none" w:sz="0" w:space="0" w:color="auto"/>
        <w:bottom w:val="none" w:sz="0" w:space="0" w:color="auto"/>
        <w:right w:val="none" w:sz="0" w:space="0" w:color="auto"/>
      </w:divBdr>
    </w:div>
    <w:div w:id="1295520918">
      <w:bodyDiv w:val="1"/>
      <w:marLeft w:val="0"/>
      <w:marRight w:val="0"/>
      <w:marTop w:val="0"/>
      <w:marBottom w:val="0"/>
      <w:divBdr>
        <w:top w:val="none" w:sz="0" w:space="0" w:color="auto"/>
        <w:left w:val="none" w:sz="0" w:space="0" w:color="auto"/>
        <w:bottom w:val="none" w:sz="0" w:space="0" w:color="auto"/>
        <w:right w:val="none" w:sz="0" w:space="0" w:color="auto"/>
      </w:divBdr>
    </w:div>
    <w:div w:id="1471677080">
      <w:bodyDiv w:val="1"/>
      <w:marLeft w:val="0"/>
      <w:marRight w:val="0"/>
      <w:marTop w:val="0"/>
      <w:marBottom w:val="0"/>
      <w:divBdr>
        <w:top w:val="none" w:sz="0" w:space="0" w:color="auto"/>
        <w:left w:val="none" w:sz="0" w:space="0" w:color="auto"/>
        <w:bottom w:val="none" w:sz="0" w:space="0" w:color="auto"/>
        <w:right w:val="none" w:sz="0" w:space="0" w:color="auto"/>
      </w:divBdr>
    </w:div>
    <w:div w:id="1472671952">
      <w:bodyDiv w:val="1"/>
      <w:marLeft w:val="0"/>
      <w:marRight w:val="0"/>
      <w:marTop w:val="0"/>
      <w:marBottom w:val="0"/>
      <w:divBdr>
        <w:top w:val="none" w:sz="0" w:space="0" w:color="auto"/>
        <w:left w:val="none" w:sz="0" w:space="0" w:color="auto"/>
        <w:bottom w:val="none" w:sz="0" w:space="0" w:color="auto"/>
        <w:right w:val="none" w:sz="0" w:space="0" w:color="auto"/>
      </w:divBdr>
    </w:div>
    <w:div w:id="1556694561">
      <w:bodyDiv w:val="1"/>
      <w:marLeft w:val="0"/>
      <w:marRight w:val="0"/>
      <w:marTop w:val="0"/>
      <w:marBottom w:val="0"/>
      <w:divBdr>
        <w:top w:val="none" w:sz="0" w:space="0" w:color="auto"/>
        <w:left w:val="none" w:sz="0" w:space="0" w:color="auto"/>
        <w:bottom w:val="none" w:sz="0" w:space="0" w:color="auto"/>
        <w:right w:val="none" w:sz="0" w:space="0" w:color="auto"/>
      </w:divBdr>
    </w:div>
    <w:div w:id="1816216622">
      <w:bodyDiv w:val="1"/>
      <w:marLeft w:val="0"/>
      <w:marRight w:val="0"/>
      <w:marTop w:val="0"/>
      <w:marBottom w:val="0"/>
      <w:divBdr>
        <w:top w:val="none" w:sz="0" w:space="0" w:color="auto"/>
        <w:left w:val="none" w:sz="0" w:space="0" w:color="auto"/>
        <w:bottom w:val="none" w:sz="0" w:space="0" w:color="auto"/>
        <w:right w:val="none" w:sz="0" w:space="0" w:color="auto"/>
      </w:divBdr>
    </w:div>
    <w:div w:id="1959676582">
      <w:bodyDiv w:val="1"/>
      <w:marLeft w:val="0"/>
      <w:marRight w:val="0"/>
      <w:marTop w:val="0"/>
      <w:marBottom w:val="0"/>
      <w:divBdr>
        <w:top w:val="none" w:sz="0" w:space="0" w:color="auto"/>
        <w:left w:val="none" w:sz="0" w:space="0" w:color="auto"/>
        <w:bottom w:val="none" w:sz="0" w:space="0" w:color="auto"/>
        <w:right w:val="none" w:sz="0" w:space="0" w:color="auto"/>
      </w:divBdr>
    </w:div>
    <w:div w:id="1976445989">
      <w:bodyDiv w:val="1"/>
      <w:marLeft w:val="0"/>
      <w:marRight w:val="0"/>
      <w:marTop w:val="0"/>
      <w:marBottom w:val="0"/>
      <w:divBdr>
        <w:top w:val="none" w:sz="0" w:space="0" w:color="auto"/>
        <w:left w:val="none" w:sz="0" w:space="0" w:color="auto"/>
        <w:bottom w:val="none" w:sz="0" w:space="0" w:color="auto"/>
        <w:right w:val="none" w:sz="0" w:space="0" w:color="auto"/>
      </w:divBdr>
    </w:div>
    <w:div w:id="1994092228">
      <w:bodyDiv w:val="1"/>
      <w:marLeft w:val="0"/>
      <w:marRight w:val="0"/>
      <w:marTop w:val="0"/>
      <w:marBottom w:val="0"/>
      <w:divBdr>
        <w:top w:val="none" w:sz="0" w:space="0" w:color="auto"/>
        <w:left w:val="none" w:sz="0" w:space="0" w:color="auto"/>
        <w:bottom w:val="none" w:sz="0" w:space="0" w:color="auto"/>
        <w:right w:val="none" w:sz="0" w:space="0" w:color="auto"/>
      </w:divBdr>
    </w:div>
    <w:div w:id="21351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D280-6703-4F20-828A-279E0B49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2641</Words>
  <Characters>17141</Characters>
  <Application>Microsoft Office Word</Application>
  <DocSecurity>0</DocSecurity>
  <Lines>398</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Mehmet Fehmi Eken</cp:lastModifiedBy>
  <cp:revision>8</cp:revision>
  <cp:lastPrinted>2026-01-27T09:44:00Z</cp:lastPrinted>
  <dcterms:created xsi:type="dcterms:W3CDTF">2026-01-27T10:03:00Z</dcterms:created>
  <dcterms:modified xsi:type="dcterms:W3CDTF">2026-01-28T07:30:00Z</dcterms:modified>
</cp:coreProperties>
</file>