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4159" w14:textId="77777777" w:rsidR="00ED3261" w:rsidRPr="00F56A26" w:rsidRDefault="00ED3261" w:rsidP="00664946">
      <w:pPr>
        <w:pStyle w:val="Heading1a"/>
        <w:keepNext w:val="0"/>
        <w:keepLines w:val="0"/>
        <w:tabs>
          <w:tab w:val="clear" w:pos="-720"/>
        </w:tabs>
        <w:suppressAutoHyphens w:val="0"/>
        <w:rPr>
          <w:bCs/>
          <w:smallCaps w:val="0"/>
          <w:sz w:val="24"/>
          <w:szCs w:val="24"/>
        </w:rPr>
      </w:pPr>
      <w:r w:rsidRPr="00F56A26">
        <w:rPr>
          <w:bCs/>
          <w:smallCaps w:val="0"/>
          <w:sz w:val="24"/>
          <w:szCs w:val="24"/>
        </w:rPr>
        <w:t>GENERAL PROCUREMENT NOTICE</w:t>
      </w:r>
    </w:p>
    <w:p w14:paraId="4FEDC4DA" w14:textId="77777777" w:rsidR="00ED3261" w:rsidRPr="00F56A26" w:rsidRDefault="00ED3261" w:rsidP="00ED3261">
      <w:pPr>
        <w:suppressAutoHyphens/>
        <w:rPr>
          <w:rFonts w:ascii="Times New Roman" w:hAnsi="Times New Roman"/>
          <w:spacing w:val="-2"/>
          <w:sz w:val="12"/>
          <w:szCs w:val="12"/>
        </w:rPr>
      </w:pPr>
    </w:p>
    <w:p w14:paraId="6FA5D102" w14:textId="77777777" w:rsidR="0061557B" w:rsidRPr="00F56A26" w:rsidRDefault="0061557B" w:rsidP="0061557B">
      <w:pPr>
        <w:suppressAutoHyphens/>
        <w:rPr>
          <w:rFonts w:ascii="Times New Roman" w:hAnsi="Times New Roman"/>
          <w:spacing w:val="-2"/>
          <w:sz w:val="24"/>
          <w:szCs w:val="24"/>
        </w:rPr>
      </w:pPr>
      <w:r w:rsidRPr="00F56A26">
        <w:rPr>
          <w:rFonts w:ascii="Times New Roman" w:hAnsi="Times New Roman"/>
          <w:spacing w:val="-2"/>
          <w:sz w:val="24"/>
          <w:szCs w:val="24"/>
        </w:rPr>
        <w:t xml:space="preserve">AZERBAIJAN </w:t>
      </w:r>
    </w:p>
    <w:p w14:paraId="4750368F" w14:textId="77777777" w:rsidR="0061557B" w:rsidRPr="00F56A26" w:rsidRDefault="0061557B" w:rsidP="0061557B">
      <w:pPr>
        <w:pStyle w:val="Default"/>
        <w:rPr>
          <w:rFonts w:eastAsia="Times New Roman"/>
          <w:color w:val="auto"/>
          <w:spacing w:val="-2"/>
        </w:rPr>
      </w:pPr>
      <w:r w:rsidRPr="00F56A26">
        <w:rPr>
          <w:rFonts w:eastAsia="Times New Roman"/>
          <w:color w:val="auto"/>
          <w:spacing w:val="-2"/>
        </w:rPr>
        <w:t>“</w:t>
      </w:r>
      <w:r w:rsidR="00F56A26" w:rsidRPr="00F56A26">
        <w:rPr>
          <w:rFonts w:eastAsia="Times New Roman"/>
          <w:color w:val="auto"/>
          <w:spacing w:val="-2"/>
        </w:rPr>
        <w:t>Reconstruction of the Karabakh Irrigation Canal Project</w:t>
      </w:r>
      <w:r w:rsidRPr="00F56A26">
        <w:rPr>
          <w:rFonts w:eastAsia="Times New Roman"/>
          <w:color w:val="auto"/>
          <w:spacing w:val="-2"/>
        </w:rPr>
        <w:t>”</w:t>
      </w:r>
    </w:p>
    <w:p w14:paraId="6B49D71A" w14:textId="77777777" w:rsidR="00ED3261" w:rsidRPr="00F56A26" w:rsidRDefault="00ED3261" w:rsidP="0061557B">
      <w:pPr>
        <w:suppressAutoHyphens/>
        <w:rPr>
          <w:rFonts w:ascii="Times New Roman" w:hAnsi="Times New Roman"/>
          <w:spacing w:val="-2"/>
          <w:sz w:val="24"/>
          <w:szCs w:val="24"/>
        </w:rPr>
      </w:pPr>
      <w:r w:rsidRPr="00F56A26">
        <w:rPr>
          <w:rFonts w:ascii="Times New Roman" w:hAnsi="Times New Roman"/>
          <w:spacing w:val="-2"/>
          <w:sz w:val="24"/>
          <w:szCs w:val="24"/>
        </w:rPr>
        <w:t>GENERAL PROCUREMENT NOTICE</w:t>
      </w:r>
    </w:p>
    <w:p w14:paraId="0ACDE168" w14:textId="77777777" w:rsidR="00ED3261" w:rsidRPr="00F56A26" w:rsidRDefault="00ED3261" w:rsidP="00ED3261">
      <w:pPr>
        <w:pStyle w:val="BodyText"/>
        <w:rPr>
          <w:rFonts w:ascii="Times New Roman" w:hAnsi="Times New Roman"/>
          <w:szCs w:val="24"/>
        </w:rPr>
      </w:pPr>
      <w:r w:rsidRPr="00F56A26">
        <w:rPr>
          <w:rFonts w:ascii="Times New Roman" w:hAnsi="Times New Roman"/>
          <w:szCs w:val="24"/>
        </w:rPr>
        <w:t xml:space="preserve">Mode of Financing: </w:t>
      </w:r>
      <w:r w:rsidR="0087520B" w:rsidRPr="00C970F3">
        <w:rPr>
          <w:rFonts w:ascii="Times New Roman" w:hAnsi="Times New Roman"/>
          <w:iCs/>
          <w:szCs w:val="24"/>
        </w:rPr>
        <w:t xml:space="preserve">Installment Sale and IsDB </w:t>
      </w:r>
      <w:r w:rsidR="00120DDC" w:rsidRPr="00C970F3">
        <w:rPr>
          <w:rFonts w:ascii="Times New Roman" w:hAnsi="Times New Roman"/>
          <w:iCs/>
          <w:szCs w:val="24"/>
        </w:rPr>
        <w:t>Grant</w:t>
      </w:r>
    </w:p>
    <w:p w14:paraId="174D080F" w14:textId="77777777" w:rsidR="00ED3261" w:rsidRPr="00F56A26" w:rsidRDefault="00ED3261" w:rsidP="00ED3261">
      <w:pPr>
        <w:pStyle w:val="BodyText"/>
        <w:rPr>
          <w:rFonts w:ascii="Times New Roman" w:hAnsi="Times New Roman"/>
          <w:szCs w:val="24"/>
        </w:rPr>
      </w:pPr>
      <w:r w:rsidRPr="00F56A26">
        <w:rPr>
          <w:rFonts w:ascii="Times New Roman" w:hAnsi="Times New Roman"/>
          <w:szCs w:val="24"/>
        </w:rPr>
        <w:t xml:space="preserve">Financing No. </w:t>
      </w:r>
      <w:r w:rsidR="0061557B" w:rsidRPr="00F56A26">
        <w:rPr>
          <w:rFonts w:ascii="Times New Roman" w:hAnsi="Times New Roman"/>
          <w:iCs/>
          <w:szCs w:val="24"/>
        </w:rPr>
        <w:t>AZE 102</w:t>
      </w:r>
      <w:r w:rsidR="00F56A26" w:rsidRPr="00F56A26">
        <w:rPr>
          <w:rFonts w:ascii="Times New Roman" w:hAnsi="Times New Roman"/>
          <w:iCs/>
          <w:szCs w:val="24"/>
        </w:rPr>
        <w:t>8</w:t>
      </w:r>
    </w:p>
    <w:p w14:paraId="013AE08C" w14:textId="77777777" w:rsidR="0061557B" w:rsidRPr="00F56A26" w:rsidRDefault="0061557B" w:rsidP="0061557B">
      <w:pPr>
        <w:pStyle w:val="Default"/>
        <w:rPr>
          <w:rFonts w:eastAsia="Times New Roman"/>
          <w:color w:val="auto"/>
          <w:spacing w:val="-2"/>
        </w:rPr>
      </w:pPr>
    </w:p>
    <w:p w14:paraId="4AC51E12" w14:textId="48A80FD1" w:rsidR="00BC6CD0" w:rsidRPr="00F56A26" w:rsidRDefault="00BC6CD0" w:rsidP="002C3E16">
      <w:pPr>
        <w:pStyle w:val="Default"/>
        <w:jc w:val="both"/>
        <w:rPr>
          <w:rFonts w:eastAsia="Times New Roman"/>
          <w:color w:val="auto"/>
          <w:spacing w:val="-2"/>
        </w:rPr>
      </w:pPr>
      <w:r w:rsidRPr="00F56A26">
        <w:rPr>
          <w:rFonts w:eastAsia="Times New Roman"/>
          <w:color w:val="auto"/>
          <w:spacing w:val="-2"/>
        </w:rPr>
        <w:t xml:space="preserve">The IsDB is hereby providing </w:t>
      </w:r>
      <w:r w:rsidRPr="00462F01">
        <w:rPr>
          <w:rFonts w:eastAsia="Times New Roman"/>
          <w:color w:val="auto"/>
          <w:spacing w:val="-2"/>
        </w:rPr>
        <w:t xml:space="preserve">Installment Sale </w:t>
      </w:r>
      <w:r w:rsidR="00BE257A">
        <w:rPr>
          <w:rFonts w:eastAsia="Times New Roman"/>
          <w:color w:val="auto"/>
          <w:spacing w:val="-2"/>
        </w:rPr>
        <w:t xml:space="preserve">and grant </w:t>
      </w:r>
      <w:r w:rsidRPr="00462F01">
        <w:rPr>
          <w:rFonts w:eastAsia="Times New Roman"/>
          <w:color w:val="auto"/>
          <w:spacing w:val="-2"/>
        </w:rPr>
        <w:t>financing of US$</w:t>
      </w:r>
      <w:r w:rsidR="009A5986" w:rsidRPr="00462F01">
        <w:rPr>
          <w:rFonts w:eastAsia="Times New Roman"/>
          <w:color w:val="auto"/>
          <w:spacing w:val="-2"/>
        </w:rPr>
        <w:t>436.</w:t>
      </w:r>
      <w:r w:rsidR="00BE257A">
        <w:rPr>
          <w:rFonts w:eastAsia="Times New Roman"/>
          <w:color w:val="auto"/>
          <w:spacing w:val="-2"/>
        </w:rPr>
        <w:t>67</w:t>
      </w:r>
      <w:r w:rsidR="00BE257A" w:rsidRPr="00462F01">
        <w:rPr>
          <w:rFonts w:eastAsia="Times New Roman"/>
          <w:color w:val="auto"/>
          <w:spacing w:val="-2"/>
        </w:rPr>
        <w:t xml:space="preserve"> </w:t>
      </w:r>
      <w:r w:rsidRPr="00462F01">
        <w:rPr>
          <w:rFonts w:eastAsia="Times New Roman"/>
          <w:color w:val="auto"/>
          <w:spacing w:val="-2"/>
        </w:rPr>
        <w:t>million to cover part of the</w:t>
      </w:r>
      <w:r w:rsidRPr="00F56A26">
        <w:rPr>
          <w:rFonts w:eastAsia="Times New Roman"/>
          <w:color w:val="auto"/>
          <w:spacing w:val="-2"/>
        </w:rPr>
        <w:t xml:space="preserve"> financing costs of the “</w:t>
      </w:r>
      <w:r w:rsidR="00F56A26" w:rsidRPr="00F56A26">
        <w:rPr>
          <w:rFonts w:eastAsia="Times New Roman"/>
          <w:color w:val="auto"/>
          <w:spacing w:val="-2"/>
        </w:rPr>
        <w:t>Reconstruction of the Karabakh Irrigation Canal Project</w:t>
      </w:r>
      <w:r w:rsidRPr="00F56A26">
        <w:rPr>
          <w:rFonts w:eastAsia="Times New Roman"/>
          <w:color w:val="auto"/>
          <w:spacing w:val="-2"/>
        </w:rPr>
        <w:t xml:space="preserve">”. </w:t>
      </w:r>
    </w:p>
    <w:p w14:paraId="071F6FC3" w14:textId="77777777" w:rsidR="00ED3261" w:rsidRPr="00F56A26" w:rsidRDefault="00ED3261" w:rsidP="002C3E16">
      <w:pPr>
        <w:suppressAutoHyphens/>
        <w:jc w:val="both"/>
        <w:rPr>
          <w:rFonts w:ascii="Times New Roman" w:hAnsi="Times New Roman"/>
          <w:spacing w:val="-2"/>
          <w:sz w:val="24"/>
          <w:szCs w:val="24"/>
        </w:rPr>
      </w:pPr>
    </w:p>
    <w:p w14:paraId="5C0F34E6" w14:textId="77777777" w:rsidR="00960E16" w:rsidRPr="00F56A26" w:rsidRDefault="00960E16" w:rsidP="002C3E16">
      <w:pPr>
        <w:suppressAutoHyphens/>
        <w:jc w:val="both"/>
        <w:rPr>
          <w:rFonts w:ascii="Times New Roman" w:hAnsi="Times New Roman"/>
          <w:spacing w:val="-2"/>
          <w:sz w:val="24"/>
          <w:szCs w:val="24"/>
        </w:rPr>
      </w:pPr>
      <w:r w:rsidRPr="00F56A26">
        <w:rPr>
          <w:rFonts w:ascii="Times New Roman" w:hAnsi="Times New Roman"/>
          <w:spacing w:val="-2"/>
          <w:sz w:val="24"/>
          <w:szCs w:val="24"/>
        </w:rPr>
        <w:t>The project will include the following components.</w:t>
      </w:r>
    </w:p>
    <w:p w14:paraId="4E6D4A13" w14:textId="77777777" w:rsidR="00960E16" w:rsidRPr="00F56A26" w:rsidRDefault="00960E16" w:rsidP="002C3E16">
      <w:pPr>
        <w:suppressAutoHyphens/>
        <w:jc w:val="both"/>
        <w:rPr>
          <w:rFonts w:ascii="Times New Roman" w:hAnsi="Times New Roman"/>
          <w:spacing w:val="-2"/>
          <w:sz w:val="24"/>
          <w:szCs w:val="24"/>
        </w:rPr>
      </w:pPr>
    </w:p>
    <w:p w14:paraId="51BF91AB" w14:textId="77777777" w:rsidR="00F56A26" w:rsidRPr="00F56A26" w:rsidRDefault="00F56A26" w:rsidP="00F56A26">
      <w:pPr>
        <w:spacing w:after="200" w:line="276" w:lineRule="auto"/>
        <w:jc w:val="both"/>
        <w:rPr>
          <w:rFonts w:ascii="Times New Roman" w:eastAsia="Roboto Light" w:hAnsi="Times New Roman"/>
          <w:b/>
          <w:bCs/>
          <w:color w:val="000000" w:themeColor="text1"/>
          <w:sz w:val="24"/>
          <w:szCs w:val="24"/>
        </w:rPr>
      </w:pPr>
      <w:r w:rsidRPr="00F56A26">
        <w:rPr>
          <w:rFonts w:ascii="Times New Roman" w:eastAsia="Roboto Light" w:hAnsi="Times New Roman"/>
          <w:b/>
          <w:bCs/>
          <w:color w:val="000000" w:themeColor="text1"/>
          <w:sz w:val="24"/>
          <w:szCs w:val="24"/>
        </w:rPr>
        <w:t>Component 1 - Civil Works:</w:t>
      </w:r>
    </w:p>
    <w:p w14:paraId="3D443400" w14:textId="10D0C6CB" w:rsidR="00F56A26" w:rsidRPr="00F56A26" w:rsidRDefault="00F56A26" w:rsidP="00F56A26">
      <w:pPr>
        <w:spacing w:after="200" w:line="276" w:lineRule="auto"/>
        <w:jc w:val="both"/>
        <w:rPr>
          <w:rFonts w:ascii="Times New Roman" w:eastAsia="Roboto Light" w:hAnsi="Times New Roman"/>
          <w:b/>
          <w:bCs/>
          <w:color w:val="000000" w:themeColor="text1"/>
          <w:sz w:val="24"/>
          <w:szCs w:val="24"/>
        </w:rPr>
      </w:pPr>
      <w:r w:rsidRPr="00F56A26">
        <w:rPr>
          <w:rFonts w:ascii="Times New Roman" w:eastAsia="Roboto Light" w:hAnsi="Times New Roman"/>
          <w:b/>
          <w:bCs/>
          <w:color w:val="000000" w:themeColor="text1"/>
          <w:sz w:val="24"/>
          <w:szCs w:val="24"/>
        </w:rPr>
        <w:t>1.1 Main Canal Works and Associated Structures:</w:t>
      </w:r>
      <w:r w:rsidRPr="00F56A26">
        <w:rPr>
          <w:rFonts w:ascii="Times New Roman" w:eastAsia="Roboto Light" w:hAnsi="Times New Roman"/>
          <w:color w:val="000000" w:themeColor="text1"/>
          <w:sz w:val="24"/>
          <w:szCs w:val="24"/>
        </w:rPr>
        <w:t xml:space="preserve"> This sub-component will rehabilitate and climate-proof the Karabakh Main Irrigation Canal through the reconstruction and lining of approximately 168 km canal, restoration/replacement of associated hydraulic structures, and targeted protection works to </w:t>
      </w:r>
      <w:r w:rsidRPr="00F56A26">
        <w:rPr>
          <w:rFonts w:ascii="Times New Roman" w:hAnsi="Times New Roman"/>
          <w:sz w:val="24"/>
          <w:szCs w:val="24"/>
        </w:rPr>
        <w:t>reduce</w:t>
      </w:r>
      <w:r w:rsidRPr="00F56A26">
        <w:rPr>
          <w:rFonts w:ascii="Times New Roman" w:eastAsia="Roboto Light" w:hAnsi="Times New Roman"/>
          <w:color w:val="000000" w:themeColor="text1"/>
          <w:sz w:val="24"/>
          <w:szCs w:val="24"/>
        </w:rPr>
        <w:t xml:space="preserve"> seepage and evaporation losses and restore reliable delivery to downstream command areas. The main canal works will be sequenced into four contiguous sections sized to their design discharges: </w:t>
      </w:r>
    </w:p>
    <w:p w14:paraId="7C8BA688" w14:textId="1EF5D47A" w:rsidR="00F56A26" w:rsidRPr="00F56A26" w:rsidRDefault="00F56A26" w:rsidP="00F56A26">
      <w:pPr>
        <w:pStyle w:val="ListParagraph"/>
        <w:numPr>
          <w:ilvl w:val="2"/>
          <w:numId w:val="11"/>
        </w:numPr>
        <w:autoSpaceDE w:val="0"/>
        <w:autoSpaceDN w:val="0"/>
        <w:adjustRightInd w:val="0"/>
        <w:spacing w:after="128" w:line="276" w:lineRule="auto"/>
        <w:ind w:left="108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Section-1: km 0+000–27+000 at 135 m³/s</w:t>
      </w:r>
      <w:r w:rsidRPr="00646D2C">
        <w:rPr>
          <w:rFonts w:ascii="Times New Roman" w:eastAsia="Roboto Light" w:hAnsi="Times New Roman"/>
          <w:color w:val="000000" w:themeColor="text1"/>
          <w:sz w:val="24"/>
          <w:szCs w:val="24"/>
        </w:rPr>
        <w:t>;</w:t>
      </w:r>
      <w:r w:rsidR="00646D2C" w:rsidRPr="00646D2C">
        <w:rPr>
          <w:rFonts w:ascii="Times New Roman" w:eastAsia="Roboto Light" w:hAnsi="Times New Roman"/>
          <w:color w:val="000000" w:themeColor="text1"/>
          <w:sz w:val="24"/>
          <w:szCs w:val="24"/>
        </w:rPr>
        <w:t xml:space="preserve"> (Rectangular Channel)</w:t>
      </w:r>
      <w:r w:rsidRPr="00646D2C">
        <w:rPr>
          <w:rFonts w:ascii="Times New Roman" w:eastAsia="Roboto Light" w:hAnsi="Times New Roman"/>
          <w:color w:val="000000" w:themeColor="text1"/>
          <w:sz w:val="24"/>
          <w:szCs w:val="24"/>
          <w:u w:val="single"/>
        </w:rPr>
        <w:t xml:space="preserve"> </w:t>
      </w:r>
    </w:p>
    <w:p w14:paraId="1480BB00" w14:textId="212F09ED" w:rsidR="00F56A26" w:rsidRPr="00F56A26" w:rsidRDefault="00F56A26" w:rsidP="00F56A26">
      <w:pPr>
        <w:pStyle w:val="ListParagraph"/>
        <w:numPr>
          <w:ilvl w:val="2"/>
          <w:numId w:val="11"/>
        </w:numPr>
        <w:autoSpaceDE w:val="0"/>
        <w:autoSpaceDN w:val="0"/>
        <w:adjustRightInd w:val="0"/>
        <w:spacing w:after="128" w:line="276" w:lineRule="auto"/>
        <w:ind w:left="108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Section-2: km 27+000–67+000 at 117 m³/s;</w:t>
      </w:r>
      <w:r w:rsidR="00646D2C">
        <w:rPr>
          <w:rFonts w:ascii="Times New Roman" w:eastAsia="Roboto Light" w:hAnsi="Times New Roman"/>
          <w:color w:val="000000" w:themeColor="text1"/>
          <w:sz w:val="24"/>
          <w:szCs w:val="24"/>
        </w:rPr>
        <w:t>(</w:t>
      </w:r>
      <w:proofErr w:type="spellStart"/>
      <w:r w:rsidR="00646D2C">
        <w:rPr>
          <w:rFonts w:ascii="Times New Roman" w:eastAsia="Roboto Light" w:hAnsi="Times New Roman"/>
          <w:color w:val="000000" w:themeColor="text1"/>
          <w:sz w:val="24"/>
          <w:szCs w:val="24"/>
        </w:rPr>
        <w:t>Trapezodial</w:t>
      </w:r>
      <w:proofErr w:type="spellEnd"/>
      <w:r w:rsidR="00646D2C">
        <w:rPr>
          <w:rFonts w:ascii="Times New Roman" w:eastAsia="Roboto Light" w:hAnsi="Times New Roman"/>
          <w:color w:val="000000" w:themeColor="text1"/>
          <w:sz w:val="24"/>
          <w:szCs w:val="24"/>
        </w:rPr>
        <w:t xml:space="preserve"> Channel)</w:t>
      </w:r>
      <w:r w:rsidRPr="00F56A26">
        <w:rPr>
          <w:rFonts w:ascii="Times New Roman" w:eastAsia="Roboto Light" w:hAnsi="Times New Roman"/>
          <w:color w:val="000000" w:themeColor="text1"/>
          <w:sz w:val="24"/>
          <w:szCs w:val="24"/>
        </w:rPr>
        <w:t xml:space="preserve"> </w:t>
      </w:r>
    </w:p>
    <w:p w14:paraId="2992B1C3" w14:textId="39E1212E" w:rsidR="00F56A26" w:rsidRPr="00F56A26" w:rsidRDefault="00F56A26" w:rsidP="00F56A26">
      <w:pPr>
        <w:pStyle w:val="ListParagraph"/>
        <w:numPr>
          <w:ilvl w:val="2"/>
          <w:numId w:val="11"/>
        </w:numPr>
        <w:autoSpaceDE w:val="0"/>
        <w:autoSpaceDN w:val="0"/>
        <w:adjustRightInd w:val="0"/>
        <w:spacing w:after="128" w:line="276" w:lineRule="auto"/>
        <w:ind w:left="108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Section-3: km 67+000–106+000 at 92 m³/s;</w:t>
      </w:r>
      <w:r w:rsidR="00646D2C">
        <w:rPr>
          <w:rFonts w:ascii="Times New Roman" w:eastAsia="Roboto Light" w:hAnsi="Times New Roman"/>
          <w:color w:val="000000" w:themeColor="text1"/>
          <w:sz w:val="24"/>
          <w:szCs w:val="24"/>
        </w:rPr>
        <w:t>(</w:t>
      </w:r>
      <w:proofErr w:type="spellStart"/>
      <w:r w:rsidR="00646D2C">
        <w:rPr>
          <w:rFonts w:ascii="Times New Roman" w:eastAsia="Roboto Light" w:hAnsi="Times New Roman"/>
          <w:color w:val="000000" w:themeColor="text1"/>
          <w:sz w:val="24"/>
          <w:szCs w:val="24"/>
        </w:rPr>
        <w:t>Trapezodial</w:t>
      </w:r>
      <w:proofErr w:type="spellEnd"/>
      <w:r w:rsidR="00646D2C">
        <w:rPr>
          <w:rFonts w:ascii="Times New Roman" w:eastAsia="Roboto Light" w:hAnsi="Times New Roman"/>
          <w:color w:val="000000" w:themeColor="text1"/>
          <w:sz w:val="24"/>
          <w:szCs w:val="24"/>
        </w:rPr>
        <w:t xml:space="preserve"> Channel)</w:t>
      </w:r>
      <w:r w:rsidRPr="00F56A26">
        <w:rPr>
          <w:rFonts w:ascii="Times New Roman" w:eastAsia="Roboto Light" w:hAnsi="Times New Roman"/>
          <w:color w:val="000000" w:themeColor="text1"/>
          <w:sz w:val="24"/>
          <w:szCs w:val="24"/>
        </w:rPr>
        <w:t xml:space="preserve"> </w:t>
      </w:r>
    </w:p>
    <w:p w14:paraId="7BBA599B" w14:textId="77768613" w:rsidR="00F56A26" w:rsidRPr="00F56A26" w:rsidRDefault="00F56A26" w:rsidP="00F56A26">
      <w:pPr>
        <w:pStyle w:val="ListParagraph"/>
        <w:numPr>
          <w:ilvl w:val="2"/>
          <w:numId w:val="11"/>
        </w:numPr>
        <w:autoSpaceDE w:val="0"/>
        <w:autoSpaceDN w:val="0"/>
        <w:adjustRightInd w:val="0"/>
        <w:spacing w:after="128" w:line="276" w:lineRule="auto"/>
        <w:ind w:left="108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Section-4: km 106+000–168+000 at 62 m³/s</w:t>
      </w:r>
      <w:r w:rsidR="005801B7">
        <w:rPr>
          <w:rFonts w:ascii="Times New Roman" w:eastAsia="Roboto Light" w:hAnsi="Times New Roman"/>
          <w:color w:val="000000" w:themeColor="text1"/>
          <w:sz w:val="24"/>
          <w:szCs w:val="24"/>
        </w:rPr>
        <w:t xml:space="preserve"> </w:t>
      </w:r>
      <w:r w:rsidR="00646D2C">
        <w:rPr>
          <w:rFonts w:ascii="Times New Roman" w:eastAsia="Roboto Light" w:hAnsi="Times New Roman"/>
          <w:color w:val="000000" w:themeColor="text1"/>
          <w:sz w:val="24"/>
          <w:szCs w:val="24"/>
        </w:rPr>
        <w:t>(</w:t>
      </w:r>
      <w:proofErr w:type="spellStart"/>
      <w:r w:rsidR="00646D2C">
        <w:rPr>
          <w:rFonts w:ascii="Times New Roman" w:eastAsia="Roboto Light" w:hAnsi="Times New Roman"/>
          <w:color w:val="000000" w:themeColor="text1"/>
          <w:sz w:val="24"/>
          <w:szCs w:val="24"/>
        </w:rPr>
        <w:t>Trapezodial</w:t>
      </w:r>
      <w:proofErr w:type="spellEnd"/>
      <w:r w:rsidR="00646D2C">
        <w:rPr>
          <w:rFonts w:ascii="Times New Roman" w:eastAsia="Roboto Light" w:hAnsi="Times New Roman"/>
          <w:color w:val="000000" w:themeColor="text1"/>
          <w:sz w:val="24"/>
          <w:szCs w:val="24"/>
        </w:rPr>
        <w:t xml:space="preserve"> Channel)</w:t>
      </w:r>
      <w:r w:rsidRPr="00F56A26">
        <w:rPr>
          <w:rFonts w:ascii="Times New Roman" w:eastAsia="Roboto Light" w:hAnsi="Times New Roman"/>
          <w:color w:val="000000" w:themeColor="text1"/>
          <w:sz w:val="24"/>
          <w:szCs w:val="24"/>
        </w:rPr>
        <w:t xml:space="preserve">. </w:t>
      </w:r>
    </w:p>
    <w:p w14:paraId="370C925C" w14:textId="77777777" w:rsidR="00F56A26" w:rsidRPr="00F56A26" w:rsidRDefault="00F56A26" w:rsidP="00F56A26">
      <w:pPr>
        <w:pStyle w:val="ListParagraph"/>
        <w:autoSpaceDE w:val="0"/>
        <w:autoSpaceDN w:val="0"/>
        <w:adjustRightInd w:val="0"/>
        <w:spacing w:after="128"/>
        <w:ind w:left="1080"/>
        <w:jc w:val="both"/>
        <w:rPr>
          <w:rFonts w:ascii="Times New Roman" w:eastAsia="Roboto Light" w:hAnsi="Times New Roman"/>
          <w:color w:val="000000" w:themeColor="text1"/>
          <w:sz w:val="24"/>
          <w:szCs w:val="24"/>
        </w:rPr>
      </w:pPr>
    </w:p>
    <w:p w14:paraId="7857A16B"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 xml:space="preserve">Activities include earthworks, canal reshaping, concrete/approved impermeabilization, reconstruction of checks/gates, </w:t>
      </w:r>
      <w:r w:rsidRPr="00F56A26">
        <w:rPr>
          <w:rFonts w:ascii="Times New Roman" w:hAnsi="Times New Roman"/>
          <w:sz w:val="24"/>
          <w:szCs w:val="24"/>
        </w:rPr>
        <w:t>siphons</w:t>
      </w:r>
      <w:r w:rsidRPr="00F56A26">
        <w:rPr>
          <w:rFonts w:ascii="Times New Roman" w:eastAsia="Roboto Light" w:hAnsi="Times New Roman"/>
          <w:color w:val="000000" w:themeColor="text1"/>
          <w:sz w:val="24"/>
          <w:szCs w:val="24"/>
        </w:rPr>
        <w:t>, culverts, aqueducts, cross-drainage and road/rail crossings, measurement structures, bank protection and erosion control, service access, and site-specific environmental and safety measures.</w:t>
      </w:r>
    </w:p>
    <w:p w14:paraId="54D88972"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121DB2C2" w14:textId="34670282"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The canal crosses about 30 streams and depressions of various sizes. Siphons will be provided for river crossings, while flood conveyance structures are planned for streams and depressions. To regulate water distribution, the canal will be equipped with intake and level raising structures with flow measurement devices. Spill structures are designed for river crossings. Bridges will be provided where the canal crosses roads, and overpasses are planned where it intersects existing irrigation ditches. These associated structures will be covered under this component.</w:t>
      </w:r>
    </w:p>
    <w:p w14:paraId="185F75E0"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2139CB19" w14:textId="741E848A"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b/>
          <w:bCs/>
          <w:color w:val="000000" w:themeColor="text1"/>
          <w:sz w:val="24"/>
          <w:szCs w:val="24"/>
        </w:rPr>
        <w:t>1.2 Pump Stations:</w:t>
      </w:r>
      <w:r w:rsidRPr="00F56A26">
        <w:rPr>
          <w:rFonts w:ascii="Times New Roman" w:eastAsia="Roboto Light" w:hAnsi="Times New Roman"/>
          <w:color w:val="000000" w:themeColor="text1"/>
          <w:sz w:val="24"/>
          <w:szCs w:val="24"/>
        </w:rPr>
        <w:t xml:space="preserve"> This sub-component will finance the design, supply, construction and rehabilitation of </w:t>
      </w:r>
      <w:r w:rsidR="00462F01">
        <w:rPr>
          <w:rFonts w:ascii="Times New Roman" w:eastAsia="Roboto Light" w:hAnsi="Times New Roman"/>
          <w:color w:val="000000" w:themeColor="text1"/>
          <w:sz w:val="24"/>
          <w:szCs w:val="24"/>
        </w:rPr>
        <w:t>1</w:t>
      </w:r>
      <w:r w:rsidRPr="00F56A26">
        <w:rPr>
          <w:rFonts w:ascii="Times New Roman" w:eastAsia="Roboto Light" w:hAnsi="Times New Roman"/>
          <w:color w:val="000000" w:themeColor="text1"/>
          <w:sz w:val="24"/>
          <w:szCs w:val="24"/>
        </w:rPr>
        <w:t>4 pump stations required to serve areas where gravity delivery is not feasible, stabilize service pressures, and provide operational redundancy at critical off-takes. It includes intake/outlet works, pumps with variable-frequency drives, motors and control gear, surge and pressure control, civil structures (foundations/buildings), power supply interfaces and, where justified, backup generation, discharge manifolds and connections to laterals, together with instrumentation and telemetry for integration into the SCADA platform. The stations will be designed for high energy efficiency and maintainability, improving equity of water distribution and reducing service interruptions during peak demand.</w:t>
      </w:r>
    </w:p>
    <w:p w14:paraId="413144D1"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1A29CB63" w14:textId="77777777" w:rsidR="0061557B" w:rsidRPr="00F56A26" w:rsidRDefault="0061557B" w:rsidP="002C3E16">
      <w:pPr>
        <w:suppressAutoHyphens/>
        <w:jc w:val="both"/>
        <w:rPr>
          <w:rFonts w:ascii="Times New Roman" w:hAnsi="Times New Roman"/>
          <w:sz w:val="24"/>
          <w:szCs w:val="24"/>
        </w:rPr>
      </w:pPr>
    </w:p>
    <w:p w14:paraId="506C570D" w14:textId="77777777" w:rsidR="00F56A26" w:rsidRPr="00F56A26" w:rsidRDefault="00F56A26" w:rsidP="00F56A26">
      <w:pPr>
        <w:spacing w:after="200" w:line="276" w:lineRule="auto"/>
        <w:jc w:val="both"/>
        <w:rPr>
          <w:rFonts w:ascii="Times New Roman" w:eastAsia="Roboto Light" w:hAnsi="Times New Roman"/>
          <w:color w:val="000000" w:themeColor="text1"/>
          <w:sz w:val="24"/>
          <w:szCs w:val="24"/>
        </w:rPr>
      </w:pPr>
      <w:r w:rsidRPr="00F56A26">
        <w:rPr>
          <w:rFonts w:ascii="Times New Roman" w:eastAsia="Roboto Light" w:hAnsi="Times New Roman"/>
          <w:b/>
          <w:bCs/>
          <w:color w:val="000000" w:themeColor="text1"/>
          <w:sz w:val="24"/>
          <w:szCs w:val="24"/>
        </w:rPr>
        <w:t>Component 2 - Integrated Smart Water Management System (SCADA &amp; EO):</w:t>
      </w:r>
      <w:r w:rsidRPr="00F56A26">
        <w:rPr>
          <w:rFonts w:ascii="Times New Roman" w:eastAsia="Roboto Light" w:hAnsi="Times New Roman"/>
          <w:color w:val="000000" w:themeColor="text1"/>
          <w:sz w:val="24"/>
          <w:szCs w:val="24"/>
        </w:rPr>
        <w:t xml:space="preserve"> </w:t>
      </w:r>
    </w:p>
    <w:p w14:paraId="67546F81" w14:textId="77777777" w:rsidR="00F56A26" w:rsidRPr="00F56A26" w:rsidRDefault="00F56A26" w:rsidP="00F56A26">
      <w:pPr>
        <w:spacing w:after="200" w:line="276" w:lineRule="auto"/>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This component strengthens ASWRA’s capacity to operate the Karabakh Main Canal efficiently and in a climate-resilient and socially inclusive manner by integrating real-time Smart Monitoring and Control System (SCADA) automation with Earth Observation (EO), geospatial analytics, and a shared Spatial Data Infrastructure (SDI). Together, these systems form a Digital Water Intelligence Platform that enables ASWRA to manage water proactively, improve service reliability, reduce operational losses, and enhance climate resilience and agricultural productivity across the 166,034-hectare command area. By combining precise hydraulic control (SCADA) with field-level crop and water-use monitoring (EO/SDI), the component delivers a modern, data-driven water management system that improves efficiency, equitable distribution, and long-term irrigation performance in the Karabakh canal system.</w:t>
      </w:r>
    </w:p>
    <w:p w14:paraId="2D468347"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0527055A"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hAnsi="Times New Roman"/>
          <w:b/>
          <w:bCs/>
          <w:sz w:val="24"/>
          <w:szCs w:val="24"/>
        </w:rPr>
        <w:t>Sub-Component</w:t>
      </w:r>
      <w:r w:rsidRPr="00F56A26">
        <w:rPr>
          <w:rFonts w:ascii="Times New Roman" w:eastAsia="Roboto Light" w:hAnsi="Times New Roman"/>
          <w:b/>
          <w:bCs/>
          <w:color w:val="000000" w:themeColor="text1"/>
          <w:sz w:val="24"/>
          <w:szCs w:val="24"/>
        </w:rPr>
        <w:t xml:space="preserve"> 2.1. - Smart Monitoring and Control System (SCADA):</w:t>
      </w:r>
      <w:r w:rsidRPr="00F56A26">
        <w:rPr>
          <w:rFonts w:ascii="Times New Roman" w:eastAsia="Roboto Light" w:hAnsi="Times New Roman"/>
          <w:color w:val="000000" w:themeColor="text1"/>
          <w:sz w:val="24"/>
          <w:szCs w:val="24"/>
        </w:rPr>
        <w:t xml:space="preserve"> This sub-component installs a modern SCADA system to automate and monitor the canal in real time. It includes flow, water-level, pressure, gate-position sensors, remote terminal units, telemetry, and a centralized control room for data visualization and decision-making. A total of 119 outlet structures, 3 siphons, </w:t>
      </w:r>
      <w:r w:rsidR="00D00F6F" w:rsidRPr="0029543A">
        <w:rPr>
          <w:rFonts w:ascii="Times New Roman" w:eastAsia="Roboto Light" w:hAnsi="Times New Roman"/>
          <w:color w:val="000000" w:themeColor="text1"/>
          <w:sz w:val="24"/>
          <w:szCs w:val="24"/>
        </w:rPr>
        <w:t>construction and rehabilitation of 14 pump stations</w:t>
      </w:r>
      <w:r w:rsidR="00D00F6F" w:rsidRPr="00F56A26">
        <w:rPr>
          <w:rFonts w:ascii="Times New Roman" w:eastAsia="Roboto Light" w:hAnsi="Times New Roman"/>
          <w:color w:val="000000" w:themeColor="text1"/>
          <w:sz w:val="24"/>
          <w:szCs w:val="24"/>
        </w:rPr>
        <w:t xml:space="preserve"> </w:t>
      </w:r>
      <w:r w:rsidRPr="00F56A26">
        <w:rPr>
          <w:rFonts w:ascii="Times New Roman" w:eastAsia="Roboto Light" w:hAnsi="Times New Roman"/>
          <w:color w:val="000000" w:themeColor="text1"/>
          <w:sz w:val="24"/>
          <w:szCs w:val="24"/>
        </w:rPr>
        <w:t>and key hydraulic structures will be equipped with remote-controlled actuators, motorized sluice gates, and monitoring instrumentation. Additional sensors will be installed at siphons, aqueducts, and river crossings to detect flooding, blockages, or structural issues early. SCADA will enable ASWRA to regulate water delivery more precisely, support demand-based releases, optimize pumping operations, and respond quickly to droughts, floods, or operational incidents.</w:t>
      </w:r>
    </w:p>
    <w:p w14:paraId="4504F6E8" w14:textId="77777777" w:rsidR="00F56A26" w:rsidRPr="00F56A26" w:rsidRDefault="00F56A26" w:rsidP="00F56A26">
      <w:pPr>
        <w:pStyle w:val="ListParagraph"/>
        <w:rPr>
          <w:rFonts w:ascii="Times New Roman" w:eastAsia="Roboto Light" w:hAnsi="Times New Roman"/>
          <w:color w:val="000000" w:themeColor="text1"/>
          <w:sz w:val="24"/>
          <w:szCs w:val="24"/>
        </w:rPr>
      </w:pPr>
    </w:p>
    <w:p w14:paraId="6A80F85F" w14:textId="580EDD5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hAnsi="Times New Roman"/>
          <w:b/>
          <w:bCs/>
          <w:sz w:val="24"/>
          <w:szCs w:val="24"/>
        </w:rPr>
        <w:t>Sub-Component</w:t>
      </w:r>
      <w:r w:rsidRPr="00F56A26">
        <w:rPr>
          <w:rFonts w:ascii="Times New Roman" w:eastAsia="Roboto Light" w:hAnsi="Times New Roman"/>
          <w:b/>
          <w:bCs/>
          <w:color w:val="000000" w:themeColor="text1"/>
          <w:sz w:val="24"/>
          <w:szCs w:val="24"/>
        </w:rPr>
        <w:t xml:space="preserve"> 2.2. - Integration of Earth Observation (EO) and Geospatial Technologies for Water Resource Management (Grant):</w:t>
      </w:r>
      <w:r w:rsidRPr="00F56A26">
        <w:rPr>
          <w:rFonts w:ascii="Times New Roman" w:eastAsia="Roboto Light" w:hAnsi="Times New Roman"/>
          <w:color w:val="000000" w:themeColor="text1"/>
          <w:sz w:val="24"/>
          <w:szCs w:val="24"/>
        </w:rPr>
        <w:t xml:space="preserve"> This sub-component establishes an EO-enabled SDI within ASWRA to complement SCADA by providing continuous field-level intelligence on how water is used across the irrigation command area. EO indicators, including evapotranspiration (</w:t>
      </w:r>
      <w:proofErr w:type="spellStart"/>
      <w:r w:rsidRPr="00F56A26">
        <w:rPr>
          <w:rFonts w:ascii="Times New Roman" w:eastAsia="Roboto Light" w:hAnsi="Times New Roman"/>
          <w:color w:val="000000" w:themeColor="text1"/>
          <w:sz w:val="24"/>
          <w:szCs w:val="24"/>
        </w:rPr>
        <w:t>ETa</w:t>
      </w:r>
      <w:proofErr w:type="spellEnd"/>
      <w:r w:rsidRPr="00F56A26">
        <w:rPr>
          <w:rFonts w:ascii="Times New Roman" w:eastAsia="Roboto Light" w:hAnsi="Times New Roman"/>
          <w:color w:val="000000" w:themeColor="text1"/>
          <w:sz w:val="24"/>
          <w:szCs w:val="24"/>
        </w:rPr>
        <w:t xml:space="preserve">), NDVI-based crop </w:t>
      </w:r>
      <w:proofErr w:type="spellStart"/>
      <w:r w:rsidRPr="00F56A26">
        <w:rPr>
          <w:rFonts w:ascii="Times New Roman" w:eastAsia="Roboto Light" w:hAnsi="Times New Roman"/>
          <w:color w:val="000000" w:themeColor="text1"/>
          <w:sz w:val="24"/>
          <w:szCs w:val="24"/>
        </w:rPr>
        <w:t>vigour</w:t>
      </w:r>
      <w:proofErr w:type="spellEnd"/>
      <w:r w:rsidRPr="00F56A26">
        <w:rPr>
          <w:rFonts w:ascii="Times New Roman" w:eastAsia="Roboto Light" w:hAnsi="Times New Roman"/>
          <w:color w:val="000000" w:themeColor="text1"/>
          <w:sz w:val="24"/>
          <w:szCs w:val="24"/>
        </w:rPr>
        <w:t xml:space="preserve">, soil moisture, irrigated area mapping, and drought indices, will be integrated with SCADA hydraulic data, weather information from the Hydrometeorology Agency, and agricultural data from the Ministry of Agriculture. The SDI will provide a unified digital platform for irrigation performance assessment, water accounting, crop monitoring, and climate risk analysis. </w:t>
      </w:r>
    </w:p>
    <w:p w14:paraId="70C54966"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5B9DB5AE"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 xml:space="preserve">To ensure effective use, the project will deliver structured training programs and hands-on mentoring for ASWRA and partner institutions. Applied EO analyses will cover irrigation performance, canal rehabilitation impacts, drought and salinity diagnostics, irrigated area verification, and crop water productivity with User-friendly decision-support dashboards, automated performance reporting tools, for water managers, ASWRA and partners agencies. </w:t>
      </w:r>
    </w:p>
    <w:p w14:paraId="4C4FB624"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290B6C6E"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For farmers, the Project will pilot climate-smart advisory services delivered via mobile applications and SMS—providing irrigation scheduling recommendations, crop stress alerts, and agronomic guidance based on near-real-time EO and weather data.</w:t>
      </w:r>
    </w:p>
    <w:p w14:paraId="364B7A46"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089E9FC2"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lastRenderedPageBreak/>
        <w:t>A sustainability strategy, including institutionalization of EO workflows, partnerships with universities and private providers, and a national EO/Geospatial Hackathon will help maintain and scale the system beyond the project period. User-friendly tools and farmer advisory services (via mobile apps and SMS) that translate EO information into actionable guidance for farmers.</w:t>
      </w:r>
    </w:p>
    <w:p w14:paraId="48637E2A"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2BEBDCF0"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r w:rsidRPr="00F56A26">
        <w:rPr>
          <w:rFonts w:ascii="Times New Roman" w:eastAsia="Roboto Light" w:hAnsi="Times New Roman"/>
          <w:color w:val="000000" w:themeColor="text1"/>
          <w:sz w:val="24"/>
          <w:szCs w:val="24"/>
        </w:rPr>
        <w:t>To strengthen national innovation, the project will organize a national EO/Geospatial Hackathon, encouraging start-ups, students, and the tech community to develop new digital tools using the SDI’s open data, thereby supporting Azerbaijan’s digital transformation and climate resilience agenda.</w:t>
      </w:r>
    </w:p>
    <w:p w14:paraId="1287A833" w14:textId="77777777" w:rsidR="00A6559D" w:rsidRPr="00F56A26" w:rsidRDefault="00A6559D" w:rsidP="002C3E16">
      <w:pPr>
        <w:pStyle w:val="Default"/>
        <w:jc w:val="both"/>
        <w:rPr>
          <w:color w:val="auto"/>
        </w:rPr>
      </w:pPr>
    </w:p>
    <w:p w14:paraId="794C6B2A" w14:textId="77777777" w:rsidR="00F56A26" w:rsidRPr="00F56A26" w:rsidRDefault="00F56A26" w:rsidP="00F56A26">
      <w:pPr>
        <w:jc w:val="both"/>
        <w:rPr>
          <w:rFonts w:ascii="Times New Roman" w:eastAsia="Roboto Light" w:hAnsi="Times New Roman"/>
          <w:b/>
          <w:bCs/>
          <w:color w:val="000000" w:themeColor="text1"/>
          <w:sz w:val="24"/>
          <w:szCs w:val="24"/>
        </w:rPr>
      </w:pPr>
      <w:r w:rsidRPr="00F56A26">
        <w:rPr>
          <w:rFonts w:ascii="Times New Roman" w:eastAsia="Roboto Light" w:hAnsi="Times New Roman"/>
          <w:b/>
          <w:bCs/>
          <w:color w:val="000000" w:themeColor="text1"/>
          <w:sz w:val="24"/>
          <w:szCs w:val="24"/>
        </w:rPr>
        <w:t xml:space="preserve">Component 3 - Procurement of O&amp;M Equipment: </w:t>
      </w:r>
      <w:r w:rsidRPr="00F56A26">
        <w:rPr>
          <w:rFonts w:ascii="Times New Roman" w:eastAsia="Roboto Light" w:hAnsi="Times New Roman"/>
          <w:color w:val="000000" w:themeColor="text1"/>
          <w:sz w:val="24"/>
          <w:szCs w:val="24"/>
        </w:rPr>
        <w:t>This component will provide the EA with the equipment needed to operate and maintain the infrastructure after completion.</w:t>
      </w:r>
    </w:p>
    <w:p w14:paraId="03B824C5" w14:textId="77777777" w:rsidR="00F56A26" w:rsidRPr="00F56A26" w:rsidRDefault="00F56A26" w:rsidP="00F56A26">
      <w:pPr>
        <w:pStyle w:val="ListParagraph"/>
        <w:ind w:left="360"/>
        <w:jc w:val="both"/>
        <w:rPr>
          <w:rFonts w:ascii="Times New Roman" w:eastAsia="Roboto Light" w:hAnsi="Times New Roman"/>
          <w:b/>
          <w:bCs/>
          <w:color w:val="000000" w:themeColor="text1"/>
          <w:sz w:val="24"/>
          <w:szCs w:val="24"/>
        </w:rPr>
      </w:pPr>
    </w:p>
    <w:p w14:paraId="4A674C71" w14:textId="77777777" w:rsidR="00F56A26" w:rsidRPr="00F56A26" w:rsidRDefault="00F56A26" w:rsidP="00F56A26">
      <w:pPr>
        <w:spacing w:after="200" w:line="276" w:lineRule="auto"/>
        <w:jc w:val="both"/>
        <w:rPr>
          <w:rFonts w:ascii="Times New Roman" w:eastAsia="Roboto Light" w:hAnsi="Times New Roman"/>
          <w:b/>
          <w:bCs/>
          <w:color w:val="000000" w:themeColor="text1"/>
          <w:sz w:val="24"/>
          <w:szCs w:val="24"/>
        </w:rPr>
      </w:pPr>
      <w:r w:rsidRPr="00F56A26">
        <w:rPr>
          <w:rFonts w:ascii="Times New Roman" w:eastAsia="Roboto Light" w:hAnsi="Times New Roman"/>
          <w:b/>
          <w:bCs/>
          <w:color w:val="000000" w:themeColor="text1"/>
          <w:sz w:val="24"/>
          <w:szCs w:val="24"/>
        </w:rPr>
        <w:t xml:space="preserve">Component 4 - Project Engineering Review and Construction Supervision Consultant Services: </w:t>
      </w:r>
      <w:r w:rsidRPr="00F56A26">
        <w:rPr>
          <w:rFonts w:ascii="Times New Roman" w:eastAsia="Roboto Light" w:hAnsi="Times New Roman"/>
          <w:color w:val="000000" w:themeColor="text1"/>
          <w:sz w:val="24"/>
          <w:szCs w:val="24"/>
        </w:rPr>
        <w:t>This component will provide support for reviewing the Project’s detailed design, preparing the bidding documents for selecting the contractors, assisting the EA in the selection process, and supervising the project implementation. One consultancy firm will be recruited to supervise all the project activities during the implementation stage.</w:t>
      </w:r>
    </w:p>
    <w:p w14:paraId="77EC71B3" w14:textId="77777777" w:rsidR="00F56A26" w:rsidRPr="00F56A26" w:rsidRDefault="00F56A26" w:rsidP="00F56A26">
      <w:pPr>
        <w:pStyle w:val="ListParagraph"/>
        <w:rPr>
          <w:rFonts w:ascii="Times New Roman" w:eastAsia="Roboto Light" w:hAnsi="Times New Roman"/>
          <w:b/>
          <w:bCs/>
          <w:color w:val="000000" w:themeColor="text1"/>
          <w:sz w:val="24"/>
          <w:szCs w:val="24"/>
        </w:rPr>
      </w:pPr>
    </w:p>
    <w:p w14:paraId="44D2DA63" w14:textId="77777777" w:rsidR="00F56A26" w:rsidRPr="00F56A26" w:rsidRDefault="00F56A26" w:rsidP="00F56A26">
      <w:pPr>
        <w:spacing w:after="200" w:line="276" w:lineRule="auto"/>
        <w:jc w:val="both"/>
        <w:rPr>
          <w:rFonts w:ascii="Times New Roman" w:eastAsia="Roboto Light" w:hAnsi="Times New Roman"/>
          <w:color w:val="000000" w:themeColor="text1"/>
          <w:sz w:val="24"/>
          <w:szCs w:val="24"/>
        </w:rPr>
      </w:pPr>
      <w:r w:rsidRPr="00F56A26">
        <w:rPr>
          <w:rFonts w:ascii="Times New Roman" w:eastAsia="Roboto Light" w:hAnsi="Times New Roman"/>
          <w:b/>
          <w:bCs/>
          <w:color w:val="000000" w:themeColor="text1"/>
          <w:sz w:val="24"/>
          <w:szCs w:val="24"/>
        </w:rPr>
        <w:t xml:space="preserve">Component 5 - Support to the PMU: </w:t>
      </w:r>
      <w:r w:rsidRPr="00F56A26">
        <w:rPr>
          <w:rFonts w:ascii="Times New Roman" w:eastAsia="Roboto Light" w:hAnsi="Times New Roman"/>
          <w:color w:val="000000" w:themeColor="text1"/>
          <w:sz w:val="24"/>
          <w:szCs w:val="24"/>
        </w:rPr>
        <w:t xml:space="preserve">This component will provide support for Project Management Unit (PMU) in terms of recruitment of technical staff and payment of monthly allowances with related operating costs. Given that the construction of the Canal will be carried out in 4 lots which are planned to start sequentially, three engineers and two procurement experts will be needed. In addition to those, other experts are needed from different disciplines to ensure smooth implementation. </w:t>
      </w:r>
    </w:p>
    <w:p w14:paraId="6810D344"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6885C698" w14:textId="4D4E3A3B" w:rsidR="00F56A26" w:rsidRPr="00F56A26" w:rsidRDefault="00F56A26" w:rsidP="00F56A26">
      <w:pPr>
        <w:spacing w:after="200" w:line="276" w:lineRule="auto"/>
        <w:jc w:val="both"/>
        <w:rPr>
          <w:rFonts w:ascii="Times New Roman" w:eastAsia="Roboto Light" w:hAnsi="Times New Roman"/>
          <w:color w:val="000000" w:themeColor="text1"/>
          <w:sz w:val="24"/>
          <w:szCs w:val="24"/>
        </w:rPr>
      </w:pPr>
      <w:r w:rsidRPr="00F56A26">
        <w:rPr>
          <w:rFonts w:ascii="Times New Roman" w:eastAsia="Roboto Light" w:hAnsi="Times New Roman"/>
          <w:b/>
          <w:bCs/>
          <w:color w:val="000000" w:themeColor="text1"/>
          <w:sz w:val="24"/>
          <w:szCs w:val="24"/>
        </w:rPr>
        <w:t xml:space="preserve">Component 6 - Compensation, Resettlements and Related Charges: </w:t>
      </w:r>
      <w:r w:rsidRPr="00F56A26">
        <w:rPr>
          <w:rFonts w:ascii="Times New Roman" w:eastAsia="Roboto Light" w:hAnsi="Times New Roman"/>
          <w:color w:val="000000" w:themeColor="text1"/>
          <w:sz w:val="24"/>
          <w:szCs w:val="24"/>
        </w:rPr>
        <w:t xml:space="preserve">The component will be funded by the </w:t>
      </w:r>
      <w:proofErr w:type="spellStart"/>
      <w:r w:rsidRPr="00F56A26">
        <w:rPr>
          <w:rFonts w:ascii="Times New Roman" w:eastAsia="Roboto Light" w:hAnsi="Times New Roman"/>
          <w:color w:val="000000" w:themeColor="text1"/>
          <w:sz w:val="24"/>
          <w:szCs w:val="24"/>
        </w:rPr>
        <w:t>GoA</w:t>
      </w:r>
      <w:proofErr w:type="spellEnd"/>
      <w:r w:rsidRPr="00F56A26">
        <w:rPr>
          <w:rFonts w:ascii="Times New Roman" w:eastAsia="Roboto Light" w:hAnsi="Times New Roman"/>
          <w:color w:val="000000" w:themeColor="text1"/>
          <w:sz w:val="24"/>
          <w:szCs w:val="24"/>
        </w:rPr>
        <w:t xml:space="preserve"> to complete land acquisition, resettlement and compensation. Most of the canal (km 0 to km 106) follow the original alignment and will be within the protection zone, extending 100 meters on either side of the existing canal constructed in 1958. Consequently, bulk of the land acquisition will be in Section-4 (km 106 to km 168) owing to new alignment. Appropriate compensation and resettlement measures are planned accordingly. Most of the land to be acquired has private ownership while some are owned by municipal </w:t>
      </w:r>
      <w:proofErr w:type="gramStart"/>
      <w:r w:rsidRPr="00F56A26">
        <w:rPr>
          <w:rFonts w:ascii="Times New Roman" w:eastAsia="Roboto Light" w:hAnsi="Times New Roman"/>
          <w:color w:val="000000" w:themeColor="text1"/>
          <w:sz w:val="24"/>
          <w:szCs w:val="24"/>
        </w:rPr>
        <w:t>authorities..</w:t>
      </w:r>
      <w:proofErr w:type="gramEnd"/>
      <w:r w:rsidRPr="00F56A26">
        <w:rPr>
          <w:rFonts w:ascii="Times New Roman" w:eastAsia="Roboto Light" w:hAnsi="Times New Roman"/>
          <w:color w:val="000000" w:themeColor="text1"/>
          <w:sz w:val="24"/>
          <w:szCs w:val="24"/>
        </w:rPr>
        <w:t xml:space="preserve"> </w:t>
      </w:r>
    </w:p>
    <w:p w14:paraId="6F20AED3" w14:textId="77777777" w:rsidR="00F56A26" w:rsidRPr="00F56A26" w:rsidRDefault="00F56A26" w:rsidP="00F56A26">
      <w:pPr>
        <w:pStyle w:val="ListParagraph"/>
        <w:ind w:left="360"/>
        <w:jc w:val="both"/>
        <w:rPr>
          <w:rFonts w:ascii="Times New Roman" w:eastAsia="Roboto Light" w:hAnsi="Times New Roman"/>
          <w:color w:val="000000"/>
          <w:sz w:val="24"/>
          <w:szCs w:val="24"/>
        </w:rPr>
      </w:pPr>
    </w:p>
    <w:p w14:paraId="53DFCD49" w14:textId="77777777" w:rsidR="00F56A26" w:rsidRPr="00F56A26" w:rsidRDefault="00F56A26" w:rsidP="00F56A26">
      <w:pPr>
        <w:spacing w:after="200" w:line="276" w:lineRule="auto"/>
        <w:jc w:val="both"/>
        <w:rPr>
          <w:rFonts w:ascii="Times New Roman" w:eastAsia="Roboto Light" w:hAnsi="Times New Roman"/>
          <w:color w:val="000000"/>
          <w:sz w:val="24"/>
          <w:szCs w:val="24"/>
        </w:rPr>
      </w:pPr>
      <w:r w:rsidRPr="00F56A26">
        <w:rPr>
          <w:rFonts w:ascii="Times New Roman" w:eastAsia="Roboto Light" w:hAnsi="Times New Roman"/>
          <w:b/>
          <w:bCs/>
          <w:color w:val="000000" w:themeColor="text1"/>
          <w:sz w:val="24"/>
          <w:szCs w:val="24"/>
        </w:rPr>
        <w:t xml:space="preserve">Component 7 - Audit: </w:t>
      </w:r>
      <w:r w:rsidRPr="00F56A26">
        <w:rPr>
          <w:rFonts w:ascii="Times New Roman" w:eastAsia="Roboto Light" w:hAnsi="Times New Roman"/>
          <w:color w:val="000000" w:themeColor="text1"/>
          <w:sz w:val="24"/>
          <w:szCs w:val="24"/>
        </w:rPr>
        <w:t xml:space="preserve">This component will support the annual audit of the project’s expenses and Special Account. </w:t>
      </w:r>
    </w:p>
    <w:p w14:paraId="4BD35471" w14:textId="77777777" w:rsidR="00F56A26" w:rsidRPr="00F56A26" w:rsidRDefault="00F56A26" w:rsidP="00F56A26">
      <w:pPr>
        <w:pStyle w:val="ListParagraph"/>
        <w:ind w:left="360"/>
        <w:jc w:val="both"/>
        <w:rPr>
          <w:rFonts w:ascii="Times New Roman" w:eastAsia="Roboto Light" w:hAnsi="Times New Roman"/>
          <w:color w:val="000000" w:themeColor="text1"/>
          <w:sz w:val="24"/>
          <w:szCs w:val="24"/>
        </w:rPr>
      </w:pPr>
    </w:p>
    <w:p w14:paraId="055B549C" w14:textId="77777777" w:rsidR="00F56A26" w:rsidRPr="00F56A26" w:rsidRDefault="00F56A26" w:rsidP="00F56A26">
      <w:pPr>
        <w:spacing w:after="200" w:line="276" w:lineRule="auto"/>
        <w:jc w:val="both"/>
        <w:rPr>
          <w:rFonts w:ascii="Times New Roman" w:eastAsia="Roboto Light" w:hAnsi="Times New Roman"/>
          <w:color w:val="000000" w:themeColor="text1"/>
          <w:sz w:val="24"/>
          <w:szCs w:val="24"/>
        </w:rPr>
      </w:pPr>
      <w:r w:rsidRPr="00F56A26">
        <w:rPr>
          <w:rFonts w:ascii="Times New Roman" w:eastAsia="Roboto Light" w:hAnsi="Times New Roman"/>
          <w:b/>
          <w:bCs/>
          <w:color w:val="000000" w:themeColor="text1"/>
          <w:sz w:val="24"/>
          <w:szCs w:val="24"/>
        </w:rPr>
        <w:t>Component 8</w:t>
      </w:r>
      <w:r w:rsidRPr="00F56A26">
        <w:rPr>
          <w:rFonts w:ascii="Times New Roman" w:eastAsia="Roboto Light" w:hAnsi="Times New Roman"/>
          <w:color w:val="000000" w:themeColor="text1"/>
          <w:sz w:val="24"/>
          <w:szCs w:val="24"/>
        </w:rPr>
        <w:t xml:space="preserve"> – </w:t>
      </w:r>
      <w:r w:rsidRPr="00F56A26">
        <w:rPr>
          <w:rFonts w:ascii="Times New Roman" w:eastAsia="Roboto Light" w:hAnsi="Times New Roman"/>
          <w:b/>
          <w:bCs/>
          <w:color w:val="000000" w:themeColor="text1"/>
          <w:sz w:val="24"/>
          <w:szCs w:val="24"/>
        </w:rPr>
        <w:t>Contingency Emergency Response Component:</w:t>
      </w:r>
      <w:r w:rsidRPr="00F56A26">
        <w:rPr>
          <w:rFonts w:ascii="Times New Roman" w:eastAsia="Roboto Light" w:hAnsi="Times New Roman"/>
          <w:color w:val="000000" w:themeColor="text1"/>
          <w:sz w:val="24"/>
          <w:szCs w:val="24"/>
        </w:rPr>
        <w:t xml:space="preserve"> This standalone zero-value component is embedded in the Project to allow for the use of the present Project resources to cover emergency response activities in case of highly unpredictable events such as disasters, pandemics, etc., as a support to the Government’s rapid emergency response efforts in the future. This can be done by reallocating Project funds, subject to prior consultation with the IsDB. </w:t>
      </w:r>
    </w:p>
    <w:p w14:paraId="1BC9AB2F" w14:textId="77777777" w:rsidR="00ED3261" w:rsidRPr="00F56A26" w:rsidRDefault="00ED3261" w:rsidP="002C3E16">
      <w:pPr>
        <w:suppressAutoHyphens/>
        <w:jc w:val="both"/>
        <w:rPr>
          <w:rFonts w:ascii="Times New Roman" w:eastAsiaTheme="minorHAnsi" w:hAnsi="Times New Roman"/>
          <w:color w:val="000000"/>
          <w:sz w:val="24"/>
          <w:szCs w:val="24"/>
        </w:rPr>
      </w:pPr>
    </w:p>
    <w:p w14:paraId="22B8DAA1" w14:textId="77777777" w:rsidR="00ED3261" w:rsidRPr="00F56A26" w:rsidRDefault="00ED3261" w:rsidP="002C3E16">
      <w:pPr>
        <w:suppressAutoHyphens/>
        <w:jc w:val="both"/>
        <w:rPr>
          <w:rFonts w:ascii="Times New Roman" w:eastAsiaTheme="minorHAnsi" w:hAnsi="Times New Roman"/>
          <w:color w:val="000000"/>
          <w:sz w:val="24"/>
          <w:szCs w:val="24"/>
        </w:rPr>
      </w:pPr>
      <w:r w:rsidRPr="00F56A26">
        <w:rPr>
          <w:rFonts w:ascii="Times New Roman" w:eastAsiaTheme="minorHAnsi" w:hAnsi="Times New Roman"/>
          <w:color w:val="000000"/>
          <w:sz w:val="24"/>
          <w:szCs w:val="24"/>
        </w:rPr>
        <w:t xml:space="preserve">Procurement of contracts financed by the Islamic Development Bank will be conducted through the procedures as specified in the </w:t>
      </w:r>
      <w:r w:rsidRPr="00F56A26">
        <w:rPr>
          <w:rFonts w:ascii="Times New Roman" w:eastAsiaTheme="minorHAnsi" w:hAnsi="Times New Roman"/>
          <w:b/>
          <w:bCs/>
          <w:color w:val="000000"/>
          <w:sz w:val="24"/>
          <w:szCs w:val="24"/>
        </w:rPr>
        <w:t>Guidelines for Procurement of Goods, Works and related services under Islamic Development Bank Project Financing</w:t>
      </w:r>
      <w:r w:rsidRPr="00F56A26">
        <w:rPr>
          <w:rFonts w:ascii="Times New Roman" w:eastAsiaTheme="minorHAnsi" w:hAnsi="Times New Roman"/>
          <w:color w:val="000000"/>
          <w:sz w:val="24"/>
          <w:szCs w:val="24"/>
        </w:rPr>
        <w:t xml:space="preserve"> (</w:t>
      </w:r>
      <w:r w:rsidR="00C56152" w:rsidRPr="00F56A26">
        <w:rPr>
          <w:rFonts w:ascii="Times New Roman" w:eastAsiaTheme="minorHAnsi" w:hAnsi="Times New Roman"/>
          <w:color w:val="000000"/>
          <w:sz w:val="24"/>
          <w:szCs w:val="24"/>
        </w:rPr>
        <w:t>April 2019 edition, revised in February 2023</w:t>
      </w:r>
      <w:r w:rsidRPr="00F56A26">
        <w:rPr>
          <w:rFonts w:ascii="Times New Roman" w:eastAsiaTheme="minorHAnsi" w:hAnsi="Times New Roman"/>
          <w:color w:val="000000"/>
          <w:sz w:val="24"/>
          <w:szCs w:val="24"/>
        </w:rPr>
        <w:t xml:space="preserve">), and is open to all eligible bidders as defined in the guidelines. Consulting services will be selected in accordance with the </w:t>
      </w:r>
      <w:r w:rsidRPr="00F56A26">
        <w:rPr>
          <w:rFonts w:ascii="Times New Roman" w:eastAsiaTheme="minorHAnsi" w:hAnsi="Times New Roman"/>
          <w:b/>
          <w:bCs/>
          <w:color w:val="000000"/>
          <w:sz w:val="24"/>
          <w:szCs w:val="24"/>
        </w:rPr>
        <w:t>Guidelines for the Procurement of Consultant Services under Islamic Development Bank Project Financing</w:t>
      </w:r>
      <w:r w:rsidRPr="00F56A26">
        <w:rPr>
          <w:rFonts w:ascii="Times New Roman" w:eastAsiaTheme="minorHAnsi" w:hAnsi="Times New Roman"/>
          <w:color w:val="000000"/>
          <w:sz w:val="24"/>
          <w:szCs w:val="24"/>
        </w:rPr>
        <w:t xml:space="preserve"> (</w:t>
      </w:r>
      <w:r w:rsidR="00C56152" w:rsidRPr="00F56A26">
        <w:rPr>
          <w:rFonts w:ascii="Times New Roman" w:eastAsiaTheme="minorHAnsi" w:hAnsi="Times New Roman"/>
          <w:color w:val="000000"/>
          <w:sz w:val="24"/>
          <w:szCs w:val="24"/>
        </w:rPr>
        <w:t>April 2019 edition, revised in February 2023</w:t>
      </w:r>
      <w:r w:rsidRPr="00F56A26">
        <w:rPr>
          <w:rFonts w:ascii="Times New Roman" w:eastAsiaTheme="minorHAnsi" w:hAnsi="Times New Roman"/>
          <w:color w:val="000000"/>
          <w:sz w:val="24"/>
          <w:szCs w:val="24"/>
        </w:rPr>
        <w:t>).</w:t>
      </w:r>
    </w:p>
    <w:p w14:paraId="28A820F1" w14:textId="77777777" w:rsidR="00ED3261" w:rsidRPr="00F56A26" w:rsidRDefault="00ED3261" w:rsidP="002C3E16">
      <w:pPr>
        <w:suppressAutoHyphens/>
        <w:jc w:val="both"/>
        <w:rPr>
          <w:rFonts w:ascii="Times New Roman" w:eastAsiaTheme="minorHAnsi" w:hAnsi="Times New Roman"/>
          <w:color w:val="000000"/>
          <w:sz w:val="24"/>
          <w:szCs w:val="24"/>
        </w:rPr>
      </w:pPr>
    </w:p>
    <w:p w14:paraId="550477D8" w14:textId="4D1CCB4A" w:rsidR="0091095F" w:rsidRPr="00F56A26" w:rsidRDefault="00ED3261" w:rsidP="002C3E16">
      <w:pPr>
        <w:jc w:val="both"/>
        <w:rPr>
          <w:rFonts w:ascii="Times New Roman" w:eastAsiaTheme="minorHAnsi" w:hAnsi="Times New Roman"/>
          <w:color w:val="000000"/>
          <w:sz w:val="24"/>
          <w:szCs w:val="24"/>
        </w:rPr>
      </w:pPr>
      <w:r w:rsidRPr="00F56A26">
        <w:rPr>
          <w:rFonts w:ascii="Times New Roman" w:eastAsiaTheme="minorHAnsi" w:hAnsi="Times New Roman"/>
          <w:color w:val="000000"/>
          <w:sz w:val="24"/>
          <w:szCs w:val="24"/>
        </w:rPr>
        <w:t xml:space="preserve">Specific procurement notices for contracts to be bid under the Islamic Development Bank’s </w:t>
      </w:r>
      <w:r w:rsidR="00EC7108" w:rsidRPr="00F56A26">
        <w:rPr>
          <w:rFonts w:ascii="Times New Roman" w:eastAsiaTheme="minorHAnsi" w:hAnsi="Times New Roman"/>
          <w:color w:val="000000"/>
          <w:sz w:val="24"/>
          <w:szCs w:val="24"/>
        </w:rPr>
        <w:t>I</w:t>
      </w:r>
      <w:r w:rsidRPr="00F56A26">
        <w:rPr>
          <w:rFonts w:ascii="Times New Roman" w:eastAsiaTheme="minorHAnsi" w:hAnsi="Times New Roman"/>
          <w:color w:val="000000"/>
          <w:sz w:val="24"/>
          <w:szCs w:val="24"/>
        </w:rPr>
        <w:t xml:space="preserve">nternational </w:t>
      </w:r>
      <w:r w:rsidR="00EC7108" w:rsidRPr="00F56A26">
        <w:rPr>
          <w:rFonts w:ascii="Times New Roman" w:eastAsiaTheme="minorHAnsi" w:hAnsi="Times New Roman"/>
          <w:color w:val="000000"/>
          <w:sz w:val="24"/>
          <w:szCs w:val="24"/>
        </w:rPr>
        <w:t>C</w:t>
      </w:r>
      <w:r w:rsidRPr="00F56A26">
        <w:rPr>
          <w:rFonts w:ascii="Times New Roman" w:eastAsiaTheme="minorHAnsi" w:hAnsi="Times New Roman"/>
          <w:color w:val="000000"/>
          <w:sz w:val="24"/>
          <w:szCs w:val="24"/>
        </w:rPr>
        <w:t xml:space="preserve">ompetitive </w:t>
      </w:r>
      <w:r w:rsidR="00EC7108" w:rsidRPr="00F56A26">
        <w:rPr>
          <w:rFonts w:ascii="Times New Roman" w:eastAsiaTheme="minorHAnsi" w:hAnsi="Times New Roman"/>
          <w:color w:val="000000"/>
          <w:sz w:val="24"/>
          <w:szCs w:val="24"/>
        </w:rPr>
        <w:t>B</w:t>
      </w:r>
      <w:r w:rsidRPr="00F56A26">
        <w:rPr>
          <w:rFonts w:ascii="Times New Roman" w:eastAsiaTheme="minorHAnsi" w:hAnsi="Times New Roman"/>
          <w:color w:val="000000"/>
          <w:sz w:val="24"/>
          <w:szCs w:val="24"/>
        </w:rPr>
        <w:t xml:space="preserve">idding – </w:t>
      </w:r>
      <w:r w:rsidR="00EC7108" w:rsidRPr="00F56A26">
        <w:rPr>
          <w:rFonts w:ascii="Times New Roman" w:eastAsiaTheme="minorHAnsi" w:hAnsi="Times New Roman"/>
          <w:color w:val="000000"/>
          <w:sz w:val="24"/>
          <w:szCs w:val="24"/>
        </w:rPr>
        <w:t xml:space="preserve">Limited to </w:t>
      </w:r>
      <w:proofErr w:type="spellStart"/>
      <w:r w:rsidR="00A42FD7" w:rsidRPr="00F56A26">
        <w:rPr>
          <w:rFonts w:ascii="Times New Roman" w:eastAsiaTheme="minorHAnsi" w:hAnsi="Times New Roman"/>
          <w:color w:val="000000"/>
          <w:sz w:val="24"/>
          <w:szCs w:val="24"/>
        </w:rPr>
        <w:t>IsDB’s</w:t>
      </w:r>
      <w:proofErr w:type="spellEnd"/>
      <w:r w:rsidR="00A42FD7" w:rsidRPr="00F56A26">
        <w:rPr>
          <w:rFonts w:ascii="Times New Roman" w:eastAsiaTheme="minorHAnsi" w:hAnsi="Times New Roman"/>
          <w:color w:val="000000"/>
          <w:sz w:val="24"/>
          <w:szCs w:val="24"/>
        </w:rPr>
        <w:t xml:space="preserve"> </w:t>
      </w:r>
      <w:r w:rsidR="00EC7108" w:rsidRPr="00F56A26">
        <w:rPr>
          <w:rFonts w:ascii="Times New Roman" w:eastAsiaTheme="minorHAnsi" w:hAnsi="Times New Roman"/>
          <w:color w:val="000000"/>
          <w:sz w:val="24"/>
          <w:szCs w:val="24"/>
        </w:rPr>
        <w:t>Member</w:t>
      </w:r>
      <w:r w:rsidRPr="00F56A26">
        <w:rPr>
          <w:rFonts w:ascii="Times New Roman" w:eastAsiaTheme="minorHAnsi" w:hAnsi="Times New Roman"/>
          <w:color w:val="000000"/>
          <w:sz w:val="24"/>
          <w:szCs w:val="24"/>
        </w:rPr>
        <w:t xml:space="preserve"> </w:t>
      </w:r>
      <w:r w:rsidR="00EC7108" w:rsidRPr="00F56A26">
        <w:rPr>
          <w:rFonts w:ascii="Times New Roman" w:eastAsiaTheme="minorHAnsi" w:hAnsi="Times New Roman"/>
          <w:color w:val="000000"/>
          <w:sz w:val="24"/>
          <w:szCs w:val="24"/>
        </w:rPr>
        <w:t>C</w:t>
      </w:r>
      <w:r w:rsidRPr="00F56A26">
        <w:rPr>
          <w:rFonts w:ascii="Times New Roman" w:eastAsiaTheme="minorHAnsi" w:hAnsi="Times New Roman"/>
          <w:color w:val="000000"/>
          <w:sz w:val="24"/>
          <w:szCs w:val="24"/>
        </w:rPr>
        <w:t>ountries (ICB/MC) procedures and for contracts for consultancy services</w:t>
      </w:r>
      <w:r w:rsidR="00A42FD7" w:rsidRPr="00F56A26">
        <w:rPr>
          <w:rFonts w:ascii="Times New Roman" w:eastAsiaTheme="minorHAnsi" w:hAnsi="Times New Roman"/>
          <w:color w:val="000000"/>
          <w:sz w:val="24"/>
          <w:szCs w:val="24"/>
        </w:rPr>
        <w:t xml:space="preserve"> (QCBS-MC and LCS methods)</w:t>
      </w:r>
      <w:r w:rsidRPr="00F56A26">
        <w:rPr>
          <w:rFonts w:ascii="Times New Roman" w:eastAsiaTheme="minorHAnsi" w:hAnsi="Times New Roman"/>
          <w:color w:val="000000"/>
          <w:sz w:val="24"/>
          <w:szCs w:val="24"/>
        </w:rPr>
        <w:t xml:space="preserve"> will be announced, as they become available, in </w:t>
      </w:r>
      <w:hyperlink r:id="rId7" w:history="1">
        <w:r w:rsidRPr="00F56A26">
          <w:rPr>
            <w:rFonts w:ascii="Times New Roman" w:eastAsiaTheme="minorHAnsi" w:hAnsi="Times New Roman"/>
            <w:color w:val="000000"/>
            <w:sz w:val="24"/>
            <w:szCs w:val="24"/>
          </w:rPr>
          <w:t>IsDB Website</w:t>
        </w:r>
      </w:hyperlink>
      <w:r w:rsidRPr="00F56A26">
        <w:rPr>
          <w:rFonts w:ascii="Times New Roman" w:eastAsiaTheme="minorHAnsi" w:hAnsi="Times New Roman"/>
          <w:color w:val="000000"/>
          <w:sz w:val="24"/>
          <w:szCs w:val="24"/>
        </w:rPr>
        <w:t xml:space="preserve"> </w:t>
      </w:r>
      <w:r w:rsidR="00664946" w:rsidRPr="00F56A26">
        <w:rPr>
          <w:rFonts w:ascii="Times New Roman" w:eastAsiaTheme="minorHAnsi" w:hAnsi="Times New Roman"/>
          <w:color w:val="000000"/>
          <w:sz w:val="24"/>
          <w:szCs w:val="24"/>
        </w:rPr>
        <w:t xml:space="preserve">and </w:t>
      </w:r>
      <w:r w:rsidR="00BE257A">
        <w:rPr>
          <w:rFonts w:ascii="Times New Roman" w:eastAsiaTheme="minorHAnsi" w:hAnsi="Times New Roman"/>
          <w:color w:val="000000"/>
          <w:sz w:val="24"/>
          <w:szCs w:val="24"/>
        </w:rPr>
        <w:t>can be requested from</w:t>
      </w:r>
      <w:r w:rsidR="00664946" w:rsidRPr="00F56A26">
        <w:rPr>
          <w:rFonts w:ascii="Times New Roman" w:eastAsiaTheme="minorHAnsi" w:hAnsi="Times New Roman"/>
          <w:color w:val="000000"/>
          <w:sz w:val="24"/>
          <w:szCs w:val="24"/>
        </w:rPr>
        <w:t xml:space="preserve"> </w:t>
      </w:r>
      <w:r w:rsidR="00F25A36" w:rsidRPr="00F56A26">
        <w:rPr>
          <w:rFonts w:ascii="Times New Roman" w:eastAsia="Roboto Light" w:hAnsi="Times New Roman"/>
          <w:color w:val="0563C1" w:themeColor="hyperlink"/>
          <w:szCs w:val="22"/>
          <w:u w:val="single"/>
        </w:rPr>
        <w:t>info@adsea.gov.az</w:t>
      </w:r>
      <w:r w:rsidR="00BE257A">
        <w:rPr>
          <w:rFonts w:ascii="Times New Roman" w:eastAsia="Roboto Light" w:hAnsi="Times New Roman"/>
          <w:color w:val="0563C1" w:themeColor="hyperlink"/>
          <w:szCs w:val="22"/>
          <w:u w:val="single"/>
        </w:rPr>
        <w:t>.</w:t>
      </w:r>
    </w:p>
    <w:p w14:paraId="27767F73" w14:textId="77777777" w:rsidR="0091095F" w:rsidRPr="00F56A26" w:rsidRDefault="0091095F" w:rsidP="002C3E16">
      <w:pPr>
        <w:jc w:val="both"/>
        <w:rPr>
          <w:rFonts w:ascii="Times New Roman" w:eastAsiaTheme="minorHAnsi" w:hAnsi="Times New Roman"/>
          <w:color w:val="000000"/>
          <w:sz w:val="24"/>
          <w:szCs w:val="24"/>
        </w:rPr>
      </w:pPr>
    </w:p>
    <w:p w14:paraId="08041A6D" w14:textId="77777777" w:rsidR="00ED3261" w:rsidRPr="00F56A26" w:rsidRDefault="00ED3261" w:rsidP="002C3E16">
      <w:pPr>
        <w:jc w:val="both"/>
        <w:rPr>
          <w:rFonts w:ascii="Times New Roman" w:eastAsiaTheme="minorHAnsi" w:hAnsi="Times New Roman"/>
          <w:color w:val="000000"/>
          <w:sz w:val="24"/>
          <w:szCs w:val="24"/>
        </w:rPr>
      </w:pPr>
      <w:r w:rsidRPr="00F56A26">
        <w:rPr>
          <w:rFonts w:ascii="Times New Roman" w:eastAsiaTheme="minorHAnsi" w:hAnsi="Times New Roman"/>
          <w:color w:val="000000"/>
          <w:sz w:val="24"/>
          <w:szCs w:val="24"/>
        </w:rPr>
        <w:t>Interested eligible firms and individuals who would wish to be considered for the provision of goods, works and consulting services for the above mentioned project, or those requiring additional information, should contact the Beneficiary at the address below:</w:t>
      </w:r>
    </w:p>
    <w:p w14:paraId="20766B31" w14:textId="77777777" w:rsidR="0091095F" w:rsidRPr="00F56A26" w:rsidRDefault="0091095F" w:rsidP="00ED3261">
      <w:pPr>
        <w:rPr>
          <w:rFonts w:ascii="Times New Roman" w:eastAsiaTheme="minorHAnsi" w:hAnsi="Times New Roman"/>
          <w:color w:val="000000"/>
          <w:sz w:val="24"/>
          <w:szCs w:val="24"/>
        </w:rPr>
      </w:pPr>
    </w:p>
    <w:p w14:paraId="79FAF4FD" w14:textId="77777777" w:rsidR="00E24BBE" w:rsidRPr="00F56A26" w:rsidRDefault="00E24BBE" w:rsidP="00E24BBE">
      <w:pPr>
        <w:pStyle w:val="Default"/>
      </w:pPr>
      <w:r w:rsidRPr="00F56A26">
        <w:t>“</w:t>
      </w:r>
      <w:r w:rsidR="00F56A26" w:rsidRPr="00F56A26">
        <w:rPr>
          <w:rFonts w:eastAsia="Times New Roman"/>
          <w:color w:val="auto"/>
          <w:spacing w:val="-2"/>
        </w:rPr>
        <w:t>Reconstruction of the Karabakh Irrigation Canal Project</w:t>
      </w:r>
      <w:r w:rsidRPr="00F56A26">
        <w:t>”</w:t>
      </w:r>
    </w:p>
    <w:p w14:paraId="2B9584F9" w14:textId="77777777" w:rsidR="002C3E16" w:rsidRPr="00F56A26" w:rsidRDefault="006457E7" w:rsidP="002C3E16">
      <w:pPr>
        <w:pStyle w:val="BodyText"/>
        <w:ind w:right="-279"/>
        <w:rPr>
          <w:rFonts w:ascii="Times New Roman" w:eastAsiaTheme="minorHAnsi" w:hAnsi="Times New Roman"/>
          <w:color w:val="000000"/>
          <w:spacing w:val="0"/>
          <w:szCs w:val="24"/>
        </w:rPr>
      </w:pPr>
      <w:r w:rsidRPr="00F56A26">
        <w:rPr>
          <w:rFonts w:ascii="Times New Roman" w:eastAsiaTheme="minorHAnsi" w:hAnsi="Times New Roman"/>
          <w:color w:val="000000"/>
          <w:spacing w:val="0"/>
          <w:szCs w:val="24"/>
        </w:rPr>
        <w:t xml:space="preserve">Mr. </w:t>
      </w:r>
      <w:r w:rsidR="002C3E16" w:rsidRPr="00F56A26">
        <w:rPr>
          <w:rFonts w:ascii="Times New Roman" w:eastAsiaTheme="minorHAnsi" w:hAnsi="Times New Roman"/>
          <w:color w:val="000000"/>
          <w:spacing w:val="0"/>
          <w:szCs w:val="24"/>
        </w:rPr>
        <w:t>Fuad Abishe</w:t>
      </w:r>
      <w:r w:rsidR="00A6559D" w:rsidRPr="00F56A26">
        <w:rPr>
          <w:rFonts w:ascii="Times New Roman" w:eastAsiaTheme="minorHAnsi" w:hAnsi="Times New Roman"/>
          <w:color w:val="000000"/>
          <w:spacing w:val="0"/>
          <w:szCs w:val="24"/>
        </w:rPr>
        <w:t>v</w:t>
      </w:r>
      <w:r w:rsidRPr="00F56A26">
        <w:rPr>
          <w:rFonts w:ascii="Times New Roman" w:eastAsiaTheme="minorHAnsi" w:hAnsi="Times New Roman"/>
          <w:color w:val="000000"/>
          <w:spacing w:val="0"/>
          <w:szCs w:val="24"/>
        </w:rPr>
        <w:t xml:space="preserve"> (</w:t>
      </w:r>
      <w:r w:rsidR="002B3F3F" w:rsidRPr="00F56A26">
        <w:rPr>
          <w:rFonts w:ascii="Times New Roman" w:hAnsi="Times New Roman"/>
          <w:szCs w:val="24"/>
        </w:rPr>
        <w:t>Azerbaijan State Water Resources Agency</w:t>
      </w:r>
      <w:r w:rsidR="00B01449" w:rsidRPr="00F56A26">
        <w:rPr>
          <w:rFonts w:ascii="Times New Roman" w:eastAsiaTheme="minorHAnsi" w:hAnsi="Times New Roman"/>
          <w:color w:val="000000"/>
          <w:spacing w:val="0"/>
          <w:szCs w:val="24"/>
        </w:rPr>
        <w:t xml:space="preserve">, </w:t>
      </w:r>
      <w:r w:rsidR="002C3E16" w:rsidRPr="00F56A26">
        <w:rPr>
          <w:rFonts w:ascii="Times New Roman" w:eastAsiaTheme="minorHAnsi" w:hAnsi="Times New Roman"/>
          <w:color w:val="000000"/>
          <w:spacing w:val="0"/>
          <w:szCs w:val="24"/>
        </w:rPr>
        <w:t>Administration of Facilities under Construction PLE,</w:t>
      </w:r>
    </w:p>
    <w:p w14:paraId="221B1010" w14:textId="77777777" w:rsidR="00ED3261" w:rsidRPr="00F56A26" w:rsidRDefault="002C3E16" w:rsidP="002C3E16">
      <w:pPr>
        <w:pStyle w:val="BodyText"/>
        <w:ind w:right="-279"/>
        <w:rPr>
          <w:rFonts w:ascii="Times New Roman" w:eastAsiaTheme="minorHAnsi" w:hAnsi="Times New Roman"/>
          <w:color w:val="000000"/>
          <w:spacing w:val="0"/>
          <w:szCs w:val="24"/>
        </w:rPr>
      </w:pPr>
      <w:r w:rsidRPr="00F56A26">
        <w:rPr>
          <w:rFonts w:ascii="Times New Roman" w:eastAsiaTheme="minorHAnsi" w:hAnsi="Times New Roman"/>
          <w:color w:val="000000"/>
          <w:spacing w:val="0"/>
          <w:szCs w:val="24"/>
        </w:rPr>
        <w:t>Deputy Chairman of the Board</w:t>
      </w:r>
      <w:r w:rsidR="006457E7" w:rsidRPr="00F56A26">
        <w:rPr>
          <w:rFonts w:ascii="Times New Roman" w:eastAsiaTheme="minorHAnsi" w:hAnsi="Times New Roman"/>
          <w:color w:val="000000"/>
          <w:spacing w:val="0"/>
          <w:szCs w:val="24"/>
        </w:rPr>
        <w:t>)</w:t>
      </w:r>
    </w:p>
    <w:p w14:paraId="0343F3DB" w14:textId="77777777" w:rsidR="00086F74" w:rsidRPr="00F56A26" w:rsidRDefault="00086F74" w:rsidP="00086F74">
      <w:pPr>
        <w:pStyle w:val="Default"/>
      </w:pPr>
      <w:r w:rsidRPr="00F56A26">
        <w:t xml:space="preserve">67 Moscow Ave, Baku, Azerbaijan, AZ1012 </w:t>
      </w:r>
    </w:p>
    <w:p w14:paraId="60EEDB51" w14:textId="77777777" w:rsidR="00086F74" w:rsidRPr="00F56A26" w:rsidRDefault="00086F74" w:rsidP="00086F74">
      <w:pPr>
        <w:pStyle w:val="Default"/>
      </w:pPr>
      <w:r w:rsidRPr="00F56A26">
        <w:t xml:space="preserve">Fax: +994 12 4935165 </w:t>
      </w:r>
    </w:p>
    <w:p w14:paraId="4660AC90" w14:textId="03865706" w:rsidR="00975F40" w:rsidRPr="00F56A26" w:rsidRDefault="00086F74" w:rsidP="00086F74">
      <w:pPr>
        <w:rPr>
          <w:rFonts w:ascii="Times New Roman" w:eastAsiaTheme="minorHAnsi" w:hAnsi="Times New Roman"/>
          <w:color w:val="000000"/>
          <w:sz w:val="24"/>
          <w:szCs w:val="24"/>
        </w:rPr>
      </w:pPr>
      <w:r w:rsidRPr="00F56A26">
        <w:rPr>
          <w:rFonts w:ascii="Times New Roman" w:eastAsiaTheme="minorHAnsi" w:hAnsi="Times New Roman"/>
          <w:color w:val="000000"/>
          <w:sz w:val="24"/>
          <w:szCs w:val="24"/>
        </w:rPr>
        <w:t>Email: fuad.abishev@</w:t>
      </w:r>
      <w:r w:rsidR="009A5986">
        <w:rPr>
          <w:rFonts w:ascii="Times New Roman" w:eastAsiaTheme="minorHAnsi" w:hAnsi="Times New Roman"/>
          <w:color w:val="000000"/>
          <w:sz w:val="24"/>
          <w:szCs w:val="24"/>
        </w:rPr>
        <w:t>toom.gov</w:t>
      </w:r>
      <w:r w:rsidRPr="00F56A26">
        <w:rPr>
          <w:rFonts w:ascii="Times New Roman" w:eastAsiaTheme="minorHAnsi" w:hAnsi="Times New Roman"/>
          <w:color w:val="000000"/>
          <w:sz w:val="24"/>
          <w:szCs w:val="24"/>
        </w:rPr>
        <w:t xml:space="preserve">.az </w:t>
      </w:r>
      <w:r w:rsidR="006457E7" w:rsidRPr="00F56A26">
        <w:rPr>
          <w:rFonts w:ascii="Times New Roman" w:eastAsiaTheme="minorHAnsi" w:hAnsi="Times New Roman"/>
          <w:color w:val="000000"/>
          <w:sz w:val="24"/>
          <w:szCs w:val="24"/>
        </w:rPr>
        <w:t xml:space="preserve"> </w:t>
      </w:r>
    </w:p>
    <w:sectPr w:rsidR="00975F40" w:rsidRPr="00F56A26" w:rsidSect="002C3E16">
      <w:headerReference w:type="even" r:id="rId8"/>
      <w:headerReference w:type="default" r:id="rId9"/>
      <w:headerReference w:type="first" r:id="rId10"/>
      <w:pgSz w:w="12240" w:h="15840"/>
      <w:pgMar w:top="1260" w:right="1325"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5384" w14:textId="77777777" w:rsidR="003F0B32" w:rsidRDefault="003F0B32" w:rsidP="00ED3261">
      <w:r>
        <w:separator/>
      </w:r>
    </w:p>
  </w:endnote>
  <w:endnote w:type="continuationSeparator" w:id="0">
    <w:p w14:paraId="0E37181E" w14:textId="77777777" w:rsidR="003F0B32" w:rsidRDefault="003F0B32" w:rsidP="00ED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9323" w14:textId="77777777" w:rsidR="003F0B32" w:rsidRDefault="003F0B32" w:rsidP="00ED3261">
      <w:r>
        <w:separator/>
      </w:r>
    </w:p>
  </w:footnote>
  <w:footnote w:type="continuationSeparator" w:id="0">
    <w:p w14:paraId="6ECA9EA8" w14:textId="77777777" w:rsidR="003F0B32" w:rsidRDefault="003F0B32" w:rsidP="00ED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80FC" w14:textId="77777777" w:rsidR="0097633D" w:rsidRDefault="0097633D">
    <w:pPr>
      <w:pStyle w:val="Header"/>
    </w:pPr>
    <w:r>
      <w:rPr>
        <w:noProof/>
      </w:rPr>
      <mc:AlternateContent>
        <mc:Choice Requires="wps">
          <w:drawing>
            <wp:anchor distT="0" distB="0" distL="0" distR="0" simplePos="0" relativeHeight="251659264" behindDoc="0" locked="0" layoutInCell="1" allowOverlap="1" wp14:anchorId="45BB05FA" wp14:editId="32E12FD2">
              <wp:simplePos x="635" y="635"/>
              <wp:positionH relativeFrom="page">
                <wp:align>left</wp:align>
              </wp:positionH>
              <wp:positionV relativeFrom="page">
                <wp:align>top</wp:align>
              </wp:positionV>
              <wp:extent cx="763270" cy="345440"/>
              <wp:effectExtent l="0" t="0" r="17780" b="16510"/>
              <wp:wrapNone/>
              <wp:docPr id="197524391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9DD9FC8"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BB05FA"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09DD9FC8"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F468" w14:textId="77777777" w:rsidR="0097633D" w:rsidRDefault="0097633D">
    <w:pPr>
      <w:pStyle w:val="Header"/>
    </w:pPr>
    <w:r>
      <w:rPr>
        <w:noProof/>
      </w:rPr>
      <mc:AlternateContent>
        <mc:Choice Requires="wps">
          <w:drawing>
            <wp:anchor distT="0" distB="0" distL="0" distR="0" simplePos="0" relativeHeight="251660288" behindDoc="0" locked="0" layoutInCell="1" allowOverlap="1" wp14:anchorId="03F469A1" wp14:editId="5284ECE6">
              <wp:simplePos x="635" y="635"/>
              <wp:positionH relativeFrom="page">
                <wp:align>left</wp:align>
              </wp:positionH>
              <wp:positionV relativeFrom="page">
                <wp:align>top</wp:align>
              </wp:positionV>
              <wp:extent cx="763270" cy="345440"/>
              <wp:effectExtent l="0" t="0" r="17780" b="16510"/>
              <wp:wrapNone/>
              <wp:docPr id="191557840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FDDC1BC"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F469A1"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4FDDC1BC"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FC49" w14:textId="77777777" w:rsidR="0097633D" w:rsidRDefault="0097633D">
    <w:pPr>
      <w:pStyle w:val="Header"/>
    </w:pPr>
    <w:r>
      <w:rPr>
        <w:noProof/>
      </w:rPr>
      <mc:AlternateContent>
        <mc:Choice Requires="wps">
          <w:drawing>
            <wp:anchor distT="0" distB="0" distL="0" distR="0" simplePos="0" relativeHeight="251658240" behindDoc="0" locked="0" layoutInCell="1" allowOverlap="1" wp14:anchorId="50812239" wp14:editId="050AC96A">
              <wp:simplePos x="635" y="635"/>
              <wp:positionH relativeFrom="page">
                <wp:align>left</wp:align>
              </wp:positionH>
              <wp:positionV relativeFrom="page">
                <wp:align>top</wp:align>
              </wp:positionV>
              <wp:extent cx="763270" cy="345440"/>
              <wp:effectExtent l="0" t="0" r="17780" b="16510"/>
              <wp:wrapNone/>
              <wp:docPr id="41675866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D51120B"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812239"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7D51120B" w14:textId="77777777" w:rsidR="0097633D" w:rsidRPr="0097633D" w:rsidRDefault="0097633D" w:rsidP="0097633D">
                    <w:pPr>
                      <w:rPr>
                        <w:rFonts w:ascii="Calibri" w:eastAsia="Calibri" w:hAnsi="Calibri" w:cs="Calibri"/>
                        <w:noProof/>
                        <w:color w:val="000000"/>
                        <w:sz w:val="20"/>
                      </w:rPr>
                    </w:pPr>
                    <w:r w:rsidRPr="0097633D">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A2F"/>
    <w:multiLevelType w:val="hybridMultilevel"/>
    <w:tmpl w:val="AA56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488D"/>
    <w:multiLevelType w:val="hybridMultilevel"/>
    <w:tmpl w:val="4036C722"/>
    <w:lvl w:ilvl="0" w:tplc="F870637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53C9"/>
    <w:multiLevelType w:val="hybridMultilevel"/>
    <w:tmpl w:val="1318D390"/>
    <w:lvl w:ilvl="0" w:tplc="85A6BE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16813"/>
    <w:multiLevelType w:val="hybridMultilevel"/>
    <w:tmpl w:val="BB0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B468F"/>
    <w:multiLevelType w:val="hybridMultilevel"/>
    <w:tmpl w:val="308E3268"/>
    <w:lvl w:ilvl="0" w:tplc="D9B0B2C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A4F40"/>
    <w:multiLevelType w:val="hybridMultilevel"/>
    <w:tmpl w:val="390A7F12"/>
    <w:lvl w:ilvl="0" w:tplc="6F407536">
      <w:start w:val="1"/>
      <w:numFmt w:val="decimal"/>
      <w:lvlText w:val="%1."/>
      <w:lvlJc w:val="left"/>
      <w:pPr>
        <w:ind w:left="1440" w:hanging="360"/>
      </w:pPr>
      <w:rPr>
        <w:rFonts w:ascii="Roboto Light" w:hAnsi="Roboto Light" w:hint="default"/>
        <w:b w:val="0"/>
        <w:bCs w:val="0"/>
        <w:color w:val="auto"/>
        <w:sz w:val="22"/>
        <w:szCs w:val="22"/>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0537AB"/>
    <w:multiLevelType w:val="hybridMultilevel"/>
    <w:tmpl w:val="618492D8"/>
    <w:lvl w:ilvl="0" w:tplc="20000009">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2C382439"/>
    <w:multiLevelType w:val="hybridMultilevel"/>
    <w:tmpl w:val="A18ABF2A"/>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 w15:restartNumberingAfterBreak="0">
    <w:nsid w:val="3FCB7DC9"/>
    <w:multiLevelType w:val="hybridMultilevel"/>
    <w:tmpl w:val="B0CCFED2"/>
    <w:lvl w:ilvl="0" w:tplc="2000000F">
      <w:start w:val="1"/>
      <w:numFmt w:val="decimal"/>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 w15:restartNumberingAfterBreak="0">
    <w:nsid w:val="5E2468A2"/>
    <w:multiLevelType w:val="hybridMultilevel"/>
    <w:tmpl w:val="A1B8828A"/>
    <w:lvl w:ilvl="0" w:tplc="2000000F">
      <w:start w:val="1"/>
      <w:numFmt w:val="decimal"/>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6A8F3089"/>
    <w:multiLevelType w:val="hybridMultilevel"/>
    <w:tmpl w:val="49D0138E"/>
    <w:lvl w:ilvl="0" w:tplc="2000000F">
      <w:start w:val="1"/>
      <w:numFmt w:val="decimal"/>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71812A84"/>
    <w:multiLevelType w:val="hybridMultilevel"/>
    <w:tmpl w:val="A6AE14A6"/>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16cid:durableId="1726950625">
    <w:abstractNumId w:val="11"/>
  </w:num>
  <w:num w:numId="2" w16cid:durableId="764886030">
    <w:abstractNumId w:val="9"/>
  </w:num>
  <w:num w:numId="3" w16cid:durableId="349377348">
    <w:abstractNumId w:val="6"/>
  </w:num>
  <w:num w:numId="4" w16cid:durableId="1674726986">
    <w:abstractNumId w:val="10"/>
  </w:num>
  <w:num w:numId="5" w16cid:durableId="131793786">
    <w:abstractNumId w:val="7"/>
  </w:num>
  <w:num w:numId="6" w16cid:durableId="1207840457">
    <w:abstractNumId w:val="8"/>
  </w:num>
  <w:num w:numId="7" w16cid:durableId="736590449">
    <w:abstractNumId w:val="1"/>
  </w:num>
  <w:num w:numId="8" w16cid:durableId="858549613">
    <w:abstractNumId w:val="4"/>
  </w:num>
  <w:num w:numId="9" w16cid:durableId="880820415">
    <w:abstractNumId w:val="2"/>
  </w:num>
  <w:num w:numId="10" w16cid:durableId="905719845">
    <w:abstractNumId w:val="0"/>
  </w:num>
  <w:num w:numId="11" w16cid:durableId="2147236993">
    <w:abstractNumId w:val="3"/>
  </w:num>
  <w:num w:numId="12" w16cid:durableId="1727561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52"/>
    <w:rsid w:val="00035386"/>
    <w:rsid w:val="0004247D"/>
    <w:rsid w:val="000751E6"/>
    <w:rsid w:val="00086F74"/>
    <w:rsid w:val="000C5212"/>
    <w:rsid w:val="00104B1A"/>
    <w:rsid w:val="001136F8"/>
    <w:rsid w:val="00120DDC"/>
    <w:rsid w:val="001D391D"/>
    <w:rsid w:val="001E03F3"/>
    <w:rsid w:val="0029543A"/>
    <w:rsid w:val="002A76B4"/>
    <w:rsid w:val="002B3F3F"/>
    <w:rsid w:val="002B5892"/>
    <w:rsid w:val="002C3E16"/>
    <w:rsid w:val="00344E5F"/>
    <w:rsid w:val="003A4BDC"/>
    <w:rsid w:val="003B4E82"/>
    <w:rsid w:val="003C2FED"/>
    <w:rsid w:val="003F0B32"/>
    <w:rsid w:val="004021F9"/>
    <w:rsid w:val="00462F01"/>
    <w:rsid w:val="0046702B"/>
    <w:rsid w:val="00467169"/>
    <w:rsid w:val="0047371C"/>
    <w:rsid w:val="00485027"/>
    <w:rsid w:val="00485240"/>
    <w:rsid w:val="00491EBE"/>
    <w:rsid w:val="004E1852"/>
    <w:rsid w:val="00570CCB"/>
    <w:rsid w:val="0057762D"/>
    <w:rsid w:val="005801B7"/>
    <w:rsid w:val="0061557B"/>
    <w:rsid w:val="006457E7"/>
    <w:rsid w:val="00646D2C"/>
    <w:rsid w:val="00661FD3"/>
    <w:rsid w:val="00664946"/>
    <w:rsid w:val="006A4461"/>
    <w:rsid w:val="006B5EC2"/>
    <w:rsid w:val="00773388"/>
    <w:rsid w:val="007A331E"/>
    <w:rsid w:val="0080684E"/>
    <w:rsid w:val="00816F43"/>
    <w:rsid w:val="0082029D"/>
    <w:rsid w:val="0082198C"/>
    <w:rsid w:val="00842546"/>
    <w:rsid w:val="0087520B"/>
    <w:rsid w:val="0091095F"/>
    <w:rsid w:val="00960E16"/>
    <w:rsid w:val="00975F40"/>
    <w:rsid w:val="0097633D"/>
    <w:rsid w:val="0099605F"/>
    <w:rsid w:val="009A5986"/>
    <w:rsid w:val="009B7857"/>
    <w:rsid w:val="00A22B0C"/>
    <w:rsid w:val="00A3093C"/>
    <w:rsid w:val="00A42FD7"/>
    <w:rsid w:val="00A6559D"/>
    <w:rsid w:val="00AC66B0"/>
    <w:rsid w:val="00B01449"/>
    <w:rsid w:val="00B04DA5"/>
    <w:rsid w:val="00B2591A"/>
    <w:rsid w:val="00B57064"/>
    <w:rsid w:val="00B57F6A"/>
    <w:rsid w:val="00B76580"/>
    <w:rsid w:val="00BB4509"/>
    <w:rsid w:val="00BC3731"/>
    <w:rsid w:val="00BC6CD0"/>
    <w:rsid w:val="00BE257A"/>
    <w:rsid w:val="00C027C8"/>
    <w:rsid w:val="00C23085"/>
    <w:rsid w:val="00C367DA"/>
    <w:rsid w:val="00C54A20"/>
    <w:rsid w:val="00C56152"/>
    <w:rsid w:val="00C64AE6"/>
    <w:rsid w:val="00C970F3"/>
    <w:rsid w:val="00CC11B4"/>
    <w:rsid w:val="00CE3519"/>
    <w:rsid w:val="00D00F6F"/>
    <w:rsid w:val="00D0632F"/>
    <w:rsid w:val="00D15C2B"/>
    <w:rsid w:val="00E24BBE"/>
    <w:rsid w:val="00E90AB7"/>
    <w:rsid w:val="00EC7108"/>
    <w:rsid w:val="00ED3261"/>
    <w:rsid w:val="00EE66B6"/>
    <w:rsid w:val="00F25A36"/>
    <w:rsid w:val="00F41373"/>
    <w:rsid w:val="00F46BEA"/>
    <w:rsid w:val="00F51E20"/>
    <w:rsid w:val="00F56A26"/>
    <w:rsid w:val="00F570FA"/>
    <w:rsid w:val="00F82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23BF"/>
  <w15:chartTrackingRefBased/>
  <w15:docId w15:val="{1F26B4F9-E436-4E58-8749-B571B564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61"/>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rsid w:val="00ED3261"/>
    <w:pPr>
      <w:tabs>
        <w:tab w:val="left" w:pos="-720"/>
      </w:tabs>
      <w:suppressAutoHyphens/>
      <w:spacing w:after="0" w:line="240" w:lineRule="auto"/>
    </w:pPr>
    <w:rPr>
      <w:rFonts w:ascii="CG Times" w:eastAsia="Times New Roman" w:hAnsi="CG Times" w:cs="Times New Roman"/>
      <w:szCs w:val="20"/>
    </w:rPr>
  </w:style>
  <w:style w:type="character" w:styleId="FootnoteReference">
    <w:name w:val="footnote reference"/>
    <w:semiHidden/>
    <w:rsid w:val="00ED3261"/>
    <w:rPr>
      <w:rFonts w:ascii="CG Times" w:hAnsi="CG Times"/>
      <w:noProof w:val="0"/>
      <w:sz w:val="22"/>
      <w:vertAlign w:val="superscript"/>
      <w:lang w:val="en-US"/>
    </w:rPr>
  </w:style>
  <w:style w:type="paragraph" w:styleId="FootnoteText">
    <w:name w:val="footnote text"/>
    <w:basedOn w:val="Normal"/>
    <w:link w:val="FootnoteTextChar"/>
    <w:semiHidden/>
    <w:rsid w:val="00ED3261"/>
    <w:pPr>
      <w:tabs>
        <w:tab w:val="left" w:pos="-720"/>
      </w:tabs>
      <w:suppressAutoHyphens/>
    </w:pPr>
    <w:rPr>
      <w:rFonts w:ascii="Times New Roman" w:hAnsi="Times New Roman"/>
      <w:sz w:val="20"/>
    </w:rPr>
  </w:style>
  <w:style w:type="character" w:customStyle="1" w:styleId="FootnoteTextChar">
    <w:name w:val="Footnote Text Char"/>
    <w:basedOn w:val="DefaultParagraphFont"/>
    <w:link w:val="FootnoteText"/>
    <w:semiHidden/>
    <w:rsid w:val="00ED3261"/>
    <w:rPr>
      <w:rFonts w:ascii="Times New Roman" w:eastAsia="Times New Roman" w:hAnsi="Times New Roman" w:cs="Times New Roman"/>
      <w:sz w:val="20"/>
      <w:szCs w:val="20"/>
    </w:rPr>
  </w:style>
  <w:style w:type="paragraph" w:customStyle="1" w:styleId="Heading1a">
    <w:name w:val="Heading 1a"/>
    <w:rsid w:val="00ED326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rsid w:val="00ED3261"/>
    <w:pPr>
      <w:suppressAutoHyphens/>
    </w:pPr>
    <w:rPr>
      <w:spacing w:val="-2"/>
      <w:sz w:val="24"/>
    </w:rPr>
  </w:style>
  <w:style w:type="character" w:customStyle="1" w:styleId="BodyTextChar">
    <w:name w:val="Body Text Char"/>
    <w:basedOn w:val="DefaultParagraphFont"/>
    <w:link w:val="BodyText"/>
    <w:rsid w:val="00ED3261"/>
    <w:rPr>
      <w:rFonts w:ascii="CG Times" w:eastAsia="Times New Roman" w:hAnsi="CG Times" w:cs="Times New Roman"/>
      <w:spacing w:val="-2"/>
      <w:sz w:val="24"/>
      <w:szCs w:val="20"/>
    </w:rPr>
  </w:style>
  <w:style w:type="character" w:styleId="Hyperlink">
    <w:name w:val="Hyperlink"/>
    <w:rsid w:val="00ED3261"/>
    <w:rPr>
      <w:color w:val="0000FF"/>
      <w:u w:val="single"/>
    </w:rPr>
  </w:style>
  <w:style w:type="character" w:customStyle="1" w:styleId="pbmit-footer-contact-info-wrap">
    <w:name w:val="pbmit-footer-contact-info-wrap"/>
    <w:basedOn w:val="DefaultParagraphFont"/>
    <w:rsid w:val="006457E7"/>
  </w:style>
  <w:style w:type="paragraph" w:styleId="ListParagraph">
    <w:name w:val="List Paragraph"/>
    <w:aliases w:val="References,List Paragraph2,sub-procedure,Text,Citation List,List Paragraph (numbered (a)),Bullets,Liste 1,Numbered List Paragraph,ReferencesCxSpLast,Medium Grid 1 - Accent 21,List Paragraph nowy,Paragraphe  revu,Paragraphe de liste1,RM1,P"/>
    <w:basedOn w:val="Normal"/>
    <w:link w:val="ListParagraphChar"/>
    <w:uiPriority w:val="34"/>
    <w:qFormat/>
    <w:rsid w:val="00960E16"/>
    <w:pPr>
      <w:ind w:left="720"/>
      <w:contextualSpacing/>
    </w:pPr>
  </w:style>
  <w:style w:type="paragraph" w:customStyle="1" w:styleId="Default">
    <w:name w:val="Default"/>
    <w:rsid w:val="006155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7633D"/>
    <w:pPr>
      <w:tabs>
        <w:tab w:val="center" w:pos="4680"/>
        <w:tab w:val="right" w:pos="9360"/>
      </w:tabs>
    </w:pPr>
  </w:style>
  <w:style w:type="character" w:customStyle="1" w:styleId="HeaderChar">
    <w:name w:val="Header Char"/>
    <w:basedOn w:val="DefaultParagraphFont"/>
    <w:link w:val="Header"/>
    <w:uiPriority w:val="99"/>
    <w:rsid w:val="0097633D"/>
    <w:rPr>
      <w:rFonts w:ascii="CG Times" w:eastAsia="Times New Roman" w:hAnsi="CG Times" w:cs="Times New Roman"/>
      <w:szCs w:val="20"/>
    </w:rPr>
  </w:style>
  <w:style w:type="character" w:customStyle="1" w:styleId="ListParagraphChar">
    <w:name w:val="List Paragraph Char"/>
    <w:aliases w:val="References Char,List Paragraph2 Char,sub-procedure Char,Text Char,Citation List Char,List Paragraph (numbered (a)) Char,Bullets Char,Liste 1 Char,Numbered List Paragraph Char,ReferencesCxSpLast Char,Medium Grid 1 - Accent 21 Char"/>
    <w:basedOn w:val="DefaultParagraphFont"/>
    <w:link w:val="ListParagraph"/>
    <w:uiPriority w:val="34"/>
    <w:qFormat/>
    <w:locked/>
    <w:rsid w:val="00F56A26"/>
    <w:rPr>
      <w:rFonts w:ascii="CG Times" w:eastAsia="Times New Roman" w:hAnsi="CG Times" w:cs="Times New Roman"/>
      <w:szCs w:val="20"/>
    </w:rPr>
  </w:style>
  <w:style w:type="character" w:styleId="CommentReference">
    <w:name w:val="annotation reference"/>
    <w:basedOn w:val="DefaultParagraphFont"/>
    <w:uiPriority w:val="99"/>
    <w:semiHidden/>
    <w:unhideWhenUsed/>
    <w:rsid w:val="00C970F3"/>
    <w:rPr>
      <w:sz w:val="16"/>
      <w:szCs w:val="16"/>
    </w:rPr>
  </w:style>
  <w:style w:type="paragraph" w:styleId="CommentText">
    <w:name w:val="annotation text"/>
    <w:basedOn w:val="Normal"/>
    <w:link w:val="CommentTextChar"/>
    <w:uiPriority w:val="99"/>
    <w:semiHidden/>
    <w:unhideWhenUsed/>
    <w:rsid w:val="00C970F3"/>
    <w:rPr>
      <w:sz w:val="20"/>
    </w:rPr>
  </w:style>
  <w:style w:type="character" w:customStyle="1" w:styleId="CommentTextChar">
    <w:name w:val="Comment Text Char"/>
    <w:basedOn w:val="DefaultParagraphFont"/>
    <w:link w:val="CommentText"/>
    <w:uiPriority w:val="99"/>
    <w:semiHidden/>
    <w:rsid w:val="00C970F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70F3"/>
    <w:rPr>
      <w:b/>
      <w:bCs/>
    </w:rPr>
  </w:style>
  <w:style w:type="character" w:customStyle="1" w:styleId="CommentSubjectChar">
    <w:name w:val="Comment Subject Char"/>
    <w:basedOn w:val="CommentTextChar"/>
    <w:link w:val="CommentSubject"/>
    <w:uiPriority w:val="99"/>
    <w:semiHidden/>
    <w:rsid w:val="00C970F3"/>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6B5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C2"/>
    <w:rPr>
      <w:rFonts w:ascii="Segoe UI" w:eastAsia="Times New Roman" w:hAnsi="Segoe UI" w:cs="Segoe UI"/>
      <w:sz w:val="18"/>
      <w:szCs w:val="18"/>
    </w:rPr>
  </w:style>
  <w:style w:type="paragraph" w:styleId="Revision">
    <w:name w:val="Revision"/>
    <w:hidden/>
    <w:uiPriority w:val="99"/>
    <w:semiHidden/>
    <w:rsid w:val="00B57F6A"/>
    <w:pPr>
      <w:spacing w:after="0" w:line="240" w:lineRule="auto"/>
    </w:pPr>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db.org/irj/portal/anonymous?NavigationTarget=navurl://76e1dfd61777849cc88228c9bfe818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Nevzat Yasar</cp:lastModifiedBy>
  <cp:revision>4</cp:revision>
  <dcterms:created xsi:type="dcterms:W3CDTF">2026-01-13T14:37:00Z</dcterms:created>
  <dcterms:modified xsi:type="dcterms:W3CDTF">2026-01-15T12:07:00Z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18d73b8b,75bbd48a,722d6825</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2024-12-06T10:08:21Z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20d36288-68f7-418f-8f88-0b164083c44c</vt:lpwstr>
  </property>
  <property fmtid="{D5CDD505-2E9C-101B-9397-08002B2CF9AE}" pid="11" name="MSIP_Label_9ef4adf7-25a7-4f52-a61a-df7190f1d881_ContentBits">
    <vt:lpwstr>1</vt:lpwstr>
  </property>
</Properties>
</file>