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F137" w14:textId="77777777" w:rsidR="000B35F8" w:rsidRPr="00B0505E" w:rsidRDefault="000B35F8" w:rsidP="00946882">
      <w:pPr>
        <w:spacing w:after="0" w:line="0" w:lineRule="atLeast"/>
        <w:contextualSpacing/>
        <w:jc w:val="center"/>
        <w:rPr>
          <w:rFonts w:ascii="Ouguiyas" w:hAnsi="Ouguiyas" w:cstheme="majorBidi"/>
          <w:b/>
          <w:bCs/>
          <w:sz w:val="24"/>
          <w:szCs w:val="24"/>
        </w:rPr>
      </w:pPr>
      <w:r w:rsidRPr="00B0505E">
        <w:rPr>
          <w:rFonts w:ascii="Ouguiyas" w:hAnsi="Ouguiyas" w:cstheme="majorBidi"/>
          <w:b/>
          <w:bCs/>
          <w:sz w:val="24"/>
          <w:szCs w:val="24"/>
        </w:rPr>
        <w:t>RÉPUBLIQUE ISLAMIQUE DE MAURITANIE</w:t>
      </w:r>
    </w:p>
    <w:p w14:paraId="2B5C9503" w14:textId="77777777" w:rsidR="000B35F8" w:rsidRPr="00B0505E" w:rsidRDefault="000B35F8" w:rsidP="00946882">
      <w:pPr>
        <w:spacing w:after="0" w:line="0" w:lineRule="atLeast"/>
        <w:contextualSpacing/>
        <w:jc w:val="center"/>
        <w:rPr>
          <w:rFonts w:ascii="Ouguiyas" w:hAnsi="Ouguiyas" w:cstheme="majorBidi"/>
          <w:b/>
          <w:bCs/>
          <w:sz w:val="24"/>
          <w:szCs w:val="24"/>
        </w:rPr>
      </w:pPr>
      <w:r w:rsidRPr="00B0505E">
        <w:rPr>
          <w:rFonts w:ascii="Ouguiyas" w:hAnsi="Ouguiyas" w:cstheme="majorBidi"/>
          <w:b/>
          <w:bCs/>
          <w:sz w:val="18"/>
          <w:szCs w:val="18"/>
        </w:rPr>
        <w:t>Honneur – Fraternité - Justice</w:t>
      </w:r>
    </w:p>
    <w:p w14:paraId="19CD5940" w14:textId="77777777" w:rsidR="000B35F8" w:rsidRPr="00B0505E" w:rsidRDefault="000B35F8" w:rsidP="00946882">
      <w:pPr>
        <w:spacing w:after="0" w:line="0" w:lineRule="atLeast"/>
        <w:contextualSpacing/>
        <w:jc w:val="center"/>
        <w:rPr>
          <w:rFonts w:ascii="Ouguiyas" w:hAnsi="Ouguiyas" w:cstheme="majorBidi"/>
          <w:b/>
          <w:bCs/>
          <w:sz w:val="8"/>
          <w:szCs w:val="8"/>
        </w:rPr>
      </w:pPr>
    </w:p>
    <w:p w14:paraId="25EEED1D" w14:textId="77777777" w:rsidR="00836E1E" w:rsidRPr="00B0505E" w:rsidRDefault="00836E1E" w:rsidP="00946882">
      <w:pPr>
        <w:spacing w:after="0" w:line="240" w:lineRule="auto"/>
        <w:jc w:val="center"/>
        <w:rPr>
          <w:rFonts w:ascii="Ouguiyas" w:hAnsi="Ouguiyas"/>
          <w:b/>
          <w:bCs/>
          <w:sz w:val="24"/>
          <w:szCs w:val="24"/>
        </w:rPr>
      </w:pPr>
      <w:r w:rsidRPr="00B0505E">
        <w:rPr>
          <w:rFonts w:ascii="Ouguiyas" w:hAnsi="Ouguiyas"/>
          <w:b/>
          <w:bCs/>
          <w:sz w:val="24"/>
          <w:szCs w:val="24"/>
        </w:rPr>
        <w:t>AUTORITE DE REGULATION DES MARCHES PUBLICS</w:t>
      </w:r>
    </w:p>
    <w:p w14:paraId="5A0B2BFA" w14:textId="77777777" w:rsidR="00836E1E" w:rsidRPr="00B0505E" w:rsidRDefault="00836E1E" w:rsidP="00946882">
      <w:pPr>
        <w:spacing w:after="120" w:line="240" w:lineRule="auto"/>
        <w:jc w:val="center"/>
        <w:rPr>
          <w:rFonts w:ascii="Ouguiyas" w:hAnsi="Ouguiyas"/>
          <w:sz w:val="24"/>
          <w:szCs w:val="24"/>
        </w:rPr>
      </w:pPr>
      <w:r w:rsidRPr="00B0505E">
        <w:rPr>
          <w:rFonts w:ascii="Ouguiyas" w:hAnsi="Ouguiyas"/>
          <w:sz w:val="24"/>
          <w:szCs w:val="24"/>
        </w:rPr>
        <w:t>Transparence - Équité – Intégrité</w:t>
      </w:r>
    </w:p>
    <w:p w14:paraId="79A309BB" w14:textId="77777777" w:rsidR="00836E1E" w:rsidRPr="00B0505E" w:rsidRDefault="00836E1E" w:rsidP="00946882">
      <w:pPr>
        <w:spacing w:line="240" w:lineRule="auto"/>
        <w:jc w:val="center"/>
        <w:rPr>
          <w:rFonts w:ascii="Ouguiyas" w:hAnsi="Ouguiyas"/>
          <w:b/>
          <w:bCs/>
          <w:sz w:val="24"/>
          <w:szCs w:val="24"/>
        </w:rPr>
      </w:pPr>
      <w:r w:rsidRPr="00B0505E">
        <w:rPr>
          <w:rFonts w:ascii="Ouguiyas" w:eastAsia="Arial" w:hAnsi="Ouguiyas" w:cs="Arial"/>
          <w:b/>
          <w:bCs/>
          <w:i/>
          <w:iCs/>
          <w:noProof/>
          <w:color w:val="000080"/>
          <w:kern w:val="2"/>
          <w:sz w:val="52"/>
          <w:szCs w:val="52"/>
          <w:u w:color="000080"/>
          <w:lang w:eastAsia="fr-FR"/>
        </w:rPr>
        <w:drawing>
          <wp:inline distT="0" distB="0" distL="0" distR="0" wp14:anchorId="3D6A28B5" wp14:editId="2245DEBE">
            <wp:extent cx="1060450" cy="714375"/>
            <wp:effectExtent l="0" t="0" r="0" b="0"/>
            <wp:docPr id="703064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64167" name="Image 703064167"/>
                    <pic:cNvPicPr/>
                  </pic:nvPicPr>
                  <pic:blipFill>
                    <a:blip r:embed="rId8"/>
                    <a:stretch>
                      <a:fillRect/>
                    </a:stretch>
                  </pic:blipFill>
                  <pic:spPr>
                    <a:xfrm>
                      <a:off x="0" y="0"/>
                      <a:ext cx="1189370" cy="801222"/>
                    </a:xfrm>
                    <a:prstGeom prst="rect">
                      <a:avLst/>
                    </a:prstGeom>
                  </pic:spPr>
                </pic:pic>
              </a:graphicData>
            </a:graphic>
          </wp:inline>
        </w:drawing>
      </w:r>
    </w:p>
    <w:p w14:paraId="7EB94B0F" w14:textId="12DFBFC0" w:rsidR="00836E1E" w:rsidRPr="00B0505E" w:rsidRDefault="00836E1E" w:rsidP="00946882">
      <w:pPr>
        <w:spacing w:after="0" w:line="240" w:lineRule="auto"/>
        <w:jc w:val="both"/>
        <w:rPr>
          <w:rFonts w:ascii="Ouguiyas" w:hAnsi="Ouguiyas" w:cstheme="majorBidi"/>
          <w:b/>
          <w:bCs/>
          <w:color w:val="000000"/>
          <w:sz w:val="24"/>
          <w:szCs w:val="24"/>
        </w:rPr>
      </w:pPr>
      <w:r w:rsidRPr="00B0505E">
        <w:rPr>
          <w:rFonts w:ascii="Ouguiyas" w:hAnsi="Ouguiyas" w:cstheme="majorBidi"/>
          <w:b/>
          <w:bCs/>
          <w:sz w:val="24"/>
          <w:szCs w:val="24"/>
        </w:rPr>
        <w:t xml:space="preserve">Termes de référence pour le recrutement d’une assistance technique </w:t>
      </w:r>
      <w:r w:rsidR="00A56467" w:rsidRPr="00B0505E">
        <w:rPr>
          <w:rFonts w:ascii="Ouguiyas" w:hAnsi="Ouguiyas" w:cstheme="majorBidi"/>
          <w:b/>
          <w:bCs/>
          <w:color w:val="000000" w:themeColor="text1"/>
          <w:sz w:val="24"/>
          <w:szCs w:val="24"/>
        </w:rPr>
        <w:t>pour la professionnalisation de la passation des marchés publics en Mauritanie, incluant la mise à jour de l’étude de faisabilité, le développement des cursus et l’assistance à la mise en œuvre</w:t>
      </w:r>
    </w:p>
    <w:p w14:paraId="25816FAB" w14:textId="77777777" w:rsidR="00836E1E" w:rsidRPr="00B0505E" w:rsidRDefault="00836E1E" w:rsidP="00836E1E">
      <w:pPr>
        <w:spacing w:after="0" w:line="240" w:lineRule="auto"/>
        <w:jc w:val="both"/>
        <w:rPr>
          <w:rFonts w:ascii="Ouguiyas" w:hAnsi="Ouguiyas" w:cstheme="majorBidi"/>
          <w:b/>
          <w:bCs/>
          <w:sz w:val="8"/>
          <w:szCs w:val="2"/>
        </w:rPr>
      </w:pPr>
    </w:p>
    <w:p w14:paraId="71A5B847" w14:textId="77777777" w:rsidR="00836E1E" w:rsidRPr="00B0505E" w:rsidRDefault="00836E1E" w:rsidP="00836E1E">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t>Contexte et justification</w:t>
      </w:r>
    </w:p>
    <w:p w14:paraId="7D9B6EBB" w14:textId="77777777" w:rsidR="00836E1E" w:rsidRPr="00B0505E" w:rsidRDefault="00836E1E" w:rsidP="00836E1E">
      <w:pPr>
        <w:spacing w:before="120" w:after="120" w:line="240" w:lineRule="auto"/>
        <w:ind w:right="14"/>
        <w:jc w:val="both"/>
        <w:rPr>
          <w:rFonts w:ascii="Ouguiyas" w:hAnsi="Ouguiyas"/>
          <w:sz w:val="24"/>
          <w:szCs w:val="24"/>
        </w:rPr>
      </w:pPr>
      <w:r w:rsidRPr="00B0505E">
        <w:rPr>
          <w:rFonts w:ascii="Ouguiyas" w:hAnsi="Ouguiyas"/>
          <w:sz w:val="24"/>
          <w:szCs w:val="24"/>
        </w:rPr>
        <w:t>Le Gouvernement Mauritanien a entrepris en 2021 une réforme de son système des marchés qui s’inscrit dans le cadre de la Stratégie de Croissance Accélérée et de Prospérité Partagée (SCAPP) et de la Stratégie Nationale de Lutte contre la Corruption (SNLC) qui ont pour but d’assurer une gestion efficiente et transparente des ressources publiques et de lutter contre toutes les formes de corruption et de gabegie.</w:t>
      </w:r>
    </w:p>
    <w:p w14:paraId="7F0BB441" w14:textId="77777777" w:rsidR="00836E1E" w:rsidRPr="00B0505E" w:rsidRDefault="00836E1E" w:rsidP="00836E1E">
      <w:pPr>
        <w:spacing w:before="120" w:after="120" w:line="240" w:lineRule="auto"/>
        <w:ind w:right="14"/>
        <w:jc w:val="both"/>
        <w:rPr>
          <w:rFonts w:ascii="Ouguiyas" w:hAnsi="Ouguiyas"/>
          <w:sz w:val="24"/>
          <w:szCs w:val="24"/>
        </w:rPr>
      </w:pPr>
      <w:r w:rsidRPr="00B0505E">
        <w:rPr>
          <w:rFonts w:ascii="Ouguiyas" w:hAnsi="Ouguiyas"/>
          <w:sz w:val="24"/>
          <w:szCs w:val="24"/>
        </w:rPr>
        <w:t>Dans ce cadre, la commande publique, levier stratégique pour le développement économique et social</w:t>
      </w:r>
      <w:r w:rsidRPr="00B0505E">
        <w:rPr>
          <w:rFonts w:ascii="Ouguiyas" w:hAnsi="Ouguiyas"/>
        </w:rPr>
        <w:t xml:space="preserve"> par </w:t>
      </w:r>
      <w:r w:rsidRPr="00B0505E">
        <w:rPr>
          <w:rFonts w:ascii="Ouguiyas" w:hAnsi="Ouguiyas"/>
          <w:sz w:val="24"/>
          <w:szCs w:val="24"/>
        </w:rPr>
        <w:t>l'amélioration des services publics et des conditions de vie, est soumise à une exigence de bonne gouvernance plus accrue fondée sur la transparence, la responsabilité, l’efficacité, et la maîtrise des risques de fraude et de corruption.</w:t>
      </w:r>
    </w:p>
    <w:p w14:paraId="02324505" w14:textId="77777777" w:rsidR="00836E1E" w:rsidRPr="00B0505E" w:rsidRDefault="00836E1E" w:rsidP="00836E1E">
      <w:pPr>
        <w:spacing w:before="120" w:after="120" w:line="240" w:lineRule="auto"/>
        <w:ind w:right="14"/>
        <w:jc w:val="both"/>
        <w:rPr>
          <w:rFonts w:ascii="Ouguiyas" w:hAnsi="Ouguiyas"/>
          <w:sz w:val="24"/>
          <w:szCs w:val="24"/>
        </w:rPr>
      </w:pPr>
      <w:r w:rsidRPr="00B0505E">
        <w:rPr>
          <w:rFonts w:ascii="Ouguiyas" w:hAnsi="Ouguiyas"/>
          <w:sz w:val="24"/>
          <w:szCs w:val="24"/>
        </w:rPr>
        <w:t xml:space="preserve">Le rapport élaboré en 2025 sur </w:t>
      </w:r>
      <w:bookmarkStart w:id="0" w:name="_Hlk208739778"/>
      <w:r w:rsidRPr="00B0505E">
        <w:rPr>
          <w:rFonts w:ascii="Ouguiyas" w:hAnsi="Ouguiyas"/>
          <w:sz w:val="24"/>
          <w:szCs w:val="24"/>
        </w:rPr>
        <w:t xml:space="preserve">la cartographie des risques </w:t>
      </w:r>
      <w:bookmarkEnd w:id="0"/>
      <w:r w:rsidRPr="00B0505E">
        <w:rPr>
          <w:rFonts w:ascii="Ouguiyas" w:hAnsi="Ouguiyas"/>
          <w:sz w:val="24"/>
          <w:szCs w:val="24"/>
        </w:rPr>
        <w:t xml:space="preserve">de la corruption dans la commande publique a qualifié l’absence de professionnalisation du métier d'acheteur public comme un risque stratégique et opérationnel de niveau critique à maitriser.  </w:t>
      </w:r>
    </w:p>
    <w:p w14:paraId="3EE089A5" w14:textId="77777777" w:rsidR="00836E1E" w:rsidRPr="00B0505E" w:rsidRDefault="00836E1E" w:rsidP="00836E1E">
      <w:pPr>
        <w:spacing w:before="120" w:after="120" w:line="240" w:lineRule="auto"/>
        <w:ind w:right="14"/>
        <w:jc w:val="both"/>
        <w:rPr>
          <w:rFonts w:ascii="Ouguiyas" w:hAnsi="Ouguiyas"/>
          <w:sz w:val="24"/>
          <w:szCs w:val="24"/>
        </w:rPr>
      </w:pPr>
      <w:r w:rsidRPr="00B0505E">
        <w:rPr>
          <w:rFonts w:ascii="Ouguiyas" w:hAnsi="Ouguiyas"/>
          <w:sz w:val="24"/>
          <w:szCs w:val="24"/>
        </w:rPr>
        <w:t xml:space="preserve">Ce rapport a mis en exergue l’absence d’un de corps des métiers et </w:t>
      </w:r>
      <w:bookmarkStart w:id="1" w:name="_Hlk208739172"/>
      <w:r w:rsidRPr="00B0505E">
        <w:rPr>
          <w:rFonts w:ascii="Ouguiyas" w:hAnsi="Ouguiyas"/>
          <w:sz w:val="24"/>
          <w:szCs w:val="24"/>
        </w:rPr>
        <w:t>une insuffisance</w:t>
      </w:r>
      <w:bookmarkEnd w:id="1"/>
      <w:r w:rsidRPr="00B0505E">
        <w:rPr>
          <w:rFonts w:ascii="Ouguiyas" w:hAnsi="Ouguiyas"/>
          <w:sz w:val="24"/>
          <w:szCs w:val="24"/>
        </w:rPr>
        <w:t xml:space="preserve"> de compétences résultant essentiellement d’un déficit important en matière de formation diplômante et de formation des formateurs dans la commande publique.  </w:t>
      </w:r>
    </w:p>
    <w:p w14:paraId="470D5F73" w14:textId="77777777" w:rsidR="00836E1E" w:rsidRPr="00B0505E" w:rsidRDefault="00836E1E" w:rsidP="00836E1E">
      <w:pPr>
        <w:spacing w:line="240" w:lineRule="auto"/>
        <w:jc w:val="both"/>
        <w:rPr>
          <w:rFonts w:ascii="Ouguiyas" w:hAnsi="Ouguiyas"/>
          <w:sz w:val="24"/>
          <w:szCs w:val="24"/>
        </w:rPr>
      </w:pPr>
      <w:r w:rsidRPr="00B0505E">
        <w:rPr>
          <w:rFonts w:ascii="Ouguiyas" w:hAnsi="Ouguiyas"/>
          <w:sz w:val="24"/>
          <w:szCs w:val="24"/>
        </w:rPr>
        <w:t>Cette cartographie des risques a confirmé les constats déjà établis par une étude commanditée par l’ARMP en 2017 sur la mise en place d’une filière des marchés publics au sein de l’Ecole Nationale d’Administration, du Journalisme et de la Magistrature (ENAJM) et sur d’autres aspects de nature à améliorer la formation des acteurs du système national de passation des marchés publics</w:t>
      </w:r>
      <w:r w:rsidRPr="00B0505E">
        <w:rPr>
          <w:rFonts w:ascii="Ouguiyas" w:hAnsi="Ouguiyas" w:cstheme="majorBidi"/>
          <w:color w:val="000000"/>
          <w:sz w:val="24"/>
          <w:szCs w:val="24"/>
        </w:rPr>
        <w:t>.</w:t>
      </w:r>
      <w:r w:rsidRPr="00B0505E">
        <w:rPr>
          <w:rFonts w:ascii="Ouguiyas" w:hAnsi="Ouguiyas"/>
          <w:sz w:val="24"/>
          <w:szCs w:val="24"/>
        </w:rPr>
        <w:t xml:space="preserve"> </w:t>
      </w:r>
    </w:p>
    <w:p w14:paraId="671396D1" w14:textId="77777777" w:rsidR="00836E1E" w:rsidRPr="00B0505E" w:rsidRDefault="00836E1E" w:rsidP="00836E1E">
      <w:pPr>
        <w:spacing w:line="240" w:lineRule="auto"/>
        <w:jc w:val="both"/>
        <w:rPr>
          <w:rFonts w:ascii="Ouguiyas" w:hAnsi="Ouguiyas"/>
          <w:sz w:val="24"/>
          <w:szCs w:val="24"/>
        </w:rPr>
      </w:pPr>
      <w:r w:rsidRPr="00B0505E">
        <w:rPr>
          <w:rFonts w:ascii="Ouguiyas" w:hAnsi="Ouguiyas"/>
          <w:sz w:val="24"/>
          <w:szCs w:val="24"/>
        </w:rPr>
        <w:t>Les recommandations de cette étude qui n’avaient pas été mises en œuvre pour des contraintes réglementaires, peuvent, de nos jours, trouver pleinement application du fait d’un cadre juridique des marchés publics nouveau et largement plus favorable, d’une volonté politique forte et d’un engagement des parties prenantes en faveur de la professionnalisation du système des marchés publics.</w:t>
      </w:r>
    </w:p>
    <w:p w14:paraId="758DBA2C" w14:textId="77777777" w:rsidR="00836E1E" w:rsidRPr="00B0505E" w:rsidRDefault="00836E1E" w:rsidP="00836E1E">
      <w:pPr>
        <w:spacing w:line="240" w:lineRule="auto"/>
        <w:jc w:val="both"/>
        <w:rPr>
          <w:rFonts w:ascii="Ouguiyas" w:hAnsi="Ouguiyas"/>
          <w:sz w:val="24"/>
          <w:szCs w:val="24"/>
        </w:rPr>
      </w:pPr>
      <w:r w:rsidRPr="00B0505E">
        <w:rPr>
          <w:rFonts w:ascii="Ouguiyas" w:hAnsi="Ouguiyas"/>
          <w:sz w:val="24"/>
          <w:szCs w:val="24"/>
        </w:rPr>
        <w:t>C’est dans ce contexte que l’ARMP entend mettre en œuvre</w:t>
      </w:r>
      <w:r w:rsidRPr="00B0505E">
        <w:rPr>
          <w:rFonts w:ascii="Ouguiyas" w:hAnsi="Ouguiyas"/>
        </w:rPr>
        <w:t xml:space="preserve">, </w:t>
      </w:r>
      <w:r w:rsidRPr="00B0505E">
        <w:rPr>
          <w:rFonts w:ascii="Ouguiyas" w:hAnsi="Ouguiyas"/>
          <w:sz w:val="24"/>
          <w:szCs w:val="24"/>
        </w:rPr>
        <w:t xml:space="preserve">avec l’appui de la BIsD, un programme de renforcement des capacités des acteurs du système national des marchés publics et, à cette fin, elle compte recruter un Consultant pour la mise à jour de l’étude initiale relative à </w:t>
      </w:r>
      <w:r w:rsidRPr="00B0505E">
        <w:rPr>
          <w:rFonts w:ascii="Ouguiyas" w:hAnsi="Ouguiyas" w:cstheme="majorBidi"/>
          <w:sz w:val="24"/>
          <w:szCs w:val="24"/>
        </w:rPr>
        <w:t>« l’i</w:t>
      </w:r>
      <w:r w:rsidRPr="00B0505E">
        <w:rPr>
          <w:rFonts w:ascii="Ouguiyas" w:hAnsi="Ouguiyas" w:cstheme="majorBidi"/>
          <w:color w:val="000000"/>
          <w:sz w:val="24"/>
          <w:szCs w:val="24"/>
        </w:rPr>
        <w:t>ntroduction d’un cursus d’enseignement des marchés publics au sein de certains établissements d’enseignement supérieur ».</w:t>
      </w:r>
      <w:r w:rsidRPr="00B0505E">
        <w:rPr>
          <w:rFonts w:ascii="Ouguiyas" w:hAnsi="Ouguiyas"/>
          <w:sz w:val="24"/>
          <w:szCs w:val="24"/>
        </w:rPr>
        <w:t xml:space="preserve">  </w:t>
      </w:r>
    </w:p>
    <w:p w14:paraId="592C198D" w14:textId="77777777" w:rsidR="00836E1E" w:rsidRPr="00B0505E" w:rsidRDefault="00836E1E" w:rsidP="00836E1E">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lastRenderedPageBreak/>
        <w:t xml:space="preserve">Objectifs </w:t>
      </w:r>
    </w:p>
    <w:p w14:paraId="0BDD21E6" w14:textId="352499AB" w:rsidR="00836E1E" w:rsidRPr="00B0505E" w:rsidRDefault="00836E1E" w:rsidP="00836E1E">
      <w:pPr>
        <w:spacing w:line="240" w:lineRule="auto"/>
        <w:jc w:val="both"/>
        <w:rPr>
          <w:rFonts w:ascii="Ouguiyas" w:hAnsi="Ouguiyas"/>
          <w:sz w:val="24"/>
          <w:szCs w:val="24"/>
        </w:rPr>
      </w:pPr>
      <w:r w:rsidRPr="00B0505E">
        <w:rPr>
          <w:rFonts w:ascii="Ouguiyas" w:hAnsi="Ouguiyas"/>
          <w:sz w:val="24"/>
          <w:szCs w:val="24"/>
        </w:rPr>
        <w:t>L’objectif de la mission est la mise à jour de l’étude de faisabilité de la professionnalisation du métier et des acteurs de la commande publique</w:t>
      </w:r>
      <w:r w:rsidR="008A59E8" w:rsidRPr="00B0505E">
        <w:rPr>
          <w:rFonts w:ascii="Ouguiyas" w:hAnsi="Ouguiyas"/>
          <w:sz w:val="24"/>
          <w:szCs w:val="24"/>
        </w:rPr>
        <w:t>, l’élaboration d’une stratégie nationale de professionnalisation de la passation des marchés publics,</w:t>
      </w:r>
      <w:r w:rsidRPr="00B0505E">
        <w:rPr>
          <w:rFonts w:ascii="Ouguiyas" w:hAnsi="Ouguiyas"/>
          <w:sz w:val="24"/>
          <w:szCs w:val="24"/>
        </w:rPr>
        <w:t xml:space="preserve"> sur la base de la prise en compte de l’évolution du système, de la réévaluation des analyses initiales, de l'actualisation des recommandations et de la proposition d’une démarche de mise en œuvre.</w:t>
      </w:r>
    </w:p>
    <w:p w14:paraId="50991BFC" w14:textId="77777777" w:rsidR="006F7A17" w:rsidRPr="00B0505E" w:rsidRDefault="006F7A17" w:rsidP="00997F88">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t>Tâches du consultant :</w:t>
      </w:r>
    </w:p>
    <w:p w14:paraId="78396961" w14:textId="0BA9AE32" w:rsidR="006F7A17" w:rsidRPr="00B0505E" w:rsidRDefault="006F7A17" w:rsidP="00997F88">
      <w:pPr>
        <w:spacing w:after="120" w:line="240" w:lineRule="auto"/>
        <w:jc w:val="both"/>
        <w:rPr>
          <w:rFonts w:ascii="Ouguiyas" w:hAnsi="Ouguiyas"/>
          <w:sz w:val="24"/>
          <w:szCs w:val="24"/>
        </w:rPr>
      </w:pPr>
      <w:r w:rsidRPr="00B0505E">
        <w:rPr>
          <w:rFonts w:ascii="Ouguiyas" w:hAnsi="Ouguiyas"/>
          <w:sz w:val="24"/>
          <w:szCs w:val="24"/>
        </w:rPr>
        <w:t xml:space="preserve">Pour l’atteinte de l’objectif de cette mission, le consultant est appelé </w:t>
      </w:r>
      <w:r w:rsidR="000B35F8" w:rsidRPr="00B0505E">
        <w:rPr>
          <w:rFonts w:ascii="Ouguiyas" w:hAnsi="Ouguiyas"/>
          <w:sz w:val="24"/>
          <w:szCs w:val="24"/>
        </w:rPr>
        <w:t xml:space="preserve">notamment </w:t>
      </w:r>
      <w:r w:rsidRPr="00B0505E">
        <w:rPr>
          <w:rFonts w:ascii="Ouguiyas" w:hAnsi="Ouguiyas"/>
          <w:sz w:val="24"/>
          <w:szCs w:val="24"/>
        </w:rPr>
        <w:t>à réaliser l</w:t>
      </w:r>
      <w:r w:rsidR="004B13EA" w:rsidRPr="00B0505E">
        <w:rPr>
          <w:rFonts w:ascii="Ouguiyas" w:hAnsi="Ouguiyas"/>
          <w:sz w:val="24"/>
          <w:szCs w:val="24"/>
        </w:rPr>
        <w:t xml:space="preserve">es tâches </w:t>
      </w:r>
      <w:r w:rsidR="000B35F8" w:rsidRPr="00B0505E">
        <w:rPr>
          <w:rFonts w:ascii="Ouguiyas" w:hAnsi="Ouguiyas"/>
          <w:sz w:val="24"/>
          <w:szCs w:val="24"/>
        </w:rPr>
        <w:t>suivantes :</w:t>
      </w:r>
    </w:p>
    <w:p w14:paraId="1E7AC888" w14:textId="0ED8597B" w:rsidR="000B35F8" w:rsidRPr="00B0505E" w:rsidRDefault="00176B81" w:rsidP="000B35F8">
      <w:pPr>
        <w:pStyle w:val="Paragraphedeliste"/>
        <w:numPr>
          <w:ilvl w:val="0"/>
          <w:numId w:val="18"/>
        </w:numPr>
        <w:spacing w:after="120" w:line="240" w:lineRule="auto"/>
        <w:ind w:left="426"/>
        <w:contextualSpacing w:val="0"/>
        <w:jc w:val="both"/>
        <w:rPr>
          <w:rFonts w:ascii="Ouguiyas" w:hAnsi="Ouguiyas"/>
          <w:sz w:val="24"/>
          <w:szCs w:val="24"/>
        </w:rPr>
      </w:pPr>
      <w:r>
        <w:rPr>
          <w:rFonts w:ascii="Ouguiyas" w:hAnsi="Ouguiyas"/>
          <w:sz w:val="24"/>
          <w:szCs w:val="24"/>
        </w:rPr>
        <w:t>Refaire l</w:t>
      </w:r>
      <w:r w:rsidR="006F7A17" w:rsidRPr="00B0505E">
        <w:rPr>
          <w:rFonts w:ascii="Ouguiyas" w:hAnsi="Ouguiyas"/>
          <w:sz w:val="24"/>
          <w:szCs w:val="24"/>
        </w:rPr>
        <w:t xml:space="preserve">e </w:t>
      </w:r>
      <w:r w:rsidR="0038173D" w:rsidRPr="00B0505E">
        <w:rPr>
          <w:rFonts w:ascii="Ouguiyas" w:hAnsi="Ouguiyas"/>
          <w:sz w:val="24"/>
          <w:szCs w:val="24"/>
        </w:rPr>
        <w:t xml:space="preserve">diagnostic du marché de travail en matière de passation des marchés publics, incluant l’analyse du déficit quantitatif et qualitatif en ressources humaines spécialisées au niveau de toutes les structures prévues par le cadre institutionnel des marchés publics en </w:t>
      </w:r>
      <w:r w:rsidR="000B35F8" w:rsidRPr="00B0505E">
        <w:rPr>
          <w:rFonts w:ascii="Ouguiyas" w:hAnsi="Ouguiyas"/>
          <w:sz w:val="24"/>
          <w:szCs w:val="24"/>
        </w:rPr>
        <w:t>Mauritanie ;</w:t>
      </w:r>
    </w:p>
    <w:p w14:paraId="14EDF152" w14:textId="4055B694" w:rsidR="000A61B9" w:rsidRPr="00B0505E" w:rsidRDefault="00176B81" w:rsidP="000B35F8">
      <w:pPr>
        <w:pStyle w:val="Paragraphedeliste"/>
        <w:numPr>
          <w:ilvl w:val="0"/>
          <w:numId w:val="18"/>
        </w:numPr>
        <w:spacing w:after="120" w:line="240" w:lineRule="auto"/>
        <w:ind w:left="426"/>
        <w:contextualSpacing w:val="0"/>
        <w:jc w:val="both"/>
        <w:rPr>
          <w:rFonts w:ascii="Ouguiyas" w:hAnsi="Ouguiyas"/>
          <w:sz w:val="24"/>
          <w:szCs w:val="24"/>
        </w:rPr>
      </w:pPr>
      <w:r>
        <w:rPr>
          <w:rFonts w:ascii="Book Antiqua" w:hAnsi="Book Antiqua"/>
          <w:iCs/>
          <w:spacing w:val="-2"/>
        </w:rPr>
        <w:t>Evaluer</w:t>
      </w:r>
      <w:r w:rsidR="00D538F0" w:rsidRPr="003810C9">
        <w:rPr>
          <w:rFonts w:ascii="Book Antiqua" w:hAnsi="Book Antiqua"/>
          <w:iCs/>
          <w:spacing w:val="-2"/>
        </w:rPr>
        <w:t xml:space="preserve"> l’état </w:t>
      </w:r>
      <w:r w:rsidR="00D55BFA" w:rsidRPr="00B0505E">
        <w:rPr>
          <w:rFonts w:ascii="Ouguiyas" w:hAnsi="Ouguiyas"/>
          <w:sz w:val="24"/>
          <w:szCs w:val="24"/>
        </w:rPr>
        <w:t>de préparation de la Mauritanie à l’introduction et à la mise en œuvre de la professionnalisation de la fonction de passation des marchés publics, en s’appuyant sur des outils d’évaluation reconnus au niveau international.</w:t>
      </w:r>
      <w:r w:rsidR="000A61B9" w:rsidRPr="00B0505E">
        <w:rPr>
          <w:rFonts w:ascii="Ouguiyas" w:hAnsi="Ouguiyas"/>
          <w:sz w:val="24"/>
          <w:szCs w:val="24"/>
        </w:rPr>
        <w:t xml:space="preserve"> À cet effet, le consultant mobilisera, le cas échéant, le module complémentaire relatif à la professionnalisation issu du cadre MAPS (Methodology for Assessing Procurement Systems), développé par l’OCDE et ses partenaires internationaux, ou tout autre outil équivalent jugé pertinent. Cette évaluation devra permettre notamment :</w:t>
      </w:r>
    </w:p>
    <w:p w14:paraId="074F89BE" w14:textId="75CDA186" w:rsidR="000A61B9" w:rsidRPr="00B0505E" w:rsidRDefault="000B35F8" w:rsidP="000B35F8">
      <w:pPr>
        <w:pStyle w:val="Paragraphedeliste"/>
        <w:numPr>
          <w:ilvl w:val="0"/>
          <w:numId w:val="26"/>
        </w:numPr>
        <w:spacing w:after="120" w:line="240" w:lineRule="auto"/>
        <w:jc w:val="both"/>
        <w:rPr>
          <w:rFonts w:ascii="Ouguiyas" w:hAnsi="Ouguiyas"/>
          <w:sz w:val="24"/>
          <w:szCs w:val="24"/>
        </w:rPr>
      </w:pPr>
      <w:r w:rsidRPr="00B0505E">
        <w:rPr>
          <w:rFonts w:ascii="Ouguiyas" w:hAnsi="Ouguiyas"/>
          <w:sz w:val="24"/>
          <w:szCs w:val="24"/>
        </w:rPr>
        <w:t>D’analyser</w:t>
      </w:r>
      <w:r w:rsidR="000A61B9" w:rsidRPr="00B0505E">
        <w:rPr>
          <w:rFonts w:ascii="Ouguiyas" w:hAnsi="Ouguiyas"/>
          <w:sz w:val="24"/>
          <w:szCs w:val="24"/>
        </w:rPr>
        <w:t xml:space="preserve"> le cadre institutionnel, juridique et organisationnel existant ;</w:t>
      </w:r>
    </w:p>
    <w:p w14:paraId="11640549" w14:textId="4C72BD29" w:rsidR="000A61B9" w:rsidRPr="00B0505E" w:rsidRDefault="000B35F8" w:rsidP="000B35F8">
      <w:pPr>
        <w:pStyle w:val="Paragraphedeliste"/>
        <w:numPr>
          <w:ilvl w:val="0"/>
          <w:numId w:val="26"/>
        </w:numPr>
        <w:spacing w:after="120" w:line="240" w:lineRule="auto"/>
        <w:jc w:val="both"/>
        <w:rPr>
          <w:rFonts w:ascii="Ouguiyas" w:hAnsi="Ouguiyas"/>
          <w:sz w:val="24"/>
          <w:szCs w:val="24"/>
        </w:rPr>
      </w:pPr>
      <w:r w:rsidRPr="00B0505E">
        <w:rPr>
          <w:rFonts w:ascii="Ouguiyas" w:hAnsi="Ouguiyas"/>
          <w:sz w:val="24"/>
          <w:szCs w:val="24"/>
        </w:rPr>
        <w:t>D’apprécier</w:t>
      </w:r>
      <w:r w:rsidR="000A61B9" w:rsidRPr="00B0505E">
        <w:rPr>
          <w:rFonts w:ascii="Ouguiyas" w:hAnsi="Ouguiyas"/>
          <w:sz w:val="24"/>
          <w:szCs w:val="24"/>
        </w:rPr>
        <w:t xml:space="preserve"> les capacités actuelles en matière de compétences, de formation et de gestion des ressources humaines en passation des marchés publics ;</w:t>
      </w:r>
    </w:p>
    <w:p w14:paraId="452B6B08" w14:textId="032E9448" w:rsidR="000A61B9" w:rsidRPr="00B0505E" w:rsidRDefault="000B35F8" w:rsidP="000B35F8">
      <w:pPr>
        <w:pStyle w:val="Paragraphedeliste"/>
        <w:numPr>
          <w:ilvl w:val="0"/>
          <w:numId w:val="26"/>
        </w:numPr>
        <w:spacing w:after="120" w:line="240" w:lineRule="auto"/>
        <w:jc w:val="both"/>
        <w:rPr>
          <w:rFonts w:ascii="Ouguiyas" w:hAnsi="Ouguiyas"/>
          <w:sz w:val="24"/>
          <w:szCs w:val="24"/>
        </w:rPr>
      </w:pPr>
      <w:r w:rsidRPr="00B0505E">
        <w:rPr>
          <w:rFonts w:ascii="Ouguiyas" w:hAnsi="Ouguiyas"/>
          <w:sz w:val="24"/>
          <w:szCs w:val="24"/>
        </w:rPr>
        <w:t>D’identifier</w:t>
      </w:r>
      <w:r w:rsidR="000A61B9" w:rsidRPr="00B0505E">
        <w:rPr>
          <w:rFonts w:ascii="Ouguiyas" w:hAnsi="Ouguiyas"/>
          <w:sz w:val="24"/>
          <w:szCs w:val="24"/>
        </w:rPr>
        <w:t xml:space="preserve"> les écarts, contraintes et risques liés à l’introduction d’un dispositif structuré de professionnalisation ;</w:t>
      </w:r>
    </w:p>
    <w:p w14:paraId="29567683" w14:textId="1B778384" w:rsidR="000B35F8" w:rsidRPr="00B0505E" w:rsidRDefault="000B35F8" w:rsidP="000B35F8">
      <w:pPr>
        <w:pStyle w:val="Paragraphedeliste"/>
        <w:numPr>
          <w:ilvl w:val="0"/>
          <w:numId w:val="26"/>
        </w:numPr>
        <w:spacing w:after="120" w:line="240" w:lineRule="auto"/>
        <w:jc w:val="both"/>
        <w:rPr>
          <w:rFonts w:ascii="Ouguiyas" w:hAnsi="Ouguiyas"/>
          <w:sz w:val="24"/>
          <w:szCs w:val="24"/>
        </w:rPr>
      </w:pPr>
      <w:r w:rsidRPr="00B0505E">
        <w:rPr>
          <w:rFonts w:ascii="Ouguiyas" w:hAnsi="Ouguiyas"/>
          <w:sz w:val="24"/>
          <w:szCs w:val="24"/>
        </w:rPr>
        <w:t>De</w:t>
      </w:r>
      <w:r w:rsidR="000A61B9" w:rsidRPr="00B0505E">
        <w:rPr>
          <w:rFonts w:ascii="Ouguiyas" w:hAnsi="Ouguiyas"/>
          <w:sz w:val="24"/>
          <w:szCs w:val="24"/>
        </w:rPr>
        <w:t xml:space="preserve"> formuler des recommandations opérationnelles et hiérarchisées alimentant la mise à jour de l’étude de faisabilité, la stratégie nationale de professionnalisation et son plan de mise en œuvre.</w:t>
      </w:r>
    </w:p>
    <w:p w14:paraId="54B8551A" w14:textId="77777777" w:rsidR="000B35F8" w:rsidRPr="00B0505E" w:rsidRDefault="000B35F8" w:rsidP="000B35F8">
      <w:pPr>
        <w:pStyle w:val="Paragraphedeliste"/>
        <w:spacing w:after="120" w:line="240" w:lineRule="auto"/>
        <w:ind w:left="1440"/>
        <w:jc w:val="both"/>
        <w:rPr>
          <w:rFonts w:ascii="Ouguiyas" w:hAnsi="Ouguiyas"/>
          <w:sz w:val="12"/>
          <w:szCs w:val="12"/>
        </w:rPr>
      </w:pPr>
    </w:p>
    <w:p w14:paraId="2A184AB2" w14:textId="4B48EC7C" w:rsidR="006F7A17" w:rsidRPr="00B0505E" w:rsidRDefault="0038173D" w:rsidP="000B35F8">
      <w:pPr>
        <w:pStyle w:val="Paragraphedeliste"/>
        <w:numPr>
          <w:ilvl w:val="0"/>
          <w:numId w:val="18"/>
        </w:numPr>
        <w:jc w:val="both"/>
        <w:rPr>
          <w:rFonts w:ascii="Ouguiyas" w:hAnsi="Ouguiyas"/>
          <w:sz w:val="24"/>
          <w:szCs w:val="24"/>
        </w:rPr>
      </w:pPr>
      <w:r w:rsidRPr="00B0505E">
        <w:rPr>
          <w:rFonts w:ascii="Ouguiyas" w:hAnsi="Ouguiyas"/>
          <w:sz w:val="24"/>
          <w:szCs w:val="24"/>
        </w:rPr>
        <w:t xml:space="preserve">L’évaluation du niveau de mise en </w:t>
      </w:r>
      <w:r w:rsidR="000B35F8" w:rsidRPr="00B0505E">
        <w:rPr>
          <w:rFonts w:ascii="Ouguiyas" w:hAnsi="Ouguiyas"/>
          <w:sz w:val="24"/>
          <w:szCs w:val="24"/>
        </w:rPr>
        <w:t>œuvre</w:t>
      </w:r>
      <w:r w:rsidRPr="00B0505E">
        <w:rPr>
          <w:rFonts w:ascii="Ouguiyas" w:hAnsi="Ouguiyas"/>
          <w:sz w:val="24"/>
          <w:szCs w:val="24"/>
        </w:rPr>
        <w:t xml:space="preserve"> des recommandations formulées à la suite de l'étude précédente, réalisée en 2017 et l’identification des facteurs ayant entravé l’application de certaines d’entre </w:t>
      </w:r>
      <w:r w:rsidR="000B35F8" w:rsidRPr="00B0505E">
        <w:rPr>
          <w:rFonts w:ascii="Ouguiyas" w:hAnsi="Ouguiyas"/>
          <w:sz w:val="24"/>
          <w:szCs w:val="24"/>
        </w:rPr>
        <w:t>elles ;</w:t>
      </w:r>
    </w:p>
    <w:p w14:paraId="3AF84E90" w14:textId="6023E3FD" w:rsidR="000B35F8" w:rsidRPr="00B0505E" w:rsidRDefault="0038173D" w:rsidP="000B35F8">
      <w:pPr>
        <w:pStyle w:val="Paragraphedeliste"/>
        <w:numPr>
          <w:ilvl w:val="0"/>
          <w:numId w:val="18"/>
        </w:numPr>
        <w:jc w:val="both"/>
        <w:rPr>
          <w:rFonts w:ascii="Ouguiyas" w:hAnsi="Ouguiyas"/>
          <w:sz w:val="24"/>
          <w:szCs w:val="24"/>
        </w:rPr>
      </w:pPr>
      <w:r w:rsidRPr="00B0505E">
        <w:rPr>
          <w:rFonts w:ascii="Ouguiyas" w:hAnsi="Ouguiyas"/>
          <w:sz w:val="24"/>
          <w:szCs w:val="24"/>
        </w:rPr>
        <w:t>La formulation de recommandations actualisées et l’élaboration d’une stratégie claire visant la professionnalisation durable de la fonction de passation des marchés publics en Mauritanie</w:t>
      </w:r>
      <w:r w:rsidR="000B35F8" w:rsidRPr="00B0505E">
        <w:rPr>
          <w:rFonts w:ascii="Ouguiyas" w:hAnsi="Ouguiyas"/>
          <w:sz w:val="24"/>
          <w:szCs w:val="24"/>
        </w:rPr>
        <w:t> ;</w:t>
      </w:r>
    </w:p>
    <w:p w14:paraId="7A7F4B3F" w14:textId="77777777" w:rsidR="000B35F8" w:rsidRPr="00B0505E" w:rsidRDefault="0038173D" w:rsidP="000B35F8">
      <w:pPr>
        <w:pStyle w:val="Paragraphedeliste"/>
        <w:numPr>
          <w:ilvl w:val="0"/>
          <w:numId w:val="18"/>
        </w:numPr>
        <w:jc w:val="both"/>
        <w:rPr>
          <w:rFonts w:ascii="Ouguiyas" w:hAnsi="Ouguiyas"/>
          <w:sz w:val="24"/>
          <w:szCs w:val="24"/>
        </w:rPr>
      </w:pPr>
      <w:r w:rsidRPr="00B0505E">
        <w:rPr>
          <w:rFonts w:ascii="Ouguiyas" w:hAnsi="Ouguiyas"/>
          <w:sz w:val="24"/>
          <w:szCs w:val="24"/>
        </w:rPr>
        <w:t xml:space="preserve">La réévaluation du potentiel de l’ENAJM, de l’ISCAE et de la Faculté Juridique et politique de l’Université El ASSRIYA, en termes de de capacités institutionnelles, humaines et matérielles nécessaires à la mise en place de programmes de formation de qualité en passation des marchés </w:t>
      </w:r>
      <w:r w:rsidR="000B35F8" w:rsidRPr="00B0505E">
        <w:rPr>
          <w:rFonts w:ascii="Ouguiyas" w:hAnsi="Ouguiyas"/>
          <w:sz w:val="24"/>
          <w:szCs w:val="24"/>
        </w:rPr>
        <w:t>publics ;</w:t>
      </w:r>
    </w:p>
    <w:p w14:paraId="07A8C96C" w14:textId="25A9B486" w:rsidR="006F7A17" w:rsidRPr="00B0505E" w:rsidRDefault="006F7A17" w:rsidP="000B35F8">
      <w:pPr>
        <w:pStyle w:val="Paragraphedeliste"/>
        <w:numPr>
          <w:ilvl w:val="0"/>
          <w:numId w:val="18"/>
        </w:numPr>
        <w:jc w:val="both"/>
        <w:rPr>
          <w:rFonts w:ascii="Ouguiyas" w:hAnsi="Ouguiyas"/>
          <w:sz w:val="24"/>
          <w:szCs w:val="24"/>
        </w:rPr>
      </w:pPr>
      <w:r w:rsidRPr="00B0505E">
        <w:rPr>
          <w:rFonts w:ascii="Ouguiyas" w:hAnsi="Ouguiyas"/>
          <w:sz w:val="24"/>
          <w:szCs w:val="24"/>
        </w:rPr>
        <w:t xml:space="preserve">Identifier les contraintes et difficultés académiques, juridiques et techniques liées à la mise en </w:t>
      </w:r>
      <w:r w:rsidR="000B35F8" w:rsidRPr="00B0505E">
        <w:rPr>
          <w:rFonts w:ascii="Ouguiyas" w:hAnsi="Ouguiyas"/>
          <w:sz w:val="24"/>
          <w:szCs w:val="24"/>
        </w:rPr>
        <w:t>œuvre</w:t>
      </w:r>
      <w:r w:rsidR="0038173D" w:rsidRPr="00B0505E">
        <w:rPr>
          <w:rFonts w:ascii="Ouguiyas" w:hAnsi="Ouguiyas"/>
          <w:sz w:val="24"/>
          <w:szCs w:val="24"/>
        </w:rPr>
        <w:t xml:space="preserve"> d’un tel cursus</w:t>
      </w:r>
      <w:r w:rsidRPr="00B0505E">
        <w:rPr>
          <w:rFonts w:ascii="Ouguiyas" w:hAnsi="Ouguiyas"/>
          <w:sz w:val="24"/>
          <w:szCs w:val="24"/>
        </w:rPr>
        <w:t xml:space="preserve"> de </w:t>
      </w:r>
      <w:r w:rsidR="000B35F8" w:rsidRPr="00B0505E">
        <w:rPr>
          <w:rFonts w:ascii="Ouguiyas" w:hAnsi="Ouguiyas"/>
          <w:sz w:val="24"/>
          <w:szCs w:val="24"/>
        </w:rPr>
        <w:t>formation ;</w:t>
      </w:r>
    </w:p>
    <w:p w14:paraId="3937CD4C" w14:textId="5CA1CC1F" w:rsidR="005D4FA4" w:rsidRPr="00B0505E" w:rsidRDefault="0038173D" w:rsidP="00997F88">
      <w:pPr>
        <w:pStyle w:val="Paragraphedeliste"/>
        <w:numPr>
          <w:ilvl w:val="0"/>
          <w:numId w:val="18"/>
        </w:numPr>
        <w:spacing w:after="0" w:line="240" w:lineRule="auto"/>
        <w:ind w:left="426"/>
        <w:jc w:val="both"/>
        <w:rPr>
          <w:rFonts w:ascii="Ouguiyas" w:hAnsi="Ouguiyas"/>
          <w:sz w:val="24"/>
          <w:szCs w:val="24"/>
        </w:rPr>
      </w:pPr>
      <w:r w:rsidRPr="00B0505E">
        <w:rPr>
          <w:rFonts w:ascii="Ouguiyas" w:hAnsi="Ouguiyas"/>
          <w:sz w:val="24"/>
          <w:szCs w:val="24"/>
        </w:rPr>
        <w:lastRenderedPageBreak/>
        <w:t xml:space="preserve">La définition, en collaboration avec les établissements précités, des conditions d’accès, de la structure des programmes (modules), du cursus, des modalités de délivrance </w:t>
      </w:r>
      <w:r w:rsidR="000B35F8" w:rsidRPr="00B0505E">
        <w:rPr>
          <w:rFonts w:ascii="Ouguiyas" w:hAnsi="Ouguiyas"/>
          <w:sz w:val="24"/>
          <w:szCs w:val="24"/>
        </w:rPr>
        <w:t>des diplômes</w:t>
      </w:r>
      <w:r w:rsidRPr="00B0505E">
        <w:rPr>
          <w:rFonts w:ascii="Ouguiyas" w:hAnsi="Ouguiyas"/>
          <w:sz w:val="24"/>
          <w:szCs w:val="24"/>
        </w:rPr>
        <w:t xml:space="preserve"> ainsi que des critères de sélection des </w:t>
      </w:r>
      <w:r w:rsidR="000B35F8" w:rsidRPr="00B0505E">
        <w:rPr>
          <w:rFonts w:ascii="Ouguiyas" w:hAnsi="Ouguiyas"/>
          <w:sz w:val="24"/>
          <w:szCs w:val="24"/>
        </w:rPr>
        <w:t>formateurs ;</w:t>
      </w:r>
    </w:p>
    <w:p w14:paraId="584CB054" w14:textId="3866BB4D" w:rsidR="005D4FA4" w:rsidRPr="00B0505E" w:rsidRDefault="0038173D" w:rsidP="00997F88">
      <w:pPr>
        <w:pStyle w:val="Paragraphedeliste"/>
        <w:numPr>
          <w:ilvl w:val="0"/>
          <w:numId w:val="18"/>
        </w:numPr>
        <w:spacing w:after="0" w:line="240" w:lineRule="auto"/>
        <w:ind w:left="426"/>
        <w:jc w:val="both"/>
        <w:rPr>
          <w:rFonts w:ascii="Ouguiyas" w:hAnsi="Ouguiyas"/>
          <w:sz w:val="24"/>
          <w:szCs w:val="24"/>
        </w:rPr>
      </w:pPr>
      <w:r w:rsidRPr="00B0505E">
        <w:rPr>
          <w:rFonts w:ascii="Ouguiyas" w:hAnsi="Ouguiyas"/>
          <w:sz w:val="24"/>
          <w:szCs w:val="24"/>
        </w:rPr>
        <w:t>La révision et l’actualisation des modules de formation élaborés en 2018, en version française et arabe, en tenant compte des évolutions du cadre légal et réglementaire (réforme de 2021-2022) et des bonnes pratiques internationales</w:t>
      </w:r>
    </w:p>
    <w:p w14:paraId="24764291" w14:textId="3D9D582E" w:rsidR="005D4FA4" w:rsidRPr="00B0505E" w:rsidRDefault="005D4FA4" w:rsidP="00997F88">
      <w:pPr>
        <w:pStyle w:val="Paragraphedeliste"/>
        <w:numPr>
          <w:ilvl w:val="0"/>
          <w:numId w:val="18"/>
        </w:numPr>
        <w:spacing w:after="0" w:line="240" w:lineRule="auto"/>
        <w:ind w:left="426"/>
        <w:jc w:val="both"/>
        <w:rPr>
          <w:rFonts w:ascii="Ouguiyas" w:hAnsi="Ouguiyas"/>
          <w:sz w:val="24"/>
          <w:szCs w:val="24"/>
        </w:rPr>
      </w:pPr>
      <w:r w:rsidRPr="00B0505E">
        <w:rPr>
          <w:rFonts w:ascii="Ouguiyas" w:hAnsi="Ouguiyas"/>
          <w:sz w:val="24"/>
          <w:szCs w:val="24"/>
        </w:rPr>
        <w:t>Ces programmes doivent proposer des pistes permettant d’améliorer la performance, la transparence, l’éthique et la gouvernance à chaque phase du cycle de gestion des marchés publics, ils doivent également intégrer toute la chaîne d'approvisionnement : les fondements du droit administratif  (les décisions administratives, les contrats administratifs et l’organisation administrative), le cadre juridique et institutionnel de la passation de marchés, les principes de base, le processus de passation de marchés, les procédures d'évaluation, l'administration des contrats, la planification, les plaintes et les litiges, etc. Il doit aussi permettre une ouverture à la connaissance des tendances internationales dans le secteur ;</w:t>
      </w:r>
    </w:p>
    <w:p w14:paraId="53D9E532" w14:textId="7908A6A5" w:rsidR="00A02CBF" w:rsidRPr="00B0505E" w:rsidRDefault="0038173D" w:rsidP="00997F88">
      <w:pPr>
        <w:pStyle w:val="Paragraphedeliste"/>
        <w:numPr>
          <w:ilvl w:val="0"/>
          <w:numId w:val="18"/>
        </w:numPr>
        <w:spacing w:after="0" w:line="240" w:lineRule="auto"/>
        <w:ind w:left="426"/>
        <w:jc w:val="both"/>
        <w:rPr>
          <w:rFonts w:ascii="Ouguiyas" w:hAnsi="Ouguiyas"/>
          <w:sz w:val="24"/>
          <w:szCs w:val="24"/>
        </w:rPr>
      </w:pPr>
      <w:r w:rsidRPr="00B0505E">
        <w:rPr>
          <w:rFonts w:ascii="Ouguiyas" w:hAnsi="Ouguiyas"/>
          <w:sz w:val="24"/>
          <w:szCs w:val="24"/>
        </w:rPr>
        <w:t xml:space="preserve">La conception, la planification et l’organisation de la formation des formateurs en incluant les aspects relatifs à l’ingénierie de formation et aux méthodes pédagogiques </w:t>
      </w:r>
      <w:r w:rsidR="000B35F8" w:rsidRPr="00B0505E">
        <w:rPr>
          <w:rFonts w:ascii="Ouguiyas" w:hAnsi="Ouguiyas"/>
          <w:sz w:val="24"/>
          <w:szCs w:val="24"/>
        </w:rPr>
        <w:t>modernes ;</w:t>
      </w:r>
      <w:r w:rsidR="00A02CBF" w:rsidRPr="00B0505E">
        <w:rPr>
          <w:rFonts w:ascii="Ouguiyas" w:hAnsi="Ouguiyas"/>
          <w:sz w:val="24"/>
          <w:szCs w:val="24"/>
        </w:rPr>
        <w:t xml:space="preserve"> </w:t>
      </w:r>
    </w:p>
    <w:p w14:paraId="63225339" w14:textId="7D45F6E7" w:rsidR="00EC1E54" w:rsidRPr="00B0505E" w:rsidRDefault="00EC1E54" w:rsidP="00997F88">
      <w:pPr>
        <w:pStyle w:val="Paragraphedeliste"/>
        <w:numPr>
          <w:ilvl w:val="0"/>
          <w:numId w:val="18"/>
        </w:numPr>
        <w:spacing w:after="0" w:line="240" w:lineRule="auto"/>
        <w:ind w:left="426"/>
        <w:jc w:val="both"/>
        <w:rPr>
          <w:rFonts w:ascii="Ouguiyas" w:hAnsi="Ouguiyas" w:cstheme="majorBidi"/>
          <w:sz w:val="24"/>
          <w:szCs w:val="24"/>
        </w:rPr>
      </w:pPr>
      <w:r w:rsidRPr="00B0505E">
        <w:rPr>
          <w:rFonts w:ascii="Ouguiyas" w:hAnsi="Ouguiyas"/>
          <w:sz w:val="24"/>
          <w:szCs w:val="24"/>
        </w:rPr>
        <w:t xml:space="preserve">Assurer un accompagnement et </w:t>
      </w:r>
      <w:r w:rsidRPr="00B0505E">
        <w:rPr>
          <w:rFonts w:ascii="Ouguiyas" w:hAnsi="Ouguiyas" w:cstheme="majorBidi"/>
          <w:sz w:val="24"/>
          <w:szCs w:val="24"/>
        </w:rPr>
        <w:t>une assistance technique</w:t>
      </w:r>
      <w:r w:rsidR="00D34F28" w:rsidRPr="00B0505E">
        <w:rPr>
          <w:rFonts w:ascii="Ouguiyas" w:hAnsi="Ouguiyas" w:cstheme="majorBidi"/>
          <w:sz w:val="24"/>
          <w:szCs w:val="24"/>
        </w:rPr>
        <w:t>, lors de la mise en œuvre, aux</w:t>
      </w:r>
      <w:r w:rsidRPr="00B0505E">
        <w:rPr>
          <w:rFonts w:ascii="Ouguiyas" w:hAnsi="Ouguiyas" w:cstheme="majorBidi"/>
          <w:sz w:val="24"/>
          <w:szCs w:val="24"/>
        </w:rPr>
        <w:t xml:space="preserve"> établissements partenaires dans l’intégration des programmes de formation des marchés publics et assurer l’évaluation initiale, à mi-parcours et en fin de session.</w:t>
      </w:r>
    </w:p>
    <w:p w14:paraId="66D03551" w14:textId="78545BA5" w:rsidR="000F465D" w:rsidRPr="00B0505E" w:rsidRDefault="000F465D" w:rsidP="000F465D">
      <w:pPr>
        <w:pStyle w:val="Paragraphedeliste"/>
        <w:numPr>
          <w:ilvl w:val="0"/>
          <w:numId w:val="18"/>
        </w:numPr>
        <w:spacing w:after="0" w:line="240" w:lineRule="auto"/>
        <w:ind w:left="426"/>
        <w:jc w:val="both"/>
        <w:rPr>
          <w:rFonts w:ascii="Ouguiyas" w:hAnsi="Ouguiyas" w:cstheme="majorBidi"/>
          <w:sz w:val="24"/>
          <w:szCs w:val="24"/>
        </w:rPr>
      </w:pPr>
      <w:r w:rsidRPr="00B0505E">
        <w:rPr>
          <w:rFonts w:ascii="Ouguiyas" w:hAnsi="Ouguiyas" w:cstheme="majorBidi"/>
          <w:sz w:val="24"/>
          <w:szCs w:val="24"/>
        </w:rPr>
        <w:t>Assurer une assistance technique a l’</w:t>
      </w:r>
      <w:r w:rsidR="000A61B9" w:rsidRPr="00B0505E">
        <w:rPr>
          <w:rFonts w:ascii="Ouguiyas" w:hAnsi="Ouguiyas" w:cstheme="majorBidi"/>
          <w:sz w:val="24"/>
          <w:szCs w:val="24"/>
        </w:rPr>
        <w:t>ARMP</w:t>
      </w:r>
      <w:r w:rsidRPr="00B0505E">
        <w:rPr>
          <w:rFonts w:ascii="Ouguiyas" w:hAnsi="Ouguiyas" w:cstheme="majorBidi"/>
          <w:sz w:val="24"/>
          <w:szCs w:val="24"/>
        </w:rPr>
        <w:t xml:space="preserve"> pour l’opérationnalisation et le pilotage de la stratégie nationale de professionnalisation, incluant l’appui à la coordination institutionnelle, le suivi de la mise en œuvre, l’identification des ajustements nécessaires et la formulation de recommandations correctives.</w:t>
      </w:r>
    </w:p>
    <w:p w14:paraId="2F3C2043" w14:textId="129C5AD5" w:rsidR="00D34F28" w:rsidRPr="00B0505E" w:rsidRDefault="000B35F8" w:rsidP="00997F88">
      <w:pPr>
        <w:pStyle w:val="Titre1"/>
        <w:numPr>
          <w:ilvl w:val="0"/>
          <w:numId w:val="20"/>
        </w:numPr>
        <w:spacing w:before="240" w:after="120" w:line="240" w:lineRule="auto"/>
        <w:ind w:left="714" w:hanging="357"/>
        <w:rPr>
          <w:rFonts w:ascii="Ouguiyas" w:hAnsi="Ouguiyas"/>
          <w:color w:val="auto"/>
          <w:sz w:val="26"/>
        </w:rPr>
      </w:pPr>
      <w:r w:rsidRPr="00B0505E">
        <w:rPr>
          <w:rFonts w:ascii="Ouguiyas" w:hAnsi="Ouguiyas"/>
          <w:color w:val="auto"/>
          <w:sz w:val="26"/>
        </w:rPr>
        <w:t>M</w:t>
      </w:r>
      <w:r w:rsidR="00D34F28" w:rsidRPr="00B0505E">
        <w:rPr>
          <w:rFonts w:ascii="Ouguiyas" w:hAnsi="Ouguiyas"/>
          <w:color w:val="auto"/>
          <w:sz w:val="26"/>
        </w:rPr>
        <w:t>odalités de mise en œuvre :</w:t>
      </w:r>
    </w:p>
    <w:p w14:paraId="2E461619" w14:textId="4DDD74BB" w:rsidR="00D34F28" w:rsidRPr="00B0505E" w:rsidRDefault="00D34F28" w:rsidP="00997F88">
      <w:pPr>
        <w:spacing w:after="120" w:line="240" w:lineRule="auto"/>
        <w:jc w:val="both"/>
        <w:rPr>
          <w:rFonts w:ascii="Ouguiyas" w:hAnsi="Ouguiyas"/>
          <w:sz w:val="24"/>
          <w:szCs w:val="24"/>
        </w:rPr>
      </w:pPr>
      <w:r w:rsidRPr="00B0505E">
        <w:rPr>
          <w:rFonts w:ascii="Ouguiyas" w:hAnsi="Ouguiyas"/>
          <w:sz w:val="24"/>
          <w:szCs w:val="24"/>
        </w:rPr>
        <w:t>Le consultant réalisera la mission sous la supervision de l’Autorité de Régulation des Marchés Publics et en étroite collaboration avec l’ENAJM, l’ISCAE et la Faculté Juridique et politique de l’Université El ASSRIYA. L’ARMP soutiendra le consultant dans ses relations avec les différentes parties impliquées dans l’étude.</w:t>
      </w:r>
    </w:p>
    <w:p w14:paraId="51CA7BF2" w14:textId="77777777" w:rsidR="00D34F28" w:rsidRPr="00B0505E" w:rsidRDefault="00D34F28" w:rsidP="00997F88">
      <w:pPr>
        <w:spacing w:after="120" w:line="240" w:lineRule="auto"/>
        <w:jc w:val="both"/>
        <w:rPr>
          <w:rFonts w:ascii="Ouguiyas" w:hAnsi="Ouguiyas"/>
          <w:sz w:val="24"/>
          <w:szCs w:val="24"/>
        </w:rPr>
      </w:pPr>
      <w:r w:rsidRPr="00B0505E">
        <w:rPr>
          <w:rFonts w:ascii="Ouguiyas" w:hAnsi="Ouguiyas"/>
          <w:sz w:val="24"/>
          <w:szCs w:val="24"/>
        </w:rPr>
        <w:t>Le consultant adoptera une approche participative à travers des réunions ou autres méthodologies appropriées impliquant les principaux partenaires et acteurs concernés par la problématique de la formation professionnelle en marchés publics afin de proposer un produit de qualité.</w:t>
      </w:r>
    </w:p>
    <w:p w14:paraId="4BFE42E7" w14:textId="6E2CD492" w:rsidR="000F465D" w:rsidRPr="00B0505E" w:rsidRDefault="000F465D" w:rsidP="00997F88">
      <w:pPr>
        <w:spacing w:after="120" w:line="240" w:lineRule="auto"/>
        <w:jc w:val="both"/>
        <w:rPr>
          <w:rFonts w:ascii="Ouguiyas" w:hAnsi="Ouguiyas"/>
          <w:sz w:val="24"/>
          <w:szCs w:val="24"/>
          <w:rtl/>
        </w:rPr>
      </w:pPr>
      <w:r w:rsidRPr="00B0505E">
        <w:rPr>
          <w:rFonts w:ascii="Ouguiyas" w:hAnsi="Ouguiyas"/>
          <w:sz w:val="24"/>
          <w:szCs w:val="24"/>
        </w:rPr>
        <w:t>Le consultant apportera également une assistance technique à l’ARMP dans la coordination, le suivi et l’évaluation de la mise en œuvre de la stratégie nationale de professionnalisation.</w:t>
      </w:r>
    </w:p>
    <w:p w14:paraId="1E1738B5" w14:textId="661738B1" w:rsidR="006935C1" w:rsidRPr="00B0505E" w:rsidRDefault="006935C1" w:rsidP="00997F88">
      <w:pPr>
        <w:spacing w:after="120" w:line="240" w:lineRule="auto"/>
        <w:jc w:val="both"/>
        <w:rPr>
          <w:rFonts w:ascii="Ouguiyas" w:hAnsi="Ouguiyas"/>
          <w:sz w:val="24"/>
          <w:szCs w:val="24"/>
        </w:rPr>
      </w:pPr>
      <w:r w:rsidRPr="00B0505E">
        <w:rPr>
          <w:rFonts w:ascii="Ouguiyas" w:hAnsi="Ouguiyas"/>
          <w:sz w:val="24"/>
          <w:szCs w:val="24"/>
        </w:rPr>
        <w:t xml:space="preserve">L’ARMP est chargée de mettre à la disposition des consultants, candidats à la présente prestation, le rapport de l’étude de faisabilité, réalisée en 2017, </w:t>
      </w:r>
      <w:r w:rsidRPr="00B0505E">
        <w:rPr>
          <w:rFonts w:ascii="Ouguiyas" w:hAnsi="Ouguiyas" w:cstheme="majorBidi"/>
          <w:color w:val="000000"/>
          <w:sz w:val="24"/>
          <w:szCs w:val="24"/>
        </w:rPr>
        <w:t>pour</w:t>
      </w:r>
      <w:r w:rsidRPr="00B0505E">
        <w:rPr>
          <w:rFonts w:ascii="Ouguiyas" w:hAnsi="Ouguiyas"/>
          <w:sz w:val="24"/>
          <w:szCs w:val="24"/>
        </w:rPr>
        <w:t xml:space="preserve"> leurs permettre la préparation de leurs réponses. </w:t>
      </w:r>
    </w:p>
    <w:p w14:paraId="1C43374D" w14:textId="28391B87" w:rsidR="00465330" w:rsidRPr="00B0505E" w:rsidRDefault="00465330" w:rsidP="00997F88">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t>Q</w:t>
      </w:r>
      <w:r w:rsidR="00733E56" w:rsidRPr="00B0505E">
        <w:rPr>
          <w:rFonts w:ascii="Ouguiyas" w:hAnsi="Ouguiyas"/>
          <w:color w:val="auto"/>
          <w:sz w:val="24"/>
          <w:szCs w:val="24"/>
        </w:rPr>
        <w:t xml:space="preserve">ualifications du consultant </w:t>
      </w:r>
    </w:p>
    <w:p w14:paraId="30B80BE3" w14:textId="77777777" w:rsidR="00A56467" w:rsidRPr="00B0505E" w:rsidRDefault="00A56467" w:rsidP="000B35F8">
      <w:pPr>
        <w:spacing w:after="120" w:line="240" w:lineRule="auto"/>
        <w:jc w:val="both"/>
        <w:rPr>
          <w:rFonts w:ascii="Ouguiyas" w:hAnsi="Ouguiyas"/>
          <w:sz w:val="24"/>
          <w:szCs w:val="24"/>
        </w:rPr>
      </w:pPr>
      <w:r w:rsidRPr="00B0505E">
        <w:rPr>
          <w:rFonts w:ascii="Ouguiyas" w:hAnsi="Ouguiyas"/>
          <w:sz w:val="24"/>
          <w:szCs w:val="24"/>
        </w:rPr>
        <w:t>Le consultant devra justifier d’une expérience avérée dans des missions similaires couvrant notamment la réforme, la professionnalisation, l’élaboration et/ou la mise en œuvre de stratégies nationales en matière de passation des marchés publics, incluant le développement de cursus diplômants, la formation de formateurs et l’assistance technique à la mise en œuvre institutionnelle</w:t>
      </w:r>
      <w:r w:rsidR="000F465D" w:rsidRPr="00B0505E">
        <w:rPr>
          <w:rFonts w:ascii="Ouguiyas" w:hAnsi="Ouguiyas"/>
          <w:sz w:val="24"/>
          <w:szCs w:val="24"/>
        </w:rPr>
        <w:t>.</w:t>
      </w:r>
      <w:r w:rsidRPr="00B0505E">
        <w:rPr>
          <w:rFonts w:ascii="Ouguiyas" w:hAnsi="Ouguiyas"/>
          <w:sz w:val="24"/>
          <w:szCs w:val="24"/>
        </w:rPr>
        <w:t xml:space="preserve"> </w:t>
      </w:r>
    </w:p>
    <w:p w14:paraId="0F34A077" w14:textId="3DC515F5" w:rsidR="000F465D" w:rsidRPr="00B0505E" w:rsidRDefault="00A56467" w:rsidP="00946882">
      <w:pPr>
        <w:spacing w:after="120" w:line="240" w:lineRule="auto"/>
        <w:jc w:val="both"/>
        <w:rPr>
          <w:rFonts w:ascii="Ouguiyas" w:hAnsi="Ouguiyas"/>
          <w:sz w:val="24"/>
          <w:szCs w:val="24"/>
        </w:rPr>
      </w:pPr>
      <w:r w:rsidRPr="00B0505E">
        <w:rPr>
          <w:rFonts w:ascii="Ouguiyas" w:hAnsi="Ouguiyas"/>
          <w:sz w:val="24"/>
          <w:szCs w:val="24"/>
        </w:rPr>
        <w:lastRenderedPageBreak/>
        <w:t>Le consultant devra démontrer une capacité avérée à conduire des missions complexes d’assistance technique institutionnelle, incluant l’analyse diagnostique, la formulation de recommandations stratégiques, l’appui au pilotage et à la coordination institutionnelle, ainsi que l’accompagnement à la mise en œuvre de réformes dans le domaine de la passation des marchés publics.</w:t>
      </w:r>
    </w:p>
    <w:p w14:paraId="1A3996FB" w14:textId="53868F90" w:rsidR="002B38DA" w:rsidRPr="00B0505E" w:rsidRDefault="000F465D" w:rsidP="000F465D">
      <w:pPr>
        <w:spacing w:after="120" w:line="240" w:lineRule="auto"/>
        <w:jc w:val="both"/>
        <w:rPr>
          <w:rFonts w:ascii="Ouguiyas" w:hAnsi="Ouguiyas"/>
          <w:sz w:val="24"/>
          <w:szCs w:val="24"/>
        </w:rPr>
      </w:pPr>
      <w:r w:rsidRPr="00B0505E">
        <w:rPr>
          <w:rFonts w:ascii="Ouguiyas" w:hAnsi="Ouguiyas"/>
          <w:sz w:val="24"/>
          <w:szCs w:val="24"/>
        </w:rPr>
        <w:t>Il devra avoir réalisé au moins une mission similaire d’envergure comparable durant les</w:t>
      </w:r>
      <w:r w:rsidR="00A56467" w:rsidRPr="00B0505E">
        <w:rPr>
          <w:rFonts w:ascii="Ouguiyas" w:hAnsi="Ouguiyas"/>
          <w:sz w:val="24"/>
          <w:szCs w:val="24"/>
        </w:rPr>
        <w:t xml:space="preserve"> </w:t>
      </w:r>
      <w:r w:rsidR="00946882">
        <w:rPr>
          <w:rFonts w:ascii="Ouguiyas" w:hAnsi="Ouguiyas"/>
          <w:sz w:val="24"/>
          <w:szCs w:val="24"/>
        </w:rPr>
        <w:t xml:space="preserve">dix </w:t>
      </w:r>
      <w:r w:rsidR="00A56467" w:rsidRPr="00B0505E">
        <w:rPr>
          <w:rFonts w:ascii="Ouguiyas" w:hAnsi="Ouguiyas"/>
          <w:sz w:val="24"/>
          <w:szCs w:val="24"/>
        </w:rPr>
        <w:t>(</w:t>
      </w:r>
      <w:r w:rsidR="00946882">
        <w:rPr>
          <w:rFonts w:ascii="Ouguiyas" w:hAnsi="Ouguiyas"/>
          <w:sz w:val="24"/>
          <w:szCs w:val="24"/>
        </w:rPr>
        <w:t>10</w:t>
      </w:r>
      <w:r w:rsidR="00A56467" w:rsidRPr="00B0505E">
        <w:rPr>
          <w:rFonts w:ascii="Ouguiyas" w:hAnsi="Ouguiyas"/>
          <w:sz w:val="24"/>
          <w:szCs w:val="24"/>
        </w:rPr>
        <w:t xml:space="preserve">) dernières années, portant sur la professionnalisation de la fonction de passation des marchés publics, la réforme des systèmes de marchés publics, ou l’élaboration et la mise en œuvre de stratégies sectorielles ou </w:t>
      </w:r>
      <w:r w:rsidR="000B35F8" w:rsidRPr="00B0505E">
        <w:rPr>
          <w:rFonts w:ascii="Ouguiyas" w:hAnsi="Ouguiyas"/>
          <w:sz w:val="24"/>
          <w:szCs w:val="24"/>
        </w:rPr>
        <w:t>nationales.</w:t>
      </w:r>
      <w:r w:rsidR="00733E56" w:rsidRPr="00B0505E">
        <w:rPr>
          <w:rFonts w:ascii="Ouguiyas" w:hAnsi="Ouguiyas"/>
          <w:sz w:val="24"/>
          <w:szCs w:val="24"/>
        </w:rPr>
        <w:t xml:space="preserve"> </w:t>
      </w:r>
      <w:r w:rsidR="00070127" w:rsidRPr="00B0505E">
        <w:rPr>
          <w:rFonts w:ascii="Ouguiyas" w:hAnsi="Ouguiyas"/>
          <w:sz w:val="24"/>
          <w:szCs w:val="24"/>
        </w:rPr>
        <w:t xml:space="preserve">Il </w:t>
      </w:r>
      <w:r w:rsidR="00A56467" w:rsidRPr="00B0505E">
        <w:rPr>
          <w:rFonts w:ascii="Ouguiyas" w:hAnsi="Ouguiyas"/>
          <w:sz w:val="24"/>
          <w:szCs w:val="24"/>
        </w:rPr>
        <w:t xml:space="preserve">devra </w:t>
      </w:r>
      <w:r w:rsidR="00070127" w:rsidRPr="00B0505E">
        <w:rPr>
          <w:rFonts w:ascii="Ouguiyas" w:hAnsi="Ouguiyas"/>
          <w:sz w:val="24"/>
          <w:szCs w:val="24"/>
        </w:rPr>
        <w:t>démontrer qu'il peut mobiliser une équipe d'experts comprenant au moins</w:t>
      </w:r>
      <w:r w:rsidR="00733E56" w:rsidRPr="00B0505E">
        <w:rPr>
          <w:rFonts w:ascii="Ouguiyas" w:hAnsi="Ouguiyas"/>
          <w:sz w:val="24"/>
          <w:szCs w:val="24"/>
        </w:rPr>
        <w:t xml:space="preserve"> deux formateurs en procédures de passation de marchés et</w:t>
      </w:r>
      <w:r w:rsidR="00070127" w:rsidRPr="00B0505E">
        <w:rPr>
          <w:rFonts w:ascii="Ouguiyas" w:hAnsi="Ouguiyas"/>
          <w:sz w:val="24"/>
          <w:szCs w:val="24"/>
        </w:rPr>
        <w:t>/ou</w:t>
      </w:r>
      <w:r w:rsidR="00733E56" w:rsidRPr="00B0505E">
        <w:rPr>
          <w:rFonts w:ascii="Ouguiyas" w:hAnsi="Ouguiyas"/>
          <w:sz w:val="24"/>
          <w:szCs w:val="24"/>
        </w:rPr>
        <w:t xml:space="preserve"> en droit </w:t>
      </w:r>
      <w:r w:rsidR="000B35F8" w:rsidRPr="00B0505E">
        <w:rPr>
          <w:rFonts w:ascii="Ouguiyas" w:hAnsi="Ouguiyas"/>
          <w:sz w:val="24"/>
          <w:szCs w:val="24"/>
        </w:rPr>
        <w:t>administratif et</w:t>
      </w:r>
      <w:r w:rsidR="00A56467" w:rsidRPr="00B0505E">
        <w:rPr>
          <w:rFonts w:ascii="Ouguiyas" w:hAnsi="Ouguiyas"/>
          <w:sz w:val="24"/>
          <w:szCs w:val="24"/>
        </w:rPr>
        <w:t xml:space="preserve"> disposer de capacités </w:t>
      </w:r>
      <w:r w:rsidR="002B38DA" w:rsidRPr="00B0505E">
        <w:rPr>
          <w:rFonts w:ascii="Ouguiyas" w:hAnsi="Ouguiyas"/>
          <w:sz w:val="24"/>
          <w:szCs w:val="24"/>
        </w:rPr>
        <w:t xml:space="preserve">de travail </w:t>
      </w:r>
      <w:r w:rsidR="002B38DA" w:rsidRPr="00B0505E">
        <w:rPr>
          <w:rFonts w:ascii="Ouguiyas" w:hAnsi="Ouguiyas"/>
          <w:b/>
          <w:bCs/>
          <w:sz w:val="24"/>
          <w:szCs w:val="24"/>
          <w:u w:val="single"/>
        </w:rPr>
        <w:t>en arabe et en français</w:t>
      </w:r>
      <w:r w:rsidR="002B38DA" w:rsidRPr="00B0505E">
        <w:rPr>
          <w:rFonts w:ascii="Ouguiyas" w:hAnsi="Ouguiyas"/>
          <w:sz w:val="24"/>
          <w:szCs w:val="24"/>
        </w:rPr>
        <w:t>.</w:t>
      </w:r>
    </w:p>
    <w:p w14:paraId="59AD3FCA" w14:textId="597EA946" w:rsidR="00465330" w:rsidRPr="00B0505E" w:rsidRDefault="00465330" w:rsidP="003C28A2">
      <w:pPr>
        <w:autoSpaceDE w:val="0"/>
        <w:autoSpaceDN w:val="0"/>
        <w:adjustRightInd w:val="0"/>
        <w:spacing w:after="120" w:line="240" w:lineRule="auto"/>
        <w:jc w:val="both"/>
        <w:rPr>
          <w:rFonts w:ascii="Ouguiyas" w:hAnsi="Ouguiyas"/>
          <w:sz w:val="24"/>
          <w:szCs w:val="24"/>
        </w:rPr>
      </w:pPr>
      <w:r w:rsidRPr="00B0505E">
        <w:rPr>
          <w:rFonts w:ascii="Ouguiyas" w:hAnsi="Ouguiyas" w:cs="Tahoma"/>
        </w:rPr>
        <w:t>L</w:t>
      </w:r>
      <w:r w:rsidRPr="00B0505E">
        <w:rPr>
          <w:rFonts w:ascii="Ouguiyas" w:hAnsi="Ouguiyas"/>
          <w:sz w:val="24"/>
          <w:szCs w:val="24"/>
        </w:rPr>
        <w:t xml:space="preserve">e </w:t>
      </w:r>
      <w:r w:rsidR="009A240E" w:rsidRPr="00B0505E">
        <w:rPr>
          <w:rFonts w:ascii="Ouguiyas" w:hAnsi="Ouguiyas"/>
          <w:sz w:val="24"/>
          <w:szCs w:val="24"/>
        </w:rPr>
        <w:t xml:space="preserve">personnel clé que le </w:t>
      </w:r>
      <w:r w:rsidRPr="00B0505E">
        <w:rPr>
          <w:rFonts w:ascii="Ouguiyas" w:hAnsi="Ouguiyas"/>
          <w:sz w:val="24"/>
          <w:szCs w:val="24"/>
        </w:rPr>
        <w:t>consultant</w:t>
      </w:r>
      <w:r w:rsidR="006935C1" w:rsidRPr="00B0505E">
        <w:rPr>
          <w:rFonts w:ascii="Ouguiyas" w:hAnsi="Ouguiyas"/>
          <w:sz w:val="24"/>
          <w:szCs w:val="24"/>
        </w:rPr>
        <w:t xml:space="preserve"> doit mobiliser,</w:t>
      </w:r>
      <w:r w:rsidRPr="00B0505E">
        <w:rPr>
          <w:rFonts w:ascii="Ouguiyas" w:hAnsi="Ouguiyas"/>
          <w:sz w:val="24"/>
          <w:szCs w:val="24"/>
        </w:rPr>
        <w:t xml:space="preserve"> </w:t>
      </w:r>
      <w:r w:rsidR="007E0B8D" w:rsidRPr="00B0505E">
        <w:rPr>
          <w:rFonts w:ascii="Ouguiyas" w:hAnsi="Ouguiyas"/>
          <w:sz w:val="24"/>
          <w:szCs w:val="24"/>
        </w:rPr>
        <w:t>devra justifier des</w:t>
      </w:r>
      <w:r w:rsidRPr="00B0505E">
        <w:rPr>
          <w:rFonts w:ascii="Ouguiyas" w:hAnsi="Ouguiyas"/>
          <w:sz w:val="24"/>
          <w:szCs w:val="24"/>
        </w:rPr>
        <w:t xml:space="preserve"> qualifications et expertises suivantes :</w:t>
      </w:r>
    </w:p>
    <w:p w14:paraId="067C6CDA" w14:textId="7800F8D8" w:rsidR="009A240E" w:rsidRPr="0012499C" w:rsidRDefault="00804652" w:rsidP="009C6857">
      <w:pPr>
        <w:pStyle w:val="Paragraphedeliste"/>
        <w:numPr>
          <w:ilvl w:val="0"/>
          <w:numId w:val="22"/>
        </w:numPr>
        <w:autoSpaceDE w:val="0"/>
        <w:autoSpaceDN w:val="0"/>
        <w:adjustRightInd w:val="0"/>
        <w:spacing w:after="120" w:line="240" w:lineRule="auto"/>
        <w:ind w:left="426"/>
        <w:contextualSpacing w:val="0"/>
        <w:jc w:val="both"/>
        <w:rPr>
          <w:rFonts w:ascii="Ouguiyas" w:hAnsi="Ouguiyas"/>
          <w:b/>
          <w:bCs/>
          <w:sz w:val="24"/>
          <w:szCs w:val="24"/>
        </w:rPr>
      </w:pPr>
      <w:r w:rsidRPr="0012499C">
        <w:rPr>
          <w:rFonts w:ascii="Ouguiyas" w:hAnsi="Ouguiyas"/>
          <w:b/>
          <w:bCs/>
          <w:sz w:val="24"/>
          <w:szCs w:val="24"/>
          <w:u w:val="single"/>
        </w:rPr>
        <w:t>Expert</w:t>
      </w:r>
      <w:r w:rsidR="00A56467" w:rsidRPr="0012499C">
        <w:rPr>
          <w:rFonts w:ascii="Ouguiyas" w:hAnsi="Ouguiyas"/>
          <w:b/>
          <w:bCs/>
          <w:sz w:val="24"/>
          <w:szCs w:val="24"/>
          <w:u w:val="single"/>
        </w:rPr>
        <w:t xml:space="preserve"> senior en passation des marchés publics - Chef </w:t>
      </w:r>
      <w:r w:rsidR="009A240E" w:rsidRPr="0012499C">
        <w:rPr>
          <w:rFonts w:ascii="Ouguiyas" w:hAnsi="Ouguiyas"/>
          <w:b/>
          <w:bCs/>
          <w:sz w:val="24"/>
          <w:szCs w:val="24"/>
          <w:u w:val="single"/>
        </w:rPr>
        <w:t>de mission</w:t>
      </w:r>
      <w:r w:rsidR="009A240E" w:rsidRPr="0012499C">
        <w:rPr>
          <w:rFonts w:ascii="Ouguiyas" w:hAnsi="Ouguiyas"/>
          <w:b/>
          <w:bCs/>
          <w:sz w:val="24"/>
          <w:szCs w:val="24"/>
        </w:rPr>
        <w:t xml:space="preserve"> </w:t>
      </w:r>
      <w:r w:rsidR="00A56467" w:rsidRPr="0012499C">
        <w:rPr>
          <w:rFonts w:ascii="Ouguiyas" w:hAnsi="Ouguiyas"/>
          <w:b/>
          <w:bCs/>
          <w:sz w:val="24"/>
          <w:szCs w:val="24"/>
        </w:rPr>
        <w:t>(une expérience académique constitue un atout mais n’est pas exclusive</w:t>
      </w:r>
      <w:r w:rsidR="000B35F8" w:rsidRPr="0012499C">
        <w:rPr>
          <w:rFonts w:ascii="Ouguiyas" w:hAnsi="Ouguiyas"/>
          <w:b/>
          <w:bCs/>
          <w:sz w:val="24"/>
          <w:szCs w:val="24"/>
        </w:rPr>
        <w:t>) :</w:t>
      </w:r>
    </w:p>
    <w:p w14:paraId="059CE1C8" w14:textId="2A32841F" w:rsidR="009A240E" w:rsidRPr="00B0505E" w:rsidRDefault="000B35F8"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Être</w:t>
      </w:r>
      <w:r w:rsidR="009A240E" w:rsidRPr="00B0505E">
        <w:rPr>
          <w:rFonts w:ascii="Ouguiyas" w:eastAsiaTheme="minorEastAsia" w:hAnsi="Ouguiyas" w:cstheme="minorBidi"/>
        </w:rPr>
        <w:t xml:space="preserve"> titulaire </w:t>
      </w:r>
      <w:r w:rsidR="00FC2FEB" w:rsidRPr="00B0505E">
        <w:rPr>
          <w:rFonts w:ascii="Ouguiyas" w:eastAsiaTheme="minorEastAsia" w:hAnsi="Ouguiyas" w:cstheme="minorBidi"/>
        </w:rPr>
        <w:t xml:space="preserve">d’un diplôme de </w:t>
      </w:r>
      <w:r w:rsidRPr="00B0505E">
        <w:rPr>
          <w:rFonts w:ascii="Ouguiyas" w:eastAsiaTheme="minorEastAsia" w:hAnsi="Ouguiyas" w:cstheme="minorBidi"/>
        </w:rPr>
        <w:t>niveau Bac</w:t>
      </w:r>
      <w:r w:rsidR="00A56467" w:rsidRPr="00B0505E">
        <w:rPr>
          <w:rFonts w:ascii="Ouguiyas" w:eastAsiaTheme="minorEastAsia" w:hAnsi="Ouguiyas" w:cstheme="minorBidi"/>
        </w:rPr>
        <w:t>+5 au minimum (droit, économie, politiques publiques, ingénierie, gestion publique ou domaine connexe</w:t>
      </w:r>
      <w:r w:rsidRPr="00B0505E">
        <w:rPr>
          <w:rFonts w:ascii="Ouguiyas" w:eastAsiaTheme="minorEastAsia" w:hAnsi="Ouguiyas" w:cstheme="minorBidi"/>
        </w:rPr>
        <w:t>) ;</w:t>
      </w:r>
    </w:p>
    <w:p w14:paraId="3589A6D8" w14:textId="1D4BE997" w:rsidR="009A240E" w:rsidRPr="00B0505E" w:rsidRDefault="00FC2FEB"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 réalisé au moins une mission similaire, notamment dans le cadre de la création, réforme ou professionnalisation de dispositifs nationaux ou institutionnels de passation des marchés publics, incluant la mise en place de cadres de formation structurés</w:t>
      </w:r>
      <w:r w:rsidRPr="00B0505E" w:rsidDel="00FC2FEB">
        <w:rPr>
          <w:rFonts w:ascii="Ouguiyas" w:eastAsiaTheme="minorEastAsia" w:hAnsi="Ouguiyas" w:cstheme="minorBidi"/>
        </w:rPr>
        <w:t xml:space="preserve"> </w:t>
      </w:r>
      <w:r w:rsidR="00636404" w:rsidRPr="00B0505E">
        <w:rPr>
          <w:rFonts w:ascii="Ouguiyas" w:eastAsiaTheme="minorEastAsia" w:hAnsi="Ouguiyas" w:cstheme="minorBidi"/>
        </w:rPr>
        <w:t>(création ou montage de filières d’enseignement des marchés publics au sein d’écoles supérieur</w:t>
      </w:r>
      <w:r w:rsidR="00E207B4" w:rsidRPr="00B0505E">
        <w:rPr>
          <w:rFonts w:ascii="Ouguiyas" w:eastAsiaTheme="minorEastAsia" w:hAnsi="Ouguiyas" w:cstheme="minorBidi"/>
        </w:rPr>
        <w:t>e</w:t>
      </w:r>
      <w:r w:rsidR="00636404" w:rsidRPr="00B0505E">
        <w:rPr>
          <w:rFonts w:ascii="Ouguiyas" w:eastAsiaTheme="minorEastAsia" w:hAnsi="Ouguiyas" w:cstheme="minorBidi"/>
        </w:rPr>
        <w:t>s ou d’universités)</w:t>
      </w:r>
      <w:r w:rsidR="009A240E" w:rsidRPr="00B0505E">
        <w:rPr>
          <w:rFonts w:ascii="Ouguiyas" w:eastAsiaTheme="minorEastAsia" w:hAnsi="Ouguiyas" w:cstheme="minorBidi"/>
        </w:rPr>
        <w:t xml:space="preserve"> ;</w:t>
      </w:r>
    </w:p>
    <w:p w14:paraId="01D5A8B7" w14:textId="033267BB" w:rsidR="009A240E" w:rsidRPr="00B0505E" w:rsidRDefault="00FC2FEB"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Justifier d’une expérience professionnelle d’au moins dix (10) ans, incluant des missions d’assistance technique pour des administrations publiques, autorités de régulation ou projets financés par des bailleurs de fonds</w:t>
      </w:r>
      <w:r w:rsidR="00587D89">
        <w:rPr>
          <w:rFonts w:ascii="Ouguiyas" w:eastAsiaTheme="minorEastAsia" w:hAnsi="Ouguiyas" w:cstheme="minorBidi"/>
        </w:rPr>
        <w:t> ;</w:t>
      </w:r>
    </w:p>
    <w:p w14:paraId="74BEB32E" w14:textId="1F9D90BC" w:rsidR="00FC2FEB" w:rsidRPr="00B0505E" w:rsidRDefault="00FC2FEB" w:rsidP="00FC2FEB">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Une expérience en formation ou en enseignement supérieur, y compris comme professeur, constitue un atout, sans être une exigence exclusive</w:t>
      </w:r>
      <w:r w:rsidR="00587D89">
        <w:rPr>
          <w:rFonts w:ascii="Ouguiyas" w:eastAsiaTheme="minorEastAsia" w:hAnsi="Ouguiyas" w:cstheme="minorBidi"/>
        </w:rPr>
        <w:t> ;</w:t>
      </w:r>
    </w:p>
    <w:p w14:paraId="18A8E1B8" w14:textId="7BBC6470" w:rsidR="00465330" w:rsidRPr="00B0505E" w:rsidRDefault="00636404"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w:t>
      </w:r>
      <w:r w:rsidR="00465330" w:rsidRPr="00B0505E">
        <w:rPr>
          <w:rFonts w:ascii="Ouguiyas" w:eastAsiaTheme="minorEastAsia" w:hAnsi="Ouguiyas" w:cstheme="minorBidi"/>
        </w:rPr>
        <w:t xml:space="preserve"> une connaissance approfondie d</w:t>
      </w:r>
      <w:r w:rsidR="00E207B4" w:rsidRPr="00B0505E">
        <w:rPr>
          <w:rFonts w:ascii="Ouguiyas" w:eastAsiaTheme="minorEastAsia" w:hAnsi="Ouguiyas" w:cstheme="minorBidi"/>
        </w:rPr>
        <w:t>u</w:t>
      </w:r>
      <w:r w:rsidR="00465330" w:rsidRPr="00B0505E">
        <w:rPr>
          <w:rFonts w:ascii="Ouguiyas" w:eastAsiaTheme="minorEastAsia" w:hAnsi="Ouguiyas" w:cstheme="minorBidi"/>
        </w:rPr>
        <w:t xml:space="preserve"> système</w:t>
      </w:r>
      <w:r w:rsidR="00E207B4" w:rsidRPr="00B0505E">
        <w:rPr>
          <w:rFonts w:ascii="Ouguiyas" w:eastAsiaTheme="minorEastAsia" w:hAnsi="Ouguiyas" w:cstheme="minorBidi"/>
        </w:rPr>
        <w:t xml:space="preserve"> national</w:t>
      </w:r>
      <w:r w:rsidR="00465330" w:rsidRPr="00B0505E">
        <w:rPr>
          <w:rFonts w:ascii="Ouguiyas" w:eastAsiaTheme="minorEastAsia" w:hAnsi="Ouguiyas" w:cstheme="minorBidi"/>
        </w:rPr>
        <w:t xml:space="preserve"> de passation</w:t>
      </w:r>
      <w:r w:rsidR="009A240E" w:rsidRPr="00B0505E">
        <w:rPr>
          <w:rFonts w:ascii="Ouguiyas" w:eastAsiaTheme="minorEastAsia" w:hAnsi="Ouguiyas" w:cstheme="minorBidi"/>
        </w:rPr>
        <w:t xml:space="preserve"> de marchés publics</w:t>
      </w:r>
      <w:r w:rsidR="00465330" w:rsidRPr="00B0505E">
        <w:rPr>
          <w:rFonts w:ascii="Ouguiyas" w:eastAsiaTheme="minorEastAsia" w:hAnsi="Ouguiyas" w:cstheme="minorBidi"/>
        </w:rPr>
        <w:t xml:space="preserve"> </w:t>
      </w:r>
      <w:r w:rsidR="00E207B4" w:rsidRPr="00B0505E">
        <w:rPr>
          <w:rFonts w:ascii="Ouguiyas" w:eastAsiaTheme="minorEastAsia" w:hAnsi="Ouguiyas" w:cstheme="minorBidi"/>
        </w:rPr>
        <w:t xml:space="preserve">ou des systèmes des </w:t>
      </w:r>
      <w:r w:rsidR="009A240E" w:rsidRPr="00B0505E">
        <w:rPr>
          <w:rFonts w:ascii="Ouguiyas" w:eastAsiaTheme="minorEastAsia" w:hAnsi="Ouguiyas" w:cstheme="minorBidi"/>
        </w:rPr>
        <w:t>m</w:t>
      </w:r>
      <w:r w:rsidR="00465330" w:rsidRPr="00B0505E">
        <w:rPr>
          <w:rFonts w:ascii="Ouguiyas" w:eastAsiaTheme="minorEastAsia" w:hAnsi="Ouguiyas" w:cstheme="minorBidi"/>
        </w:rPr>
        <w:t xml:space="preserve">archés </w:t>
      </w:r>
      <w:r w:rsidR="009A240E" w:rsidRPr="00B0505E">
        <w:rPr>
          <w:rFonts w:ascii="Ouguiyas" w:eastAsiaTheme="minorEastAsia" w:hAnsi="Ouguiyas" w:cstheme="minorBidi"/>
        </w:rPr>
        <w:t>p</w:t>
      </w:r>
      <w:r w:rsidR="00465330" w:rsidRPr="00B0505E">
        <w:rPr>
          <w:rFonts w:ascii="Ouguiyas" w:eastAsiaTheme="minorEastAsia" w:hAnsi="Ouguiyas" w:cstheme="minorBidi"/>
        </w:rPr>
        <w:t>ublics d</w:t>
      </w:r>
      <w:r w:rsidRPr="00B0505E">
        <w:rPr>
          <w:rFonts w:ascii="Ouguiyas" w:eastAsiaTheme="minorEastAsia" w:hAnsi="Ouguiyas" w:cstheme="minorBidi"/>
        </w:rPr>
        <w:t>es</w:t>
      </w:r>
      <w:r w:rsidR="00465330" w:rsidRPr="00B0505E">
        <w:rPr>
          <w:rFonts w:ascii="Ouguiyas" w:eastAsiaTheme="minorEastAsia" w:hAnsi="Ouguiyas" w:cstheme="minorBidi"/>
        </w:rPr>
        <w:t xml:space="preserve"> pays de la sous-région</w:t>
      </w:r>
      <w:r w:rsidR="00E207B4" w:rsidRPr="00B0505E">
        <w:rPr>
          <w:rFonts w:ascii="Ouguiyas" w:eastAsiaTheme="minorEastAsia" w:hAnsi="Ouguiyas" w:cstheme="minorBidi"/>
        </w:rPr>
        <w:t> ;</w:t>
      </w:r>
    </w:p>
    <w:p w14:paraId="30F74E11" w14:textId="48407CA9" w:rsidR="00E207B4" w:rsidRPr="00B0505E" w:rsidRDefault="00E207B4"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Avoir une connaissance approfondie des procédures de passation </w:t>
      </w:r>
      <w:r w:rsidR="00FC2FEB" w:rsidRPr="00B0505E">
        <w:rPr>
          <w:rFonts w:ascii="Ouguiyas" w:eastAsiaTheme="minorEastAsia" w:hAnsi="Ouguiyas" w:cstheme="minorBidi"/>
        </w:rPr>
        <w:t xml:space="preserve">des marchés </w:t>
      </w:r>
      <w:r w:rsidR="00804652" w:rsidRPr="00B0505E">
        <w:rPr>
          <w:rFonts w:ascii="Ouguiyas" w:eastAsiaTheme="minorEastAsia" w:hAnsi="Ouguiyas" w:cstheme="minorBidi"/>
        </w:rPr>
        <w:t>des bailleurs</w:t>
      </w:r>
      <w:r w:rsidRPr="00B0505E">
        <w:rPr>
          <w:rFonts w:ascii="Ouguiyas" w:eastAsiaTheme="minorEastAsia" w:hAnsi="Ouguiyas" w:cstheme="minorBidi"/>
        </w:rPr>
        <w:t xml:space="preserve"> de fonds </w:t>
      </w:r>
      <w:r w:rsidR="00FC2FEB" w:rsidRPr="00B0505E">
        <w:rPr>
          <w:rFonts w:ascii="Ouguiyas" w:eastAsiaTheme="minorEastAsia" w:hAnsi="Ouguiyas" w:cstheme="minorBidi"/>
        </w:rPr>
        <w:t>internationaux</w:t>
      </w:r>
      <w:r w:rsidRPr="00B0505E">
        <w:rPr>
          <w:rFonts w:ascii="Ouguiyas" w:eastAsiaTheme="minorEastAsia" w:hAnsi="Ouguiyas" w:cstheme="minorBidi"/>
        </w:rPr>
        <w:t>;</w:t>
      </w:r>
    </w:p>
    <w:p w14:paraId="4CDB9DE6" w14:textId="426C7A6C" w:rsidR="009A240E" w:rsidRPr="0012499C" w:rsidRDefault="00804652" w:rsidP="00997F88">
      <w:pPr>
        <w:pStyle w:val="Paragraphedeliste"/>
        <w:numPr>
          <w:ilvl w:val="0"/>
          <w:numId w:val="22"/>
        </w:numPr>
        <w:autoSpaceDE w:val="0"/>
        <w:autoSpaceDN w:val="0"/>
        <w:adjustRightInd w:val="0"/>
        <w:spacing w:after="120" w:line="240" w:lineRule="auto"/>
        <w:ind w:left="426"/>
        <w:contextualSpacing w:val="0"/>
        <w:rPr>
          <w:rFonts w:ascii="Ouguiyas" w:hAnsi="Ouguiyas"/>
          <w:b/>
          <w:bCs/>
          <w:sz w:val="24"/>
          <w:szCs w:val="24"/>
        </w:rPr>
      </w:pPr>
      <w:r w:rsidRPr="0012499C">
        <w:rPr>
          <w:rFonts w:ascii="Ouguiyas" w:hAnsi="Ouguiyas"/>
          <w:b/>
          <w:bCs/>
          <w:sz w:val="24"/>
          <w:szCs w:val="24"/>
          <w:u w:val="single"/>
        </w:rPr>
        <w:t>Expert en marchés publics</w:t>
      </w:r>
      <w:r w:rsidR="003A72B6" w:rsidRPr="0012499C">
        <w:rPr>
          <w:rFonts w:ascii="Ouguiyas" w:hAnsi="Ouguiyas"/>
          <w:b/>
          <w:bCs/>
          <w:sz w:val="24"/>
          <w:szCs w:val="24"/>
        </w:rPr>
        <w:t xml:space="preserve"> :</w:t>
      </w:r>
    </w:p>
    <w:p w14:paraId="1163F547" w14:textId="284C3519" w:rsidR="003A72B6" w:rsidRPr="00B0505E" w:rsidRDefault="000B35F8"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Être</w:t>
      </w:r>
      <w:r w:rsidR="003A72B6" w:rsidRPr="00B0505E">
        <w:rPr>
          <w:rFonts w:ascii="Ouguiyas" w:eastAsiaTheme="minorEastAsia" w:hAnsi="Ouguiyas" w:cstheme="minorBidi"/>
        </w:rPr>
        <w:t xml:space="preserve"> titulaire</w:t>
      </w:r>
      <w:r w:rsidR="00804652" w:rsidRPr="00B0505E">
        <w:rPr>
          <w:rFonts w:ascii="Ouguiyas" w:eastAsiaTheme="minorEastAsia" w:hAnsi="Ouguiyas" w:cstheme="minorBidi"/>
        </w:rPr>
        <w:t xml:space="preserve"> </w:t>
      </w:r>
      <w:r w:rsidR="00FC2FEB" w:rsidRPr="00B0505E">
        <w:rPr>
          <w:rFonts w:ascii="Ouguiyas" w:eastAsiaTheme="minorEastAsia" w:hAnsi="Ouguiyas" w:cstheme="minorBidi"/>
        </w:rPr>
        <w:t xml:space="preserve">d’un diplôme de niveau Bac+5 au </w:t>
      </w:r>
      <w:r w:rsidRPr="00B0505E">
        <w:rPr>
          <w:rFonts w:ascii="Ouguiyas" w:eastAsiaTheme="minorEastAsia" w:hAnsi="Ouguiyas" w:cstheme="minorBidi"/>
        </w:rPr>
        <w:t>minimum ;</w:t>
      </w:r>
    </w:p>
    <w:p w14:paraId="79AB7B19" w14:textId="13E09FA2" w:rsidR="0011783D" w:rsidRPr="00B0505E" w:rsidRDefault="0011783D"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Avoir réalisé au moins une mission similaire </w:t>
      </w:r>
      <w:r w:rsidR="00FC2FEB" w:rsidRPr="00B0505E">
        <w:rPr>
          <w:rFonts w:ascii="Ouguiyas" w:eastAsiaTheme="minorEastAsia" w:hAnsi="Ouguiyas" w:cstheme="minorBidi"/>
        </w:rPr>
        <w:t xml:space="preserve">liée à la réforme, la professionnalisation, la mise en place de dispositifs institutionnels ou de filières de formation structurées en passation des marchés publics </w:t>
      </w:r>
      <w:r w:rsidRPr="00B0505E">
        <w:rPr>
          <w:rFonts w:ascii="Ouguiyas" w:eastAsiaTheme="minorEastAsia" w:hAnsi="Ouguiyas" w:cstheme="minorBidi"/>
        </w:rPr>
        <w:t>(création ou montage de filières d’enseignement des marchés publics au sein d’écoles supérieures ou d’universités)</w:t>
      </w:r>
      <w:r w:rsidR="00587D89">
        <w:rPr>
          <w:rFonts w:ascii="Ouguiyas" w:eastAsiaTheme="minorEastAsia" w:hAnsi="Ouguiyas" w:cstheme="minorBidi"/>
        </w:rPr>
        <w:t> ;</w:t>
      </w:r>
      <w:r w:rsidRPr="00B0505E">
        <w:rPr>
          <w:rFonts w:ascii="Ouguiyas" w:eastAsiaTheme="minorEastAsia" w:hAnsi="Ouguiyas" w:cstheme="minorBidi"/>
        </w:rPr>
        <w:t xml:space="preserve"> </w:t>
      </w:r>
    </w:p>
    <w:p w14:paraId="2670D0E8" w14:textId="204C540E" w:rsidR="003A72B6" w:rsidRPr="00B0505E" w:rsidRDefault="00FC2FEB"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Justifier </w:t>
      </w:r>
      <w:r w:rsidR="000B35F8" w:rsidRPr="00B0505E">
        <w:rPr>
          <w:rFonts w:ascii="Ouguiyas" w:eastAsiaTheme="minorEastAsia" w:hAnsi="Ouguiyas" w:cstheme="minorBidi"/>
        </w:rPr>
        <w:t>d’une expérience</w:t>
      </w:r>
      <w:r w:rsidR="003A72B6" w:rsidRPr="00B0505E">
        <w:rPr>
          <w:rFonts w:ascii="Ouguiyas" w:eastAsiaTheme="minorEastAsia" w:hAnsi="Ouguiyas" w:cstheme="minorBidi"/>
        </w:rPr>
        <w:t xml:space="preserve"> professionnelle d’au moins </w:t>
      </w:r>
      <w:r w:rsidRPr="00B0505E">
        <w:rPr>
          <w:rFonts w:ascii="Ouguiyas" w:eastAsiaTheme="minorEastAsia" w:hAnsi="Ouguiyas" w:cstheme="minorBidi"/>
        </w:rPr>
        <w:t xml:space="preserve">cinq (5) </w:t>
      </w:r>
      <w:r w:rsidR="003A72B6" w:rsidRPr="00B0505E">
        <w:rPr>
          <w:rFonts w:ascii="Ouguiyas" w:eastAsiaTheme="minorEastAsia" w:hAnsi="Ouguiyas" w:cstheme="minorBidi"/>
        </w:rPr>
        <w:t>ans dans le domaine de la passation des marchés publics</w:t>
      </w:r>
      <w:r w:rsidR="00B30609" w:rsidRPr="00B0505E">
        <w:rPr>
          <w:rFonts w:ascii="Ouguiyas" w:eastAsiaTheme="minorEastAsia" w:hAnsi="Ouguiyas" w:cstheme="minorBidi"/>
        </w:rPr>
        <w:t xml:space="preserve"> </w:t>
      </w:r>
      <w:r w:rsidRPr="00B0505E">
        <w:rPr>
          <w:rFonts w:ascii="Ouguiyas" w:eastAsiaTheme="minorEastAsia" w:hAnsi="Ouguiyas" w:cstheme="minorBidi"/>
        </w:rPr>
        <w:t xml:space="preserve">et/ou de la formation </w:t>
      </w:r>
      <w:r w:rsidR="000B35F8" w:rsidRPr="00B0505E">
        <w:rPr>
          <w:rFonts w:ascii="Ouguiyas" w:eastAsiaTheme="minorEastAsia" w:hAnsi="Ouguiyas" w:cstheme="minorBidi"/>
        </w:rPr>
        <w:t>spécialisée ;</w:t>
      </w:r>
    </w:p>
    <w:p w14:paraId="510B17B7" w14:textId="447912A7" w:rsidR="003A72B6" w:rsidRPr="00B0505E" w:rsidRDefault="003A72B6"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 une bonne connaissance du système national de passation de marchés publics ou des systèmes des marchés publics des pays de la sous-région ;</w:t>
      </w:r>
    </w:p>
    <w:p w14:paraId="77831BDB" w14:textId="08C65B31" w:rsidR="003A72B6" w:rsidRPr="00B0505E" w:rsidRDefault="003A72B6"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 une bonne connaissance des procédures de passation de marchés publics des bailleurs de fonds </w:t>
      </w:r>
      <w:r w:rsidR="00230B3A" w:rsidRPr="00B0505E">
        <w:rPr>
          <w:rFonts w:ascii="Ouguiyas" w:eastAsiaTheme="minorEastAsia" w:hAnsi="Ouguiyas" w:cstheme="minorBidi"/>
        </w:rPr>
        <w:t>internationaux</w:t>
      </w:r>
      <w:r w:rsidRPr="00B0505E">
        <w:rPr>
          <w:rFonts w:ascii="Ouguiyas" w:eastAsiaTheme="minorEastAsia" w:hAnsi="Ouguiyas" w:cstheme="minorBidi"/>
        </w:rPr>
        <w:t>;</w:t>
      </w:r>
    </w:p>
    <w:p w14:paraId="032CD9DD" w14:textId="1138F203" w:rsidR="003A72B6" w:rsidRPr="00B0505E" w:rsidRDefault="003A72B6"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Être capable de travailler </w:t>
      </w:r>
      <w:r w:rsidR="00AF12C0" w:rsidRPr="00B0505E">
        <w:rPr>
          <w:rFonts w:ascii="Ouguiyas" w:eastAsiaTheme="minorEastAsia" w:hAnsi="Ouguiyas" w:cstheme="minorBidi"/>
        </w:rPr>
        <w:t xml:space="preserve">aisément </w:t>
      </w:r>
      <w:r w:rsidRPr="00B0505E">
        <w:rPr>
          <w:rFonts w:ascii="Ouguiyas" w:eastAsiaTheme="minorEastAsia" w:hAnsi="Ouguiyas" w:cstheme="minorBidi"/>
        </w:rPr>
        <w:t>en arabe et en français.</w:t>
      </w:r>
    </w:p>
    <w:p w14:paraId="422403FF" w14:textId="77777777" w:rsidR="002B38DA" w:rsidRPr="00B0505E" w:rsidRDefault="002B38DA" w:rsidP="002B38DA">
      <w:pPr>
        <w:pStyle w:val="Default"/>
        <w:rPr>
          <w:rFonts w:ascii="Ouguiyas" w:hAnsi="Ouguiyas"/>
        </w:rPr>
      </w:pPr>
    </w:p>
    <w:p w14:paraId="1956F451" w14:textId="66E2FCE1" w:rsidR="00804652" w:rsidRPr="0012499C" w:rsidRDefault="00901811" w:rsidP="00804652">
      <w:pPr>
        <w:pStyle w:val="Paragraphedeliste"/>
        <w:numPr>
          <w:ilvl w:val="0"/>
          <w:numId w:val="22"/>
        </w:numPr>
        <w:autoSpaceDE w:val="0"/>
        <w:autoSpaceDN w:val="0"/>
        <w:adjustRightInd w:val="0"/>
        <w:spacing w:after="120" w:line="240" w:lineRule="auto"/>
        <w:ind w:left="426"/>
        <w:contextualSpacing w:val="0"/>
        <w:rPr>
          <w:rFonts w:ascii="Ouguiyas" w:hAnsi="Ouguiyas"/>
          <w:b/>
          <w:bCs/>
          <w:sz w:val="24"/>
          <w:szCs w:val="24"/>
        </w:rPr>
      </w:pPr>
      <w:r w:rsidRPr="0012499C">
        <w:rPr>
          <w:rFonts w:ascii="Ouguiyas" w:hAnsi="Ouguiyas"/>
          <w:b/>
          <w:bCs/>
          <w:sz w:val="24"/>
          <w:szCs w:val="24"/>
          <w:u w:val="single"/>
        </w:rPr>
        <w:lastRenderedPageBreak/>
        <w:t xml:space="preserve">Expert </w:t>
      </w:r>
      <w:r w:rsidR="00804652" w:rsidRPr="0012499C">
        <w:rPr>
          <w:rFonts w:ascii="Ouguiyas" w:hAnsi="Ouguiyas"/>
          <w:b/>
          <w:bCs/>
          <w:sz w:val="24"/>
          <w:szCs w:val="24"/>
          <w:u w:val="single"/>
        </w:rPr>
        <w:t>en formation des formateurs en PM</w:t>
      </w:r>
      <w:r w:rsidR="00804652" w:rsidRPr="0012499C">
        <w:rPr>
          <w:rFonts w:ascii="Ouguiyas" w:hAnsi="Ouguiyas"/>
          <w:b/>
          <w:bCs/>
          <w:sz w:val="24"/>
          <w:szCs w:val="24"/>
        </w:rPr>
        <w:t xml:space="preserve"> :</w:t>
      </w:r>
    </w:p>
    <w:p w14:paraId="37E79487" w14:textId="08B5DCB2" w:rsidR="00804652" w:rsidRPr="00B0505E" w:rsidRDefault="000B35F8"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Être</w:t>
      </w:r>
      <w:r w:rsidR="00804652" w:rsidRPr="00B0505E">
        <w:rPr>
          <w:rFonts w:ascii="Ouguiyas" w:eastAsiaTheme="minorEastAsia" w:hAnsi="Ouguiyas" w:cstheme="minorBidi"/>
        </w:rPr>
        <w:t xml:space="preserve"> titulaire </w:t>
      </w:r>
      <w:r w:rsidR="00230B3A" w:rsidRPr="00B0505E">
        <w:rPr>
          <w:rFonts w:ascii="Ouguiyas" w:eastAsiaTheme="minorEastAsia" w:hAnsi="Ouguiyas" w:cstheme="minorBidi"/>
        </w:rPr>
        <w:t>d’un diplôme de niveau Bac+5 au minimum</w:t>
      </w:r>
      <w:r w:rsidR="00230B3A" w:rsidRPr="00B0505E" w:rsidDel="00230B3A">
        <w:rPr>
          <w:rFonts w:ascii="Ouguiyas" w:eastAsiaTheme="minorEastAsia" w:hAnsi="Ouguiyas" w:cstheme="minorBidi"/>
        </w:rPr>
        <w:t xml:space="preserve"> </w:t>
      </w:r>
      <w:r w:rsidR="00804652" w:rsidRPr="00B0505E">
        <w:rPr>
          <w:rFonts w:ascii="Ouguiyas" w:eastAsiaTheme="minorEastAsia" w:hAnsi="Ouguiyas" w:cstheme="minorBidi"/>
        </w:rPr>
        <w:t>;</w:t>
      </w:r>
    </w:p>
    <w:p w14:paraId="74AE5283" w14:textId="05BD58B1" w:rsidR="0011783D" w:rsidRPr="00B0505E" w:rsidRDefault="0011783D"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Avoir réalisé au moins une mission similaire </w:t>
      </w:r>
      <w:r w:rsidR="00230B3A" w:rsidRPr="00B0505E">
        <w:rPr>
          <w:rFonts w:ascii="Ouguiyas" w:eastAsiaTheme="minorEastAsia" w:hAnsi="Ouguiyas" w:cstheme="minorBidi"/>
        </w:rPr>
        <w:t>en matière de formation de formateurs ou de développement de capacités en passation des marchés publics</w:t>
      </w:r>
      <w:r w:rsidR="00587D89">
        <w:rPr>
          <w:rFonts w:ascii="Ouguiyas" w:eastAsiaTheme="minorEastAsia" w:hAnsi="Ouguiyas" w:cstheme="minorBidi"/>
        </w:rPr>
        <w:t> ;</w:t>
      </w:r>
    </w:p>
    <w:p w14:paraId="27BB0DDB" w14:textId="523920DB" w:rsidR="00804652" w:rsidRPr="00B0505E" w:rsidRDefault="00804652"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 xml:space="preserve">Avoir une expérience professionnelle d’au moins </w:t>
      </w:r>
      <w:r w:rsidR="0004368A" w:rsidRPr="00B0505E">
        <w:rPr>
          <w:rFonts w:ascii="Ouguiyas" w:eastAsiaTheme="minorEastAsia" w:hAnsi="Ouguiyas" w:cstheme="minorBidi"/>
        </w:rPr>
        <w:t xml:space="preserve">10 </w:t>
      </w:r>
      <w:r w:rsidRPr="00B0505E">
        <w:rPr>
          <w:rFonts w:ascii="Ouguiyas" w:eastAsiaTheme="minorEastAsia" w:hAnsi="Ouguiyas" w:cstheme="minorBidi"/>
        </w:rPr>
        <w:t>ans dans le domaine de la formation en passation des marchés publics ;</w:t>
      </w:r>
    </w:p>
    <w:p w14:paraId="4E0F3F75" w14:textId="77777777" w:rsidR="00804652" w:rsidRPr="00B0505E" w:rsidRDefault="00804652"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 une bonne connaissance du système national de passation de marchés publics ou des systèmes des marchés publics des pays de la sous-région ;</w:t>
      </w:r>
    </w:p>
    <w:p w14:paraId="3A024E7C" w14:textId="6C02E0DF" w:rsidR="00804652" w:rsidRPr="00B0505E" w:rsidRDefault="00804652" w:rsidP="006935C1">
      <w:pPr>
        <w:pStyle w:val="NormalWeb"/>
        <w:numPr>
          <w:ilvl w:val="0"/>
          <w:numId w:val="12"/>
        </w:numPr>
        <w:autoSpaceDE/>
        <w:autoSpaceDN/>
        <w:adjustRightInd/>
        <w:ind w:left="851"/>
        <w:jc w:val="both"/>
        <w:rPr>
          <w:rFonts w:ascii="Ouguiyas" w:eastAsiaTheme="minorEastAsia" w:hAnsi="Ouguiyas" w:cstheme="minorBidi"/>
        </w:rPr>
      </w:pPr>
      <w:r w:rsidRPr="00B0505E">
        <w:rPr>
          <w:rFonts w:ascii="Ouguiyas" w:eastAsiaTheme="minorEastAsia" w:hAnsi="Ouguiyas" w:cstheme="minorBidi"/>
        </w:rPr>
        <w:t>Avoir une bonne connaissance des procédures de passation de marchés publics des bailleurs de fonds</w:t>
      </w:r>
      <w:r w:rsidR="00230B3A" w:rsidRPr="00B0505E">
        <w:rPr>
          <w:rFonts w:ascii="Ouguiyas" w:eastAsiaTheme="minorEastAsia" w:hAnsi="Ouguiyas" w:cstheme="minorBidi"/>
        </w:rPr>
        <w:t xml:space="preserve"> internationaux</w:t>
      </w:r>
      <w:r w:rsidR="00587D89">
        <w:rPr>
          <w:rFonts w:ascii="Ouguiyas" w:eastAsiaTheme="minorEastAsia" w:hAnsi="Ouguiyas" w:cstheme="minorBidi"/>
        </w:rPr>
        <w:t>.</w:t>
      </w:r>
    </w:p>
    <w:p w14:paraId="0AA3C67C" w14:textId="77777777" w:rsidR="00804652" w:rsidRPr="00B0505E" w:rsidRDefault="00804652" w:rsidP="00804652">
      <w:pPr>
        <w:pStyle w:val="Default"/>
        <w:rPr>
          <w:rFonts w:ascii="Ouguiyas" w:hAnsi="Ouguiyas"/>
          <w:sz w:val="8"/>
          <w:szCs w:val="8"/>
        </w:rPr>
      </w:pPr>
    </w:p>
    <w:p w14:paraId="23AA798D" w14:textId="77777777" w:rsidR="00D34F28" w:rsidRPr="00B0505E" w:rsidRDefault="00D34F28" w:rsidP="00997F88">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t>Produits attendus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134"/>
        <w:gridCol w:w="4296"/>
      </w:tblGrid>
      <w:tr w:rsidR="00465330" w:rsidRPr="00B0505E" w14:paraId="0E8BB77B" w14:textId="77777777" w:rsidTr="00997F88">
        <w:trPr>
          <w:trHeight w:val="380"/>
          <w:tblHeader/>
        </w:trPr>
        <w:tc>
          <w:tcPr>
            <w:tcW w:w="4536" w:type="dxa"/>
          </w:tcPr>
          <w:p w14:paraId="4E047AF7" w14:textId="77777777" w:rsidR="00465330" w:rsidRPr="00B0505E" w:rsidRDefault="00465330" w:rsidP="00997F88">
            <w:pPr>
              <w:autoSpaceDE w:val="0"/>
              <w:autoSpaceDN w:val="0"/>
              <w:adjustRightInd w:val="0"/>
              <w:spacing w:after="120" w:line="240" w:lineRule="auto"/>
              <w:rPr>
                <w:rFonts w:ascii="Ouguiyas" w:hAnsi="Ouguiyas"/>
                <w:b/>
                <w:bCs/>
                <w:sz w:val="24"/>
                <w:szCs w:val="24"/>
              </w:rPr>
            </w:pPr>
            <w:r w:rsidRPr="00B0505E">
              <w:rPr>
                <w:rFonts w:ascii="Ouguiyas" w:hAnsi="Ouguiyas"/>
                <w:b/>
                <w:bCs/>
                <w:sz w:val="24"/>
                <w:szCs w:val="24"/>
              </w:rPr>
              <w:t>Titre du rapport</w:t>
            </w:r>
          </w:p>
        </w:tc>
        <w:tc>
          <w:tcPr>
            <w:tcW w:w="1134" w:type="dxa"/>
          </w:tcPr>
          <w:p w14:paraId="1CEE3305" w14:textId="52EF0AD7" w:rsidR="00465330" w:rsidRPr="00B0505E" w:rsidRDefault="00465330" w:rsidP="000B35F8">
            <w:pPr>
              <w:autoSpaceDE w:val="0"/>
              <w:autoSpaceDN w:val="0"/>
              <w:adjustRightInd w:val="0"/>
              <w:spacing w:after="120" w:line="240" w:lineRule="auto"/>
              <w:jc w:val="center"/>
              <w:rPr>
                <w:rFonts w:ascii="Ouguiyas" w:hAnsi="Ouguiyas"/>
                <w:b/>
                <w:bCs/>
                <w:sz w:val="24"/>
                <w:szCs w:val="24"/>
              </w:rPr>
            </w:pPr>
            <w:r w:rsidRPr="00B0505E">
              <w:rPr>
                <w:rFonts w:ascii="Ouguiyas" w:hAnsi="Ouguiyas"/>
                <w:b/>
                <w:bCs/>
                <w:sz w:val="24"/>
                <w:szCs w:val="24"/>
              </w:rPr>
              <w:t>Nombre</w:t>
            </w:r>
          </w:p>
        </w:tc>
        <w:tc>
          <w:tcPr>
            <w:tcW w:w="4296" w:type="dxa"/>
          </w:tcPr>
          <w:p w14:paraId="7927FFC2" w14:textId="77777777" w:rsidR="00465330" w:rsidRPr="00B0505E" w:rsidRDefault="00465330" w:rsidP="00997F88">
            <w:pPr>
              <w:autoSpaceDE w:val="0"/>
              <w:autoSpaceDN w:val="0"/>
              <w:adjustRightInd w:val="0"/>
              <w:spacing w:after="120" w:line="240" w:lineRule="auto"/>
              <w:jc w:val="center"/>
              <w:rPr>
                <w:rFonts w:ascii="Ouguiyas" w:hAnsi="Ouguiyas"/>
                <w:b/>
                <w:bCs/>
                <w:sz w:val="24"/>
                <w:szCs w:val="24"/>
              </w:rPr>
            </w:pPr>
            <w:r w:rsidRPr="00B0505E">
              <w:rPr>
                <w:rFonts w:ascii="Ouguiyas" w:hAnsi="Ouguiyas"/>
                <w:b/>
                <w:bCs/>
                <w:sz w:val="24"/>
                <w:szCs w:val="24"/>
              </w:rPr>
              <w:t>Calendrier de livraison</w:t>
            </w:r>
          </w:p>
        </w:tc>
      </w:tr>
      <w:tr w:rsidR="00465330" w:rsidRPr="00B0505E" w14:paraId="359D24D0" w14:textId="77777777" w:rsidTr="00997F88">
        <w:trPr>
          <w:trHeight w:val="625"/>
        </w:trPr>
        <w:tc>
          <w:tcPr>
            <w:tcW w:w="4536" w:type="dxa"/>
            <w:vAlign w:val="center"/>
          </w:tcPr>
          <w:p w14:paraId="210AA2DB" w14:textId="70342278" w:rsidR="00465330" w:rsidRPr="00B0505E" w:rsidRDefault="007626B3"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Rapport actualisé du diagnostic</w:t>
            </w:r>
            <w:r w:rsidR="000A61B9" w:rsidRPr="00B0505E">
              <w:rPr>
                <w:rFonts w:ascii="Ouguiyas" w:hAnsi="Ouguiyas"/>
                <w:sz w:val="24"/>
                <w:szCs w:val="24"/>
              </w:rPr>
              <w:t>, incluant l’analyse du marché du travail, l’évaluation de l’état de préparation à la professionnalisation (y compris, le cas échéant, sur la base du module MAPS- professionnalisation), l’analyse du potentiel institutionnel et la mise à jour de l’étude de faisabilité</w:t>
            </w:r>
            <w:proofErr w:type="gramStart"/>
            <w:r w:rsidR="000A61B9" w:rsidRPr="00B0505E">
              <w:rPr>
                <w:rFonts w:ascii="Ouguiyas" w:hAnsi="Ouguiyas"/>
                <w:sz w:val="24"/>
                <w:szCs w:val="24"/>
              </w:rPr>
              <w:t>.</w:t>
            </w:r>
            <w:r w:rsidRPr="00B0505E">
              <w:rPr>
                <w:rFonts w:ascii="Ouguiyas" w:hAnsi="Ouguiyas"/>
                <w:sz w:val="24"/>
                <w:szCs w:val="24"/>
              </w:rPr>
              <w:t>;</w:t>
            </w:r>
            <w:proofErr w:type="gramEnd"/>
            <w:r w:rsidRPr="00B0505E">
              <w:rPr>
                <w:rFonts w:ascii="Ouguiyas" w:hAnsi="Ouguiyas"/>
                <w:sz w:val="24"/>
                <w:szCs w:val="24"/>
              </w:rPr>
              <w:t xml:space="preserve"> </w:t>
            </w:r>
          </w:p>
        </w:tc>
        <w:tc>
          <w:tcPr>
            <w:tcW w:w="1134" w:type="dxa"/>
            <w:vAlign w:val="center"/>
          </w:tcPr>
          <w:p w14:paraId="301675BD" w14:textId="77777777" w:rsidR="00465330" w:rsidRPr="00B0505E" w:rsidRDefault="00465330" w:rsidP="000B35F8">
            <w:pPr>
              <w:autoSpaceDE w:val="0"/>
              <w:autoSpaceDN w:val="0"/>
              <w:adjustRightInd w:val="0"/>
              <w:spacing w:after="120" w:line="240" w:lineRule="auto"/>
              <w:jc w:val="center"/>
              <w:rPr>
                <w:rFonts w:ascii="Ouguiyas" w:hAnsi="Ouguiyas"/>
                <w:sz w:val="24"/>
                <w:szCs w:val="24"/>
              </w:rPr>
            </w:pPr>
            <w:r w:rsidRPr="00B0505E">
              <w:rPr>
                <w:rFonts w:ascii="Ouguiyas" w:hAnsi="Ouguiyas"/>
                <w:sz w:val="24"/>
                <w:szCs w:val="24"/>
              </w:rPr>
              <w:t>1</w:t>
            </w:r>
          </w:p>
        </w:tc>
        <w:tc>
          <w:tcPr>
            <w:tcW w:w="4296" w:type="dxa"/>
            <w:vAlign w:val="center"/>
          </w:tcPr>
          <w:p w14:paraId="68AFA6C1" w14:textId="0493447E" w:rsidR="00465330" w:rsidRPr="00B0505E" w:rsidRDefault="007626B3"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30 jours après le démarrage de la mission</w:t>
            </w:r>
          </w:p>
        </w:tc>
      </w:tr>
      <w:tr w:rsidR="00465330" w:rsidRPr="00B0505E" w14:paraId="1AC50F26" w14:textId="77777777" w:rsidTr="00997F88">
        <w:trPr>
          <w:trHeight w:val="699"/>
        </w:trPr>
        <w:tc>
          <w:tcPr>
            <w:tcW w:w="4536" w:type="dxa"/>
            <w:vAlign w:val="center"/>
          </w:tcPr>
          <w:p w14:paraId="002A4BB8" w14:textId="6A7245BC" w:rsidR="00465330" w:rsidRPr="00B0505E" w:rsidRDefault="007626B3"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Rapport des modules de formation révisés et actualisés </w:t>
            </w:r>
          </w:p>
        </w:tc>
        <w:tc>
          <w:tcPr>
            <w:tcW w:w="1134" w:type="dxa"/>
            <w:vAlign w:val="center"/>
          </w:tcPr>
          <w:p w14:paraId="71A787B7" w14:textId="77777777" w:rsidR="00465330" w:rsidRPr="00B0505E" w:rsidRDefault="00465330" w:rsidP="000B35F8">
            <w:pPr>
              <w:autoSpaceDE w:val="0"/>
              <w:autoSpaceDN w:val="0"/>
              <w:adjustRightInd w:val="0"/>
              <w:spacing w:after="120" w:line="240" w:lineRule="auto"/>
              <w:jc w:val="center"/>
              <w:rPr>
                <w:rFonts w:ascii="Ouguiyas" w:hAnsi="Ouguiyas"/>
                <w:sz w:val="24"/>
                <w:szCs w:val="24"/>
              </w:rPr>
            </w:pPr>
            <w:r w:rsidRPr="00B0505E">
              <w:rPr>
                <w:rFonts w:ascii="Ouguiyas" w:hAnsi="Ouguiyas"/>
                <w:sz w:val="24"/>
                <w:szCs w:val="24"/>
              </w:rPr>
              <w:t>1</w:t>
            </w:r>
          </w:p>
        </w:tc>
        <w:tc>
          <w:tcPr>
            <w:tcW w:w="4296" w:type="dxa"/>
            <w:vAlign w:val="center"/>
          </w:tcPr>
          <w:p w14:paraId="430E6853" w14:textId="468C65E5"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 xml:space="preserve">60 jours après l’approbation du rapport </w:t>
            </w:r>
            <w:r w:rsidR="007E0B8D" w:rsidRPr="00B0505E">
              <w:rPr>
                <w:rFonts w:ascii="Ouguiyas" w:hAnsi="Ouguiyas"/>
                <w:sz w:val="24"/>
                <w:szCs w:val="24"/>
              </w:rPr>
              <w:t>du diagnostic</w:t>
            </w:r>
          </w:p>
        </w:tc>
      </w:tr>
      <w:tr w:rsidR="00465330" w:rsidRPr="00B0505E" w14:paraId="5855390B" w14:textId="77777777" w:rsidTr="00997F88">
        <w:trPr>
          <w:trHeight w:val="233"/>
        </w:trPr>
        <w:tc>
          <w:tcPr>
            <w:tcW w:w="4536" w:type="dxa"/>
            <w:vAlign w:val="center"/>
          </w:tcPr>
          <w:p w14:paraId="14E2D3DD" w14:textId="77777777"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Rapport de la formation des formateurs</w:t>
            </w:r>
          </w:p>
        </w:tc>
        <w:tc>
          <w:tcPr>
            <w:tcW w:w="1134" w:type="dxa"/>
            <w:vAlign w:val="center"/>
          </w:tcPr>
          <w:p w14:paraId="5CE67B75" w14:textId="77777777" w:rsidR="00465330" w:rsidRPr="00B0505E" w:rsidRDefault="00465330" w:rsidP="000B35F8">
            <w:pPr>
              <w:autoSpaceDE w:val="0"/>
              <w:autoSpaceDN w:val="0"/>
              <w:adjustRightInd w:val="0"/>
              <w:spacing w:after="120" w:line="240" w:lineRule="auto"/>
              <w:jc w:val="center"/>
              <w:rPr>
                <w:rFonts w:ascii="Ouguiyas" w:hAnsi="Ouguiyas"/>
                <w:sz w:val="24"/>
                <w:szCs w:val="24"/>
              </w:rPr>
            </w:pPr>
            <w:r w:rsidRPr="00B0505E">
              <w:rPr>
                <w:rFonts w:ascii="Ouguiyas" w:hAnsi="Ouguiyas"/>
                <w:sz w:val="24"/>
                <w:szCs w:val="24"/>
              </w:rPr>
              <w:t>1</w:t>
            </w:r>
          </w:p>
        </w:tc>
        <w:tc>
          <w:tcPr>
            <w:tcW w:w="4296" w:type="dxa"/>
            <w:vAlign w:val="center"/>
          </w:tcPr>
          <w:p w14:paraId="111B1DDC" w14:textId="29F3E87F" w:rsidR="00465330" w:rsidRPr="00B0505E" w:rsidRDefault="007626B3"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Une semaine après</w:t>
            </w:r>
            <w:r w:rsidR="00465330" w:rsidRPr="00B0505E">
              <w:rPr>
                <w:rFonts w:ascii="Ouguiyas" w:hAnsi="Ouguiyas"/>
                <w:sz w:val="24"/>
                <w:szCs w:val="24"/>
              </w:rPr>
              <w:t xml:space="preserve"> la formation</w:t>
            </w:r>
          </w:p>
        </w:tc>
      </w:tr>
      <w:tr w:rsidR="006935C1" w:rsidRPr="00B0505E" w14:paraId="33953FB5" w14:textId="77777777" w:rsidTr="004A374A">
        <w:trPr>
          <w:trHeight w:val="233"/>
        </w:trPr>
        <w:tc>
          <w:tcPr>
            <w:tcW w:w="9966" w:type="dxa"/>
            <w:gridSpan w:val="3"/>
            <w:vAlign w:val="center"/>
          </w:tcPr>
          <w:p w14:paraId="1D7F315B" w14:textId="4DBBEBE4" w:rsidR="006935C1" w:rsidRPr="00B0505E" w:rsidRDefault="006935C1" w:rsidP="00997F88">
            <w:pPr>
              <w:autoSpaceDE w:val="0"/>
              <w:autoSpaceDN w:val="0"/>
              <w:adjustRightInd w:val="0"/>
              <w:spacing w:after="120" w:line="240" w:lineRule="auto"/>
              <w:rPr>
                <w:rFonts w:ascii="Ouguiyas" w:hAnsi="Ouguiyas"/>
                <w:b/>
                <w:bCs/>
                <w:sz w:val="24"/>
                <w:szCs w:val="24"/>
              </w:rPr>
            </w:pPr>
            <w:r w:rsidRPr="00B0505E">
              <w:rPr>
                <w:rFonts w:ascii="Ouguiyas" w:hAnsi="Ouguiyas"/>
                <w:b/>
                <w:bCs/>
                <w:sz w:val="24"/>
                <w:szCs w:val="24"/>
              </w:rPr>
              <w:t>Phase d’accompagnement</w:t>
            </w:r>
          </w:p>
        </w:tc>
      </w:tr>
      <w:tr w:rsidR="00465330" w:rsidRPr="00B0505E" w14:paraId="70AD48D9" w14:textId="77777777" w:rsidTr="00997F88">
        <w:trPr>
          <w:trHeight w:val="233"/>
        </w:trPr>
        <w:tc>
          <w:tcPr>
            <w:tcW w:w="4536" w:type="dxa"/>
            <w:vAlign w:val="center"/>
          </w:tcPr>
          <w:p w14:paraId="587A36B5" w14:textId="77777777"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Rapport de suivi de la mise en œuvre</w:t>
            </w:r>
          </w:p>
        </w:tc>
        <w:tc>
          <w:tcPr>
            <w:tcW w:w="1134" w:type="dxa"/>
            <w:vAlign w:val="center"/>
          </w:tcPr>
          <w:p w14:paraId="6391A42E" w14:textId="77777777" w:rsidR="00465330" w:rsidRPr="00B0505E" w:rsidRDefault="00465330" w:rsidP="000B35F8">
            <w:pPr>
              <w:autoSpaceDE w:val="0"/>
              <w:autoSpaceDN w:val="0"/>
              <w:adjustRightInd w:val="0"/>
              <w:spacing w:after="120" w:line="240" w:lineRule="auto"/>
              <w:jc w:val="center"/>
              <w:rPr>
                <w:rFonts w:ascii="Ouguiyas" w:hAnsi="Ouguiyas"/>
                <w:sz w:val="24"/>
                <w:szCs w:val="24"/>
              </w:rPr>
            </w:pPr>
            <w:r w:rsidRPr="00B0505E">
              <w:rPr>
                <w:rFonts w:ascii="Ouguiyas" w:hAnsi="Ouguiyas"/>
                <w:sz w:val="24"/>
                <w:szCs w:val="24"/>
              </w:rPr>
              <w:t>2</w:t>
            </w:r>
          </w:p>
        </w:tc>
        <w:tc>
          <w:tcPr>
            <w:tcW w:w="4296" w:type="dxa"/>
            <w:vAlign w:val="center"/>
          </w:tcPr>
          <w:p w14:paraId="65545E29" w14:textId="77777777"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15 jours après chaque mission (mission de démarrage et celle à mi-parcours)</w:t>
            </w:r>
          </w:p>
        </w:tc>
      </w:tr>
      <w:tr w:rsidR="00465330" w:rsidRPr="00B0505E" w14:paraId="57CC7009" w14:textId="77777777" w:rsidTr="00997F88">
        <w:trPr>
          <w:trHeight w:val="340"/>
        </w:trPr>
        <w:tc>
          <w:tcPr>
            <w:tcW w:w="4536" w:type="dxa"/>
            <w:vAlign w:val="center"/>
          </w:tcPr>
          <w:p w14:paraId="42D093A2" w14:textId="77777777"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Rapport final</w:t>
            </w:r>
          </w:p>
        </w:tc>
        <w:tc>
          <w:tcPr>
            <w:tcW w:w="1134" w:type="dxa"/>
            <w:vAlign w:val="center"/>
          </w:tcPr>
          <w:p w14:paraId="56BC8FC8" w14:textId="77777777" w:rsidR="00465330" w:rsidRPr="00B0505E" w:rsidRDefault="00465330" w:rsidP="000B35F8">
            <w:pPr>
              <w:autoSpaceDE w:val="0"/>
              <w:autoSpaceDN w:val="0"/>
              <w:adjustRightInd w:val="0"/>
              <w:spacing w:after="120" w:line="240" w:lineRule="auto"/>
              <w:jc w:val="center"/>
              <w:rPr>
                <w:rFonts w:ascii="Ouguiyas" w:hAnsi="Ouguiyas"/>
                <w:sz w:val="24"/>
                <w:szCs w:val="24"/>
              </w:rPr>
            </w:pPr>
            <w:r w:rsidRPr="00B0505E">
              <w:rPr>
                <w:rFonts w:ascii="Ouguiyas" w:hAnsi="Ouguiyas"/>
                <w:sz w:val="24"/>
                <w:szCs w:val="24"/>
              </w:rPr>
              <w:t>1</w:t>
            </w:r>
          </w:p>
        </w:tc>
        <w:tc>
          <w:tcPr>
            <w:tcW w:w="4296" w:type="dxa"/>
            <w:vAlign w:val="center"/>
          </w:tcPr>
          <w:p w14:paraId="1AE4D502" w14:textId="77777777" w:rsidR="00465330" w:rsidRPr="00B0505E" w:rsidRDefault="00465330" w:rsidP="00997F88">
            <w:pPr>
              <w:autoSpaceDE w:val="0"/>
              <w:autoSpaceDN w:val="0"/>
              <w:adjustRightInd w:val="0"/>
              <w:spacing w:after="120" w:line="240" w:lineRule="auto"/>
              <w:rPr>
                <w:rFonts w:ascii="Ouguiyas" w:hAnsi="Ouguiyas"/>
                <w:sz w:val="24"/>
                <w:szCs w:val="24"/>
              </w:rPr>
            </w:pPr>
            <w:r w:rsidRPr="00B0505E">
              <w:rPr>
                <w:rFonts w:ascii="Ouguiyas" w:hAnsi="Ouguiyas"/>
                <w:sz w:val="24"/>
                <w:szCs w:val="24"/>
              </w:rPr>
              <w:t>Après le dernier trimestre</w:t>
            </w:r>
          </w:p>
        </w:tc>
      </w:tr>
    </w:tbl>
    <w:p w14:paraId="7D52290D" w14:textId="32D93C67" w:rsidR="00465330" w:rsidRPr="00B0505E" w:rsidRDefault="000B35F8" w:rsidP="00997F88">
      <w:pPr>
        <w:pStyle w:val="Titre1"/>
        <w:numPr>
          <w:ilvl w:val="0"/>
          <w:numId w:val="20"/>
        </w:numPr>
        <w:spacing w:before="240" w:after="120" w:line="240" w:lineRule="auto"/>
        <w:ind w:left="714" w:hanging="357"/>
        <w:rPr>
          <w:rFonts w:ascii="Ouguiyas" w:hAnsi="Ouguiyas"/>
          <w:color w:val="auto"/>
          <w:sz w:val="24"/>
          <w:szCs w:val="24"/>
        </w:rPr>
      </w:pPr>
      <w:r w:rsidRPr="00B0505E">
        <w:rPr>
          <w:rFonts w:ascii="Ouguiyas" w:hAnsi="Ouguiyas"/>
          <w:color w:val="auto"/>
          <w:sz w:val="24"/>
          <w:szCs w:val="24"/>
        </w:rPr>
        <w:t>E</w:t>
      </w:r>
      <w:r w:rsidR="00465330" w:rsidRPr="00B0505E">
        <w:rPr>
          <w:rFonts w:ascii="Ouguiyas" w:hAnsi="Ouguiyas"/>
          <w:color w:val="auto"/>
          <w:sz w:val="24"/>
          <w:szCs w:val="24"/>
        </w:rPr>
        <w:t xml:space="preserve">ffort </w:t>
      </w:r>
      <w:r w:rsidRPr="00B0505E">
        <w:rPr>
          <w:rFonts w:ascii="Ouguiyas" w:hAnsi="Ouguiyas"/>
          <w:color w:val="auto"/>
          <w:sz w:val="24"/>
          <w:szCs w:val="24"/>
        </w:rPr>
        <w:t>et durée</w:t>
      </w:r>
      <w:r w:rsidR="00465330" w:rsidRPr="00B0505E">
        <w:rPr>
          <w:rFonts w:ascii="Ouguiyas" w:hAnsi="Ouguiyas"/>
          <w:color w:val="auto"/>
          <w:sz w:val="24"/>
          <w:szCs w:val="24"/>
        </w:rPr>
        <w:t xml:space="preserve"> de la mission :</w:t>
      </w:r>
    </w:p>
    <w:p w14:paraId="53FDC9C3" w14:textId="77777777" w:rsidR="00465330" w:rsidRPr="00B0505E" w:rsidRDefault="00465330" w:rsidP="00997F88">
      <w:pPr>
        <w:spacing w:after="120" w:line="240" w:lineRule="auto"/>
        <w:jc w:val="both"/>
        <w:rPr>
          <w:rFonts w:ascii="Ouguiyas" w:hAnsi="Ouguiyas"/>
          <w:sz w:val="24"/>
          <w:szCs w:val="24"/>
        </w:rPr>
      </w:pPr>
      <w:r w:rsidRPr="00B0505E">
        <w:rPr>
          <w:rFonts w:ascii="Ouguiyas" w:hAnsi="Ouguiyas"/>
          <w:sz w:val="24"/>
          <w:szCs w:val="24"/>
        </w:rPr>
        <w:t>L’effort nécessaire pour réaliser la mission est estimé à 8 homme-mois.</w:t>
      </w:r>
    </w:p>
    <w:p w14:paraId="05DE1131" w14:textId="2300F65A" w:rsidR="007E0B8D" w:rsidRPr="00B0505E" w:rsidRDefault="00465330" w:rsidP="00997F88">
      <w:pPr>
        <w:spacing w:after="120" w:line="240" w:lineRule="auto"/>
        <w:jc w:val="both"/>
        <w:rPr>
          <w:rFonts w:ascii="Ouguiyas" w:hAnsi="Ouguiyas"/>
          <w:sz w:val="24"/>
          <w:szCs w:val="24"/>
        </w:rPr>
      </w:pPr>
      <w:r w:rsidRPr="00B0505E">
        <w:rPr>
          <w:rFonts w:ascii="Ouguiyas" w:hAnsi="Ouguiyas"/>
          <w:sz w:val="24"/>
          <w:szCs w:val="24"/>
        </w:rPr>
        <w:t xml:space="preserve">La durée totale de la mission est estimée à 18 mois en deux phases. La phase étude et proposition du curriculum </w:t>
      </w:r>
      <w:r w:rsidR="0011783D" w:rsidRPr="00B0505E">
        <w:rPr>
          <w:rFonts w:ascii="Ouguiyas" w:hAnsi="Ouguiyas"/>
          <w:sz w:val="24"/>
          <w:szCs w:val="24"/>
        </w:rPr>
        <w:t xml:space="preserve">de la formation </w:t>
      </w:r>
      <w:r w:rsidRPr="00B0505E">
        <w:rPr>
          <w:rFonts w:ascii="Ouguiyas" w:hAnsi="Ouguiyas"/>
          <w:sz w:val="24"/>
          <w:szCs w:val="24"/>
        </w:rPr>
        <w:t xml:space="preserve">et </w:t>
      </w:r>
      <w:r w:rsidR="0011783D" w:rsidRPr="00B0505E">
        <w:rPr>
          <w:rFonts w:ascii="Ouguiyas" w:hAnsi="Ouguiyas"/>
          <w:sz w:val="24"/>
          <w:szCs w:val="24"/>
        </w:rPr>
        <w:t xml:space="preserve">de </w:t>
      </w:r>
      <w:r w:rsidRPr="00B0505E">
        <w:rPr>
          <w:rFonts w:ascii="Ouguiyas" w:hAnsi="Ouguiyas"/>
          <w:sz w:val="24"/>
          <w:szCs w:val="24"/>
        </w:rPr>
        <w:t xml:space="preserve">la formation des formateurs s’étalera sur une période estimée à 6 mois. La phase suivie de la mise en œuvre de la formation par </w:t>
      </w:r>
      <w:r w:rsidR="007E0B8D" w:rsidRPr="00B0505E">
        <w:rPr>
          <w:rFonts w:ascii="Ouguiyas" w:hAnsi="Ouguiyas"/>
          <w:sz w:val="24"/>
          <w:szCs w:val="24"/>
        </w:rPr>
        <w:t>l’ENAJM, l’ISCAE et la Faculté Juridique et politique de l’Université El ASSRIYA</w:t>
      </w:r>
      <w:r w:rsidR="00856138" w:rsidRPr="00B0505E">
        <w:rPr>
          <w:rFonts w:ascii="Ouguiyas" w:hAnsi="Ouguiyas"/>
          <w:sz w:val="24"/>
          <w:szCs w:val="24"/>
        </w:rPr>
        <w:t xml:space="preserve"> s</w:t>
      </w:r>
      <w:r w:rsidR="007E0B8D" w:rsidRPr="00B0505E">
        <w:rPr>
          <w:rFonts w:ascii="Ouguiyas" w:hAnsi="Ouguiyas"/>
          <w:sz w:val="24"/>
          <w:szCs w:val="24"/>
        </w:rPr>
        <w:t>’étalera</w:t>
      </w:r>
      <w:r w:rsidRPr="00B0505E">
        <w:rPr>
          <w:rFonts w:ascii="Ouguiyas" w:hAnsi="Ouguiyas"/>
          <w:sz w:val="24"/>
          <w:szCs w:val="24"/>
        </w:rPr>
        <w:t xml:space="preserve"> sur 12 mois.</w:t>
      </w:r>
    </w:p>
    <w:p w14:paraId="717E3357" w14:textId="5EE56B41" w:rsidR="00E207B4" w:rsidRPr="00B0505E" w:rsidRDefault="00E207B4" w:rsidP="00997F88">
      <w:pPr>
        <w:pStyle w:val="Titre1"/>
        <w:numPr>
          <w:ilvl w:val="0"/>
          <w:numId w:val="20"/>
        </w:numPr>
        <w:spacing w:before="0" w:after="120" w:line="240" w:lineRule="auto"/>
        <w:ind w:left="714" w:hanging="357"/>
        <w:rPr>
          <w:rFonts w:ascii="Ouguiyas" w:hAnsi="Ouguiyas"/>
          <w:color w:val="auto"/>
          <w:sz w:val="24"/>
          <w:szCs w:val="24"/>
        </w:rPr>
      </w:pPr>
      <w:r w:rsidRPr="00B0505E">
        <w:rPr>
          <w:rFonts w:ascii="Ouguiyas" w:hAnsi="Ouguiyas"/>
          <w:color w:val="auto"/>
          <w:sz w:val="24"/>
          <w:szCs w:val="24"/>
        </w:rPr>
        <w:t xml:space="preserve">Mode de sélection du consultant </w:t>
      </w:r>
    </w:p>
    <w:p w14:paraId="11409E76" w14:textId="7562B91D" w:rsidR="00B87F21" w:rsidRPr="00B0505E" w:rsidRDefault="00D55BFA" w:rsidP="00946882">
      <w:pPr>
        <w:spacing w:after="240" w:line="240" w:lineRule="auto"/>
        <w:jc w:val="both"/>
        <w:rPr>
          <w:rFonts w:ascii="Ouguiyas" w:hAnsi="Ouguiyas"/>
          <w:sz w:val="24"/>
          <w:szCs w:val="24"/>
        </w:rPr>
      </w:pPr>
      <w:r w:rsidRPr="00B0505E">
        <w:rPr>
          <w:rFonts w:ascii="Ouguiyas" w:hAnsi="Ouguiyas"/>
        </w:rPr>
        <w:t>La méthode qui sera utilisée pour le recrutement du consultant est la Sélection Fondée sur la Qualité et le Coût (SFQC), sur la base d’une liste restreinte internationale, conformément aux Directives de la Banque Islamique de Développement</w:t>
      </w:r>
    </w:p>
    <w:sectPr w:rsidR="00B87F21" w:rsidRPr="00B0505E" w:rsidSect="00997F88">
      <w:headerReference w:type="even" r:id="rId9"/>
      <w:headerReference w:type="default" r:id="rId10"/>
      <w:footerReference w:type="default" r:id="rId11"/>
      <w:headerReference w:type="first" r:id="rId12"/>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475" w14:textId="77777777" w:rsidR="00282991" w:rsidRPr="001C31E8" w:rsidRDefault="00282991">
      <w:pPr>
        <w:spacing w:after="0" w:line="240" w:lineRule="auto"/>
      </w:pPr>
      <w:r w:rsidRPr="001C31E8">
        <w:separator/>
      </w:r>
    </w:p>
  </w:endnote>
  <w:endnote w:type="continuationSeparator" w:id="0">
    <w:p w14:paraId="277702BF" w14:textId="77777777" w:rsidR="00282991" w:rsidRPr="001C31E8" w:rsidRDefault="00282991">
      <w:pPr>
        <w:spacing w:after="0" w:line="240" w:lineRule="auto"/>
      </w:pPr>
      <w:r w:rsidRPr="001C3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Ouguiya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34320"/>
      <w:docPartObj>
        <w:docPartGallery w:val="Page Numbers (Bottom of Page)"/>
        <w:docPartUnique/>
      </w:docPartObj>
    </w:sdtPr>
    <w:sdtContent>
      <w:sdt>
        <w:sdtPr>
          <w:id w:val="-1769616900"/>
          <w:docPartObj>
            <w:docPartGallery w:val="Page Numbers (Top of Page)"/>
            <w:docPartUnique/>
          </w:docPartObj>
        </w:sdtPr>
        <w:sdtContent>
          <w:p w14:paraId="1A90A9B7" w14:textId="304C4969" w:rsidR="00946882" w:rsidRDefault="0094688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E754C4" w14:textId="77777777" w:rsidR="00946882" w:rsidRDefault="009468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F3D8" w14:textId="77777777" w:rsidR="00282991" w:rsidRPr="001C31E8" w:rsidRDefault="00282991">
      <w:pPr>
        <w:spacing w:after="0" w:line="240" w:lineRule="auto"/>
      </w:pPr>
      <w:r w:rsidRPr="001C31E8">
        <w:separator/>
      </w:r>
    </w:p>
  </w:footnote>
  <w:footnote w:type="continuationSeparator" w:id="0">
    <w:p w14:paraId="21666A02" w14:textId="77777777" w:rsidR="00282991" w:rsidRPr="001C31E8" w:rsidRDefault="00282991">
      <w:pPr>
        <w:spacing w:after="0" w:line="240" w:lineRule="auto"/>
      </w:pPr>
      <w:r w:rsidRPr="001C3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BA4" w14:textId="65BFBEFF" w:rsidR="00072B94" w:rsidRDefault="00072B94">
    <w:pPr>
      <w:pStyle w:val="En-tte"/>
    </w:pPr>
    <w:r>
      <w:rPr>
        <w:noProof/>
      </w:rPr>
      <mc:AlternateContent>
        <mc:Choice Requires="wps">
          <w:drawing>
            <wp:anchor distT="0" distB="0" distL="0" distR="0" simplePos="0" relativeHeight="251659264" behindDoc="0" locked="0" layoutInCell="1" allowOverlap="1" wp14:anchorId="080F3473" wp14:editId="4BD46355">
              <wp:simplePos x="635" y="635"/>
              <wp:positionH relativeFrom="page">
                <wp:align>left</wp:align>
              </wp:positionH>
              <wp:positionV relativeFrom="page">
                <wp:align>top</wp:align>
              </wp:positionV>
              <wp:extent cx="763270" cy="368935"/>
              <wp:effectExtent l="0" t="0" r="17780" b="12065"/>
              <wp:wrapNone/>
              <wp:docPr id="22707284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DD34D17" w14:textId="1E4141E6"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0F3473"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DD34D17" w14:textId="1E4141E6"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8705" w14:textId="73E3F9C3" w:rsidR="00072B94" w:rsidRDefault="00072B94">
    <w:pPr>
      <w:pStyle w:val="En-tte"/>
    </w:pPr>
    <w:r>
      <w:rPr>
        <w:noProof/>
      </w:rPr>
      <mc:AlternateContent>
        <mc:Choice Requires="wps">
          <w:drawing>
            <wp:anchor distT="0" distB="0" distL="0" distR="0" simplePos="0" relativeHeight="251660288" behindDoc="0" locked="0" layoutInCell="1" allowOverlap="1" wp14:anchorId="0BF1A92D" wp14:editId="322E1DE7">
              <wp:simplePos x="635" y="635"/>
              <wp:positionH relativeFrom="page">
                <wp:align>left</wp:align>
              </wp:positionH>
              <wp:positionV relativeFrom="page">
                <wp:align>top</wp:align>
              </wp:positionV>
              <wp:extent cx="763270" cy="368935"/>
              <wp:effectExtent l="0" t="0" r="17780" b="12065"/>
              <wp:wrapNone/>
              <wp:docPr id="203550351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F1BB06A" w14:textId="444BC419"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F1A92D"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5F1BB06A" w14:textId="444BC419"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10A7" w14:textId="486E3334" w:rsidR="00072B94" w:rsidRDefault="00072B94">
    <w:pPr>
      <w:pStyle w:val="En-tte"/>
    </w:pPr>
    <w:r>
      <w:rPr>
        <w:noProof/>
      </w:rPr>
      <mc:AlternateContent>
        <mc:Choice Requires="wps">
          <w:drawing>
            <wp:anchor distT="0" distB="0" distL="0" distR="0" simplePos="0" relativeHeight="251658240" behindDoc="0" locked="0" layoutInCell="1" allowOverlap="1" wp14:anchorId="46AF2EBA" wp14:editId="6858F3FB">
              <wp:simplePos x="635" y="635"/>
              <wp:positionH relativeFrom="page">
                <wp:align>left</wp:align>
              </wp:positionH>
              <wp:positionV relativeFrom="page">
                <wp:align>top</wp:align>
              </wp:positionV>
              <wp:extent cx="763270" cy="368935"/>
              <wp:effectExtent l="0" t="0" r="17780" b="12065"/>
              <wp:wrapNone/>
              <wp:docPr id="120617059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D0B65C" w14:textId="35F0E620"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AF2EBA"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4D0B65C" w14:textId="35F0E620" w:rsidR="00072B94" w:rsidRPr="00072B94" w:rsidRDefault="00072B94" w:rsidP="00072B94">
                    <w:pPr>
                      <w:spacing w:after="0"/>
                      <w:rPr>
                        <w:rFonts w:ascii="Calibri" w:eastAsia="Calibri" w:hAnsi="Calibri" w:cs="Calibri"/>
                        <w:noProof/>
                        <w:color w:val="000000"/>
                        <w:sz w:val="20"/>
                        <w:szCs w:val="20"/>
                      </w:rPr>
                    </w:pPr>
                    <w:r w:rsidRPr="00072B94">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AA91527"/>
    <w:multiLevelType w:val="hybridMultilevel"/>
    <w:tmpl w:val="59429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F7627E"/>
    <w:multiLevelType w:val="hybridMultilevel"/>
    <w:tmpl w:val="6A4A2616"/>
    <w:lvl w:ilvl="0" w:tplc="FFFFFFFF">
      <w:start w:val="1"/>
      <w:numFmt w:val="decimal"/>
      <w:lvlText w:val="%1."/>
      <w:lvlJc w:val="left"/>
      <w:pPr>
        <w:ind w:left="720" w:hanging="360"/>
      </w:pPr>
      <w:rPr>
        <w:rFonts w:asciiTheme="majorBidi" w:hAnsiTheme="majorBidi" w:cstheme="majorBidi"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D3FBB"/>
    <w:multiLevelType w:val="hybridMultilevel"/>
    <w:tmpl w:val="59429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4F5EC5"/>
    <w:multiLevelType w:val="hybridMultilevel"/>
    <w:tmpl w:val="D214F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123D0D"/>
    <w:multiLevelType w:val="hybridMultilevel"/>
    <w:tmpl w:val="FB1E56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643A81"/>
    <w:multiLevelType w:val="hybridMultilevel"/>
    <w:tmpl w:val="4A0C0686"/>
    <w:lvl w:ilvl="0" w:tplc="99A83128">
      <w:start w:val="2"/>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374DF"/>
    <w:multiLevelType w:val="hybridMultilevel"/>
    <w:tmpl w:val="594299E0"/>
    <w:lvl w:ilvl="0" w:tplc="1F9AA3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401E36"/>
    <w:multiLevelType w:val="hybridMultilevel"/>
    <w:tmpl w:val="BF4C580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E57F00"/>
    <w:multiLevelType w:val="hybridMultilevel"/>
    <w:tmpl w:val="BF4C580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6903CD"/>
    <w:multiLevelType w:val="hybridMultilevel"/>
    <w:tmpl w:val="00C4C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0A382D"/>
    <w:multiLevelType w:val="hybridMultilevel"/>
    <w:tmpl w:val="5EBA9818"/>
    <w:lvl w:ilvl="0" w:tplc="43846E06">
      <w:start w:val="6"/>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5B019A"/>
    <w:multiLevelType w:val="hybridMultilevel"/>
    <w:tmpl w:val="574C7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C1D42"/>
    <w:multiLevelType w:val="hybridMultilevel"/>
    <w:tmpl w:val="6A5CA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0637FE"/>
    <w:multiLevelType w:val="hybridMultilevel"/>
    <w:tmpl w:val="DB142112"/>
    <w:lvl w:ilvl="0" w:tplc="040C0001">
      <w:start w:val="1"/>
      <w:numFmt w:val="bullet"/>
      <w:lvlText w:val=""/>
      <w:lvlJc w:val="left"/>
      <w:pPr>
        <w:ind w:left="99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DF2F66"/>
    <w:multiLevelType w:val="hybridMultilevel"/>
    <w:tmpl w:val="C3147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2FB4BA4"/>
    <w:multiLevelType w:val="multilevel"/>
    <w:tmpl w:val="435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D6A47"/>
    <w:multiLevelType w:val="hybridMultilevel"/>
    <w:tmpl w:val="409C3490"/>
    <w:lvl w:ilvl="0" w:tplc="F37A40C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9228820">
    <w:abstractNumId w:val="8"/>
  </w:num>
  <w:num w:numId="2" w16cid:durableId="1156070690">
    <w:abstractNumId w:val="6"/>
  </w:num>
  <w:num w:numId="3" w16cid:durableId="181823363">
    <w:abstractNumId w:val="5"/>
  </w:num>
  <w:num w:numId="4" w16cid:durableId="2045516882">
    <w:abstractNumId w:val="4"/>
  </w:num>
  <w:num w:numId="5" w16cid:durableId="1762722805">
    <w:abstractNumId w:val="7"/>
  </w:num>
  <w:num w:numId="6" w16cid:durableId="92631534">
    <w:abstractNumId w:val="3"/>
  </w:num>
  <w:num w:numId="7" w16cid:durableId="721445938">
    <w:abstractNumId w:val="2"/>
  </w:num>
  <w:num w:numId="8" w16cid:durableId="819006194">
    <w:abstractNumId w:val="1"/>
  </w:num>
  <w:num w:numId="9" w16cid:durableId="1095858693">
    <w:abstractNumId w:val="0"/>
  </w:num>
  <w:num w:numId="10" w16cid:durableId="1811744283">
    <w:abstractNumId w:val="25"/>
  </w:num>
  <w:num w:numId="11" w16cid:durableId="1877543032">
    <w:abstractNumId w:val="12"/>
  </w:num>
  <w:num w:numId="12" w16cid:durableId="2006782009">
    <w:abstractNumId w:val="23"/>
  </w:num>
  <w:num w:numId="13" w16cid:durableId="670836418">
    <w:abstractNumId w:val="14"/>
  </w:num>
  <w:num w:numId="14" w16cid:durableId="956643958">
    <w:abstractNumId w:val="22"/>
  </w:num>
  <w:num w:numId="15" w16cid:durableId="501823180">
    <w:abstractNumId w:val="17"/>
  </w:num>
  <w:num w:numId="16" w16cid:durableId="996954491">
    <w:abstractNumId w:val="16"/>
  </w:num>
  <w:num w:numId="17" w16cid:durableId="672489678">
    <w:abstractNumId w:val="13"/>
  </w:num>
  <w:num w:numId="18" w16cid:durableId="2072730995">
    <w:abstractNumId w:val="18"/>
  </w:num>
  <w:num w:numId="19" w16cid:durableId="737365659">
    <w:abstractNumId w:val="21"/>
  </w:num>
  <w:num w:numId="20" w16cid:durableId="1735661572">
    <w:abstractNumId w:val="15"/>
  </w:num>
  <w:num w:numId="21" w16cid:durableId="962928011">
    <w:abstractNumId w:val="9"/>
  </w:num>
  <w:num w:numId="22" w16cid:durableId="1824199892">
    <w:abstractNumId w:val="20"/>
  </w:num>
  <w:num w:numId="23" w16cid:durableId="1462261323">
    <w:abstractNumId w:val="10"/>
  </w:num>
  <w:num w:numId="24" w16cid:durableId="1014116045">
    <w:abstractNumId w:val="11"/>
  </w:num>
  <w:num w:numId="25" w16cid:durableId="180165210">
    <w:abstractNumId w:val="24"/>
  </w:num>
  <w:num w:numId="26" w16cid:durableId="1119110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68A"/>
    <w:rsid w:val="0005350F"/>
    <w:rsid w:val="0006063C"/>
    <w:rsid w:val="00070127"/>
    <w:rsid w:val="00072B94"/>
    <w:rsid w:val="0008755B"/>
    <w:rsid w:val="000A14B6"/>
    <w:rsid w:val="000A61B9"/>
    <w:rsid w:val="000B0400"/>
    <w:rsid w:val="000B35F8"/>
    <w:rsid w:val="000F1026"/>
    <w:rsid w:val="000F465D"/>
    <w:rsid w:val="0011783D"/>
    <w:rsid w:val="0012499C"/>
    <w:rsid w:val="001324A6"/>
    <w:rsid w:val="0015074B"/>
    <w:rsid w:val="00155E78"/>
    <w:rsid w:val="00170D7D"/>
    <w:rsid w:val="00175DCA"/>
    <w:rsid w:val="00176B81"/>
    <w:rsid w:val="001C31E8"/>
    <w:rsid w:val="002226C1"/>
    <w:rsid w:val="00230B3A"/>
    <w:rsid w:val="00237651"/>
    <w:rsid w:val="00263802"/>
    <w:rsid w:val="00282991"/>
    <w:rsid w:val="0029639D"/>
    <w:rsid w:val="002B38DA"/>
    <w:rsid w:val="00326F90"/>
    <w:rsid w:val="00344C76"/>
    <w:rsid w:val="003562BF"/>
    <w:rsid w:val="00357538"/>
    <w:rsid w:val="00381718"/>
    <w:rsid w:val="0038173D"/>
    <w:rsid w:val="003928C8"/>
    <w:rsid w:val="003A72B6"/>
    <w:rsid w:val="003B0F7B"/>
    <w:rsid w:val="003C28A2"/>
    <w:rsid w:val="003F4C71"/>
    <w:rsid w:val="003F6035"/>
    <w:rsid w:val="00465330"/>
    <w:rsid w:val="00496A9E"/>
    <w:rsid w:val="004B06EA"/>
    <w:rsid w:val="004B13EA"/>
    <w:rsid w:val="00502BC8"/>
    <w:rsid w:val="00517F38"/>
    <w:rsid w:val="00526F54"/>
    <w:rsid w:val="00561270"/>
    <w:rsid w:val="00577395"/>
    <w:rsid w:val="00582580"/>
    <w:rsid w:val="00587D89"/>
    <w:rsid w:val="005B7BF5"/>
    <w:rsid w:val="005D4FA4"/>
    <w:rsid w:val="005F2701"/>
    <w:rsid w:val="005F303C"/>
    <w:rsid w:val="0063569C"/>
    <w:rsid w:val="00636404"/>
    <w:rsid w:val="00642016"/>
    <w:rsid w:val="00655C79"/>
    <w:rsid w:val="006862DC"/>
    <w:rsid w:val="00686843"/>
    <w:rsid w:val="006935C1"/>
    <w:rsid w:val="006D3B1E"/>
    <w:rsid w:val="006F7A17"/>
    <w:rsid w:val="00733E56"/>
    <w:rsid w:val="007626B3"/>
    <w:rsid w:val="00781E74"/>
    <w:rsid w:val="007870D5"/>
    <w:rsid w:val="007931B6"/>
    <w:rsid w:val="007B5376"/>
    <w:rsid w:val="007C499F"/>
    <w:rsid w:val="007D04A5"/>
    <w:rsid w:val="007D5089"/>
    <w:rsid w:val="007E0B8D"/>
    <w:rsid w:val="007F00E5"/>
    <w:rsid w:val="00804652"/>
    <w:rsid w:val="00812C87"/>
    <w:rsid w:val="00836E1E"/>
    <w:rsid w:val="00856138"/>
    <w:rsid w:val="008A59E8"/>
    <w:rsid w:val="008D1A62"/>
    <w:rsid w:val="00901811"/>
    <w:rsid w:val="00946882"/>
    <w:rsid w:val="009553C9"/>
    <w:rsid w:val="00963120"/>
    <w:rsid w:val="009745C4"/>
    <w:rsid w:val="00986AA2"/>
    <w:rsid w:val="009954A8"/>
    <w:rsid w:val="00997F88"/>
    <w:rsid w:val="009A240E"/>
    <w:rsid w:val="009C6857"/>
    <w:rsid w:val="009D077E"/>
    <w:rsid w:val="009E02A2"/>
    <w:rsid w:val="00A02CBF"/>
    <w:rsid w:val="00A43E86"/>
    <w:rsid w:val="00A56467"/>
    <w:rsid w:val="00A566B9"/>
    <w:rsid w:val="00AA1D8D"/>
    <w:rsid w:val="00AA31B0"/>
    <w:rsid w:val="00AA6EAE"/>
    <w:rsid w:val="00AF12C0"/>
    <w:rsid w:val="00B0505E"/>
    <w:rsid w:val="00B057F5"/>
    <w:rsid w:val="00B1019C"/>
    <w:rsid w:val="00B22CAD"/>
    <w:rsid w:val="00B30609"/>
    <w:rsid w:val="00B47730"/>
    <w:rsid w:val="00B87F21"/>
    <w:rsid w:val="00BA2F1A"/>
    <w:rsid w:val="00BE68C2"/>
    <w:rsid w:val="00BF6F5B"/>
    <w:rsid w:val="00C115BB"/>
    <w:rsid w:val="00C268F6"/>
    <w:rsid w:val="00C51046"/>
    <w:rsid w:val="00CB0664"/>
    <w:rsid w:val="00CE69E5"/>
    <w:rsid w:val="00D044E4"/>
    <w:rsid w:val="00D34F28"/>
    <w:rsid w:val="00D538F0"/>
    <w:rsid w:val="00D55BFA"/>
    <w:rsid w:val="00E10E56"/>
    <w:rsid w:val="00E12A33"/>
    <w:rsid w:val="00E207B4"/>
    <w:rsid w:val="00E53853"/>
    <w:rsid w:val="00EC11BB"/>
    <w:rsid w:val="00EC1E54"/>
    <w:rsid w:val="00ED25E9"/>
    <w:rsid w:val="00FC1FE9"/>
    <w:rsid w:val="00FC2FEB"/>
    <w:rsid w:val="00FC693F"/>
    <w:rsid w:val="00FD3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D522B"/>
  <w14:defaultImageDpi w14:val="300"/>
  <w15:docId w15:val="{15D26368-2D57-4DA5-89D1-62A5E45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99"/>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465330"/>
    <w:pPr>
      <w:autoSpaceDE w:val="0"/>
      <w:autoSpaceDN w:val="0"/>
      <w:adjustRightInd w:val="0"/>
      <w:spacing w:after="0" w:line="240" w:lineRule="auto"/>
    </w:pPr>
    <w:rPr>
      <w:rFonts w:ascii="Arial" w:eastAsiaTheme="minorHAnsi" w:hAnsi="Arial" w:cs="Arial"/>
      <w:color w:val="000000"/>
      <w:sz w:val="24"/>
      <w:szCs w:val="24"/>
      <w:lang w:val="fr-FR"/>
    </w:rPr>
  </w:style>
  <w:style w:type="paragraph" w:styleId="NormalWeb">
    <w:name w:val="Normal (Web)"/>
    <w:basedOn w:val="Default"/>
    <w:next w:val="Default"/>
    <w:uiPriority w:val="99"/>
    <w:rsid w:val="00465330"/>
    <w:rPr>
      <w:color w:val="auto"/>
    </w:rPr>
  </w:style>
  <w:style w:type="paragraph" w:styleId="Rvision">
    <w:name w:val="Revision"/>
    <w:hidden/>
    <w:uiPriority w:val="99"/>
    <w:semiHidden/>
    <w:rsid w:val="00963120"/>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2223</Words>
  <Characters>12231</Characters>
  <Application>Microsoft Office Word</Application>
  <DocSecurity>0</DocSecurity>
  <Lines>101</Lines>
  <Paragraphs>28</Paragraphs>
  <ScaleCrop>false</ScaleCrop>
  <HeadingPairs>
    <vt:vector size="6" baseType="variant">
      <vt:variant>
        <vt:lpstr>Titre</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Contexte et justification</vt:lpstr>
      <vt:lpstr>Objectifs </vt:lpstr>
      <vt:lpstr>Tâches du consultant :</vt:lpstr>
      <vt:lpstr>Les modalités de mise en œuvre :</vt:lpstr>
      <vt:lpstr>Qualifications du consultant </vt:lpstr>
      <vt:lpstr>Produits attendus</vt:lpstr>
      <vt:lpstr>L’effort et la durée de la mission :</vt:lpstr>
      <vt:lpstr>Mode de sélection du consultant </vt:lpstr>
    </vt:vector>
  </TitlesOfParts>
  <Manager/>
  <Company/>
  <LinksUpToDate>false</LinksUpToDate>
  <CharactersWithSpaces>14426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16</cp:revision>
  <dcterms:created xsi:type="dcterms:W3CDTF">2025-12-18T12:22:00Z</dcterms:created>
  <dcterms:modified xsi:type="dcterms:W3CDTF">2026-01-13T12:28:00Z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47e4b3e0,d88db48,7953519f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2025-11-19T10:47:43Z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21b869a2-c5af-46b6-bdaa-debcb5a273da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