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7857" w14:textId="77777777" w:rsidR="000920B0" w:rsidRPr="00222631" w:rsidRDefault="000920B0" w:rsidP="00104F7B">
      <w:pPr>
        <w:pStyle w:val="Heading1a"/>
        <w:keepNext w:val="0"/>
        <w:keepLines w:val="0"/>
        <w:tabs>
          <w:tab w:val="clear" w:pos="-720"/>
        </w:tabs>
        <w:suppressAutoHyphens w:val="0"/>
        <w:rPr>
          <w:bCs/>
          <w:smallCaps w:val="0"/>
        </w:rPr>
      </w:pPr>
      <w:r w:rsidRPr="00222631">
        <w:rPr>
          <w:bCs/>
          <w:smallCaps w:val="0"/>
        </w:rPr>
        <w:t>REQUEST FOR EXPRESSIONS OF INTEREST</w:t>
      </w:r>
    </w:p>
    <w:p w14:paraId="575B8DA7" w14:textId="77777777" w:rsidR="000920B0" w:rsidRPr="00222631" w:rsidRDefault="000920B0" w:rsidP="00104F7B">
      <w:pPr>
        <w:pStyle w:val="Heading1a"/>
        <w:keepNext w:val="0"/>
        <w:keepLines w:val="0"/>
        <w:tabs>
          <w:tab w:val="clear" w:pos="-720"/>
        </w:tabs>
        <w:suppressAutoHyphens w:val="0"/>
        <w:rPr>
          <w:bCs/>
          <w:smallCaps w:val="0"/>
        </w:rPr>
      </w:pPr>
      <w:r w:rsidRPr="00222631">
        <w:rPr>
          <w:bCs/>
          <w:smallCaps w:val="0"/>
        </w:rPr>
        <w:t>(CONSULTANT SERVICES – SELECTION OF FIRMS)</w:t>
      </w:r>
    </w:p>
    <w:p w14:paraId="616DFF91" w14:textId="77777777" w:rsidR="00104F7B" w:rsidRPr="00222631" w:rsidRDefault="00104F7B" w:rsidP="000920B0">
      <w:pPr>
        <w:rPr>
          <w:b/>
          <w:bCs/>
        </w:rPr>
      </w:pPr>
    </w:p>
    <w:p w14:paraId="43BC04A2" w14:textId="77777777" w:rsidR="004B1DF9" w:rsidRPr="00222631" w:rsidRDefault="004B1DF9" w:rsidP="004B1DF9">
      <w:pPr>
        <w:suppressAutoHyphens/>
        <w:spacing w:after="0"/>
        <w:rPr>
          <w:rFonts w:cstheme="majorBidi"/>
          <w:spacing w:val="-2"/>
          <w:szCs w:val="24"/>
        </w:rPr>
      </w:pPr>
      <w:r w:rsidRPr="00222631">
        <w:rPr>
          <w:rFonts w:cstheme="majorBidi"/>
          <w:b/>
          <w:bCs/>
          <w:spacing w:val="-2"/>
          <w:szCs w:val="24"/>
        </w:rPr>
        <w:t>Country:</w:t>
      </w:r>
      <w:r w:rsidRPr="00222631">
        <w:rPr>
          <w:rFonts w:cstheme="majorBidi"/>
          <w:spacing w:val="-2"/>
          <w:szCs w:val="24"/>
        </w:rPr>
        <w:t xml:space="preserve"> Libya</w:t>
      </w:r>
    </w:p>
    <w:p w14:paraId="1F0A9777" w14:textId="77777777" w:rsidR="004B1DF9" w:rsidRPr="00222631" w:rsidRDefault="004B1DF9" w:rsidP="004B1DF9">
      <w:pPr>
        <w:suppressAutoHyphens/>
        <w:spacing w:after="0"/>
        <w:rPr>
          <w:rFonts w:cstheme="majorBidi"/>
          <w:spacing w:val="-2"/>
          <w:szCs w:val="24"/>
        </w:rPr>
      </w:pPr>
      <w:r w:rsidRPr="00222631">
        <w:rPr>
          <w:rFonts w:cstheme="majorBidi"/>
          <w:b/>
          <w:bCs/>
          <w:spacing w:val="-2"/>
          <w:szCs w:val="24"/>
        </w:rPr>
        <w:t>Project Name:</w:t>
      </w:r>
      <w:r w:rsidRPr="00222631">
        <w:rPr>
          <w:rFonts w:cstheme="majorBidi"/>
          <w:spacing w:val="-2"/>
          <w:szCs w:val="24"/>
        </w:rPr>
        <w:t xml:space="preserve"> Technical Assistance for Strategic Capacity Enhancement in Islamic Finance for the Central Bank of Libya </w:t>
      </w:r>
    </w:p>
    <w:p w14:paraId="7461772F" w14:textId="77777777" w:rsidR="004B1DF9" w:rsidRPr="00222631" w:rsidRDefault="004B1DF9" w:rsidP="004B1DF9">
      <w:pPr>
        <w:suppressAutoHyphens/>
        <w:spacing w:after="0"/>
        <w:rPr>
          <w:rFonts w:cstheme="majorBidi"/>
          <w:spacing w:val="-2"/>
          <w:szCs w:val="24"/>
        </w:rPr>
      </w:pPr>
      <w:r w:rsidRPr="00222631">
        <w:rPr>
          <w:rFonts w:cstheme="majorBidi"/>
          <w:b/>
          <w:bCs/>
          <w:spacing w:val="-2"/>
          <w:szCs w:val="24"/>
        </w:rPr>
        <w:t>Sector:</w:t>
      </w:r>
      <w:r w:rsidRPr="00222631">
        <w:rPr>
          <w:rFonts w:cstheme="majorBidi"/>
          <w:spacing w:val="-2"/>
          <w:szCs w:val="24"/>
        </w:rPr>
        <w:t xml:space="preserve"> </w:t>
      </w:r>
      <w:r w:rsidRPr="00222631">
        <w:rPr>
          <w:rFonts w:cstheme="majorBidi"/>
          <w:szCs w:val="24"/>
        </w:rPr>
        <w:t xml:space="preserve">Islamic Banking and </w:t>
      </w:r>
      <w:r w:rsidRPr="00222631">
        <w:rPr>
          <w:rFonts w:cstheme="majorBidi"/>
          <w:spacing w:val="-2"/>
          <w:szCs w:val="24"/>
        </w:rPr>
        <w:t>Finance</w:t>
      </w:r>
    </w:p>
    <w:p w14:paraId="7C21ACD8" w14:textId="47BB7A41" w:rsidR="0047417B" w:rsidRPr="00222631" w:rsidRDefault="00222631" w:rsidP="004B1DF9">
      <w:pPr>
        <w:suppressAutoHyphens/>
        <w:spacing w:after="0"/>
        <w:rPr>
          <w:rFonts w:cstheme="majorBidi"/>
          <w:spacing w:val="-2"/>
          <w:szCs w:val="24"/>
        </w:rPr>
      </w:pPr>
      <w:r w:rsidRPr="00222631">
        <w:rPr>
          <w:rFonts w:cstheme="majorBidi"/>
          <w:b/>
          <w:bCs/>
          <w:spacing w:val="-2"/>
          <w:szCs w:val="24"/>
        </w:rPr>
        <w:t xml:space="preserve">Consulting Services: </w:t>
      </w:r>
      <w:r w:rsidRPr="00222631">
        <w:rPr>
          <w:rFonts w:cstheme="majorBidi"/>
          <w:spacing w:val="-2"/>
          <w:szCs w:val="24"/>
        </w:rPr>
        <w:t>Strategic Capacity Enhancement in Islamic Finance for the Central Bank of Libya</w:t>
      </w:r>
    </w:p>
    <w:p w14:paraId="5A2646CD" w14:textId="77777777" w:rsidR="004B1DF9" w:rsidRPr="00222631" w:rsidRDefault="004B1DF9" w:rsidP="004B1DF9">
      <w:pPr>
        <w:suppressAutoHyphens/>
        <w:spacing w:after="0"/>
        <w:rPr>
          <w:rFonts w:cstheme="majorBidi"/>
          <w:szCs w:val="24"/>
        </w:rPr>
      </w:pPr>
      <w:r w:rsidRPr="00222631">
        <w:rPr>
          <w:rFonts w:cstheme="majorBidi"/>
          <w:b/>
          <w:bCs/>
          <w:szCs w:val="24"/>
        </w:rPr>
        <w:t>Mode of Financing:</w:t>
      </w:r>
      <w:r w:rsidRPr="00222631">
        <w:rPr>
          <w:rFonts w:cstheme="majorBidi"/>
          <w:szCs w:val="24"/>
        </w:rPr>
        <w:t xml:space="preserve"> Islamic Finance Grant </w:t>
      </w:r>
    </w:p>
    <w:p w14:paraId="3A4AB7F6" w14:textId="097702B7" w:rsidR="00C56504" w:rsidRPr="00222631" w:rsidRDefault="004B1DF9" w:rsidP="004B1DF9">
      <w:pPr>
        <w:spacing w:after="0"/>
        <w:rPr>
          <w:b/>
          <w:bCs/>
        </w:rPr>
      </w:pPr>
      <w:r w:rsidRPr="00222631">
        <w:rPr>
          <w:rFonts w:cstheme="majorBidi"/>
          <w:b/>
          <w:bCs/>
          <w:szCs w:val="24"/>
        </w:rPr>
        <w:t>Financing No:</w:t>
      </w:r>
      <w:r w:rsidRPr="00222631">
        <w:rPr>
          <w:rFonts w:cstheme="majorBidi"/>
          <w:szCs w:val="24"/>
        </w:rPr>
        <w:t xml:space="preserve"> LBY1017</w:t>
      </w:r>
    </w:p>
    <w:p w14:paraId="68ED657B" w14:textId="47876962" w:rsidR="00272B06" w:rsidRPr="00222631" w:rsidRDefault="007E271D" w:rsidP="0047417B">
      <w:pPr>
        <w:spacing w:before="120" w:after="120"/>
      </w:pPr>
      <w:r w:rsidRPr="00222631">
        <w:rPr>
          <w:rFonts w:ascii="Times New Roman" w:hAnsi="Times New Roman"/>
          <w:spacing w:val="-2"/>
          <w:szCs w:val="24"/>
        </w:rPr>
        <w:t xml:space="preserve">The </w:t>
      </w:r>
      <w:r w:rsidR="00977509" w:rsidRPr="00222631">
        <w:rPr>
          <w:rFonts w:cstheme="majorBidi"/>
          <w:spacing w:val="-2"/>
          <w:szCs w:val="24"/>
        </w:rPr>
        <w:t xml:space="preserve">Central Bank of Libya </w:t>
      </w:r>
      <w:r w:rsidR="0047417B" w:rsidRPr="00222631">
        <w:rPr>
          <w:rFonts w:cstheme="majorBidi"/>
          <w:spacing w:val="-2"/>
          <w:szCs w:val="24"/>
        </w:rPr>
        <w:t>has received financing from the Islamic Development Bank toward the cost of the Strategic Capacity Enhancement in Islamic Finance for the Central Bank of Libya (CBL) Project</w:t>
      </w:r>
      <w:r w:rsidR="0047417B" w:rsidRPr="00222631">
        <w:t xml:space="preserve"> (LBY1017</w:t>
      </w:r>
      <w:r w:rsidR="00222631" w:rsidRPr="00222631">
        <w:t>)</w:t>
      </w:r>
      <w:r w:rsidR="00222631" w:rsidRPr="00222631">
        <w:rPr>
          <w:rFonts w:cstheme="majorBidi"/>
          <w:spacing w:val="-2"/>
          <w:szCs w:val="24"/>
        </w:rPr>
        <w:t xml:space="preserve"> and</w:t>
      </w:r>
      <w:r w:rsidR="0047417B" w:rsidRPr="00222631">
        <w:rPr>
          <w:rFonts w:cstheme="majorBidi"/>
          <w:spacing w:val="-2"/>
          <w:szCs w:val="24"/>
        </w:rPr>
        <w:t xml:space="preserve"> intends to apply part of the proceeds for consulting services. </w:t>
      </w:r>
      <w:r w:rsidR="0047417B" w:rsidRPr="00222631">
        <w:t xml:space="preserve"> The services include the Studies/Consultancy Services of the main project. Its scope is as follows: </w:t>
      </w:r>
    </w:p>
    <w:p w14:paraId="2159EBC3" w14:textId="77777777" w:rsidR="00DC38C1" w:rsidRPr="00222631" w:rsidRDefault="00DC38C1" w:rsidP="00DC38C1">
      <w:pPr>
        <w:pStyle w:val="ListParagraph"/>
        <w:numPr>
          <w:ilvl w:val="0"/>
          <w:numId w:val="8"/>
        </w:numPr>
      </w:pPr>
      <w:bookmarkStart w:id="0" w:name="_Hlk212472782"/>
      <w:r w:rsidRPr="00222631">
        <w:t>Preparation of Treasury Guidelines</w:t>
      </w:r>
    </w:p>
    <w:p w14:paraId="6862480E" w14:textId="77777777" w:rsidR="00DC38C1" w:rsidRPr="00222631" w:rsidRDefault="00DC38C1" w:rsidP="00DC38C1">
      <w:pPr>
        <w:pStyle w:val="ListParagraph"/>
        <w:numPr>
          <w:ilvl w:val="0"/>
          <w:numId w:val="8"/>
        </w:numPr>
      </w:pPr>
      <w:r w:rsidRPr="00222631">
        <w:t xml:space="preserve">Study on the Central Bank Investment Opportunities in IF Products </w:t>
      </w:r>
    </w:p>
    <w:p w14:paraId="5E60BED0" w14:textId="77777777" w:rsidR="00DC38C1" w:rsidRPr="00222631" w:rsidRDefault="00DC38C1" w:rsidP="00DC38C1">
      <w:pPr>
        <w:pStyle w:val="ListParagraph"/>
        <w:numPr>
          <w:ilvl w:val="0"/>
          <w:numId w:val="8"/>
        </w:numPr>
      </w:pPr>
      <w:r w:rsidRPr="00222631">
        <w:t xml:space="preserve">Study on Liquidity Management and Liquidity of Financial Products </w:t>
      </w:r>
    </w:p>
    <w:p w14:paraId="237B6AE8" w14:textId="67E1D978" w:rsidR="00AB0A4F" w:rsidRPr="00222631" w:rsidRDefault="00DC38C1" w:rsidP="00DC38C1">
      <w:pPr>
        <w:pStyle w:val="ListParagraph"/>
        <w:numPr>
          <w:ilvl w:val="0"/>
          <w:numId w:val="8"/>
        </w:numPr>
      </w:pPr>
      <w:r w:rsidRPr="00222631">
        <w:t>Manual of Islamic Finance Operations and Accounting Procedures</w:t>
      </w:r>
    </w:p>
    <w:p w14:paraId="05872130" w14:textId="77777777" w:rsidR="00DC38C1" w:rsidRPr="00222631" w:rsidRDefault="00DC38C1" w:rsidP="00DC38C1">
      <w:pPr>
        <w:pStyle w:val="ListParagraph"/>
        <w:numPr>
          <w:ilvl w:val="0"/>
          <w:numId w:val="8"/>
        </w:numPr>
      </w:pPr>
      <w:r w:rsidRPr="00222631">
        <w:t>Manual of Governance for Treasury</w:t>
      </w:r>
    </w:p>
    <w:p w14:paraId="7F63AC16" w14:textId="77777777" w:rsidR="00DC38C1" w:rsidRPr="00222631" w:rsidRDefault="00DC38C1" w:rsidP="00DC38C1">
      <w:pPr>
        <w:pStyle w:val="ListParagraph"/>
        <w:numPr>
          <w:ilvl w:val="0"/>
          <w:numId w:val="8"/>
        </w:numPr>
      </w:pPr>
      <w:r w:rsidRPr="00222631">
        <w:t xml:space="preserve">Manual of Financial Reporting (Valuation/Measurement, Presentation and Disclosures) </w:t>
      </w:r>
    </w:p>
    <w:p w14:paraId="20B48F5F" w14:textId="77777777" w:rsidR="00DC38C1" w:rsidRPr="00222631" w:rsidRDefault="00DC38C1" w:rsidP="00DC38C1">
      <w:pPr>
        <w:pStyle w:val="ListParagraph"/>
        <w:numPr>
          <w:ilvl w:val="0"/>
          <w:numId w:val="8"/>
        </w:numPr>
      </w:pPr>
      <w:r w:rsidRPr="00222631">
        <w:t xml:space="preserve">Manual on Risk management Tools for Treasury </w:t>
      </w:r>
    </w:p>
    <w:p w14:paraId="11D3385F" w14:textId="77777777" w:rsidR="00DC38C1" w:rsidRPr="00222631" w:rsidRDefault="00DC38C1" w:rsidP="00DC38C1">
      <w:pPr>
        <w:pStyle w:val="ListParagraph"/>
        <w:numPr>
          <w:ilvl w:val="0"/>
          <w:numId w:val="8"/>
        </w:numPr>
      </w:pPr>
      <w:r w:rsidRPr="00222631">
        <w:t xml:space="preserve">Study on required IT Systems/ Solutions for Treasury </w:t>
      </w:r>
    </w:p>
    <w:p w14:paraId="4C2FD349" w14:textId="21AA001E" w:rsidR="00DC38C1" w:rsidRPr="00222631" w:rsidRDefault="00DC38C1" w:rsidP="00DC38C1">
      <w:pPr>
        <w:pStyle w:val="ListParagraph"/>
        <w:numPr>
          <w:ilvl w:val="0"/>
          <w:numId w:val="8"/>
        </w:numPr>
      </w:pPr>
      <w:r w:rsidRPr="00222631">
        <w:t>Manual on Supervision and Auditing procedures for Islamic investment products</w:t>
      </w:r>
      <w:bookmarkEnd w:id="0"/>
    </w:p>
    <w:p w14:paraId="2CCB0FAA" w14:textId="0B6742F4" w:rsidR="000920B0" w:rsidRPr="00222631" w:rsidRDefault="000202BB" w:rsidP="000920B0">
      <w:r w:rsidRPr="00222631">
        <w:t>The project's primary objective is to develop and implement a Strategic Capacity Enhancement in Islamic Finance for the Central Bank of Libya (CBL). This consultancy aims to strengthen the CBL’s Islamic finance operations by providing expert guidance and delivering a comprehensive suite of targeted studies and detailed manuals. The deliverables will be crafted to ensure full alignment with global best practices and the authoritative standards set by leading Islamic finance bodies, including AAOIFI and IFSB.</w:t>
      </w:r>
      <w:r w:rsidR="00D10DF0" w:rsidRPr="00222631">
        <w:t xml:space="preserve"> The project will be implemented in 12 months</w:t>
      </w:r>
      <w:r w:rsidR="001A2E1A" w:rsidRPr="00222631">
        <w:t xml:space="preserve"> and</w:t>
      </w:r>
      <w:r w:rsidR="00D10DF0" w:rsidRPr="00222631">
        <w:t xml:space="preserve"> is expected to start </w:t>
      </w:r>
      <w:r w:rsidR="001A2E1A" w:rsidRPr="00222631">
        <w:t>in</w:t>
      </w:r>
      <w:r w:rsidR="00D10DF0" w:rsidRPr="00222631">
        <w:t xml:space="preserve"> </w:t>
      </w:r>
      <w:r w:rsidR="00BA4757" w:rsidRPr="00222631">
        <w:t>February</w:t>
      </w:r>
      <w:r w:rsidR="00D10DF0" w:rsidRPr="00222631">
        <w:t xml:space="preserve"> 2026. </w:t>
      </w:r>
    </w:p>
    <w:p w14:paraId="6B6E5515" w14:textId="4A1E34EA" w:rsidR="000920B0" w:rsidRPr="00222631" w:rsidRDefault="000920B0" w:rsidP="000920B0">
      <w:r w:rsidRPr="00222631">
        <w:t xml:space="preserve">The draft TOR for the assignment is attached </w:t>
      </w:r>
      <w:r w:rsidR="00222631" w:rsidRPr="00222631">
        <w:t>to</w:t>
      </w:r>
      <w:r w:rsidRPr="00222631">
        <w:t> Annex-1.</w:t>
      </w:r>
    </w:p>
    <w:p w14:paraId="02C309AF" w14:textId="0D124351" w:rsidR="000920B0" w:rsidRPr="00222631" w:rsidRDefault="00222631" w:rsidP="000920B0">
      <w:r w:rsidRPr="00222631">
        <w:t xml:space="preserve">The </w:t>
      </w:r>
      <w:r w:rsidR="008A06BD" w:rsidRPr="00222631">
        <w:t>CBL</w:t>
      </w:r>
      <w:r w:rsidR="000920B0" w:rsidRPr="00222631">
        <w:t> now invites eligible consulting firms (“Consultants”) to indicate their interest in providing the listed services in the draft ToR. Interested Consultants must provide specific information that demonstrates that they are fully qualified to perform the services (</w:t>
      </w:r>
      <w:r w:rsidR="00D17B1B" w:rsidRPr="00222631">
        <w:t xml:space="preserve">brochures, description of similar assignments, experience in similar conditions, availability of appropriate skills among staff, </w:t>
      </w:r>
      <w:r w:rsidRPr="00222631">
        <w:t>etc.</w:t>
      </w:r>
      <w:r w:rsidR="000920B0" w:rsidRPr="00222631">
        <w:t>) including expertise in developing similar studies.</w:t>
      </w:r>
    </w:p>
    <w:p w14:paraId="0F572637" w14:textId="5C9C8F91" w:rsidR="000920B0" w:rsidRPr="00222631" w:rsidRDefault="000920B0" w:rsidP="000920B0">
      <w:r w:rsidRPr="00222631">
        <w:t>The shortlisting criteria are:</w:t>
      </w:r>
    </w:p>
    <w:p w14:paraId="7CC0F15C" w14:textId="77777777" w:rsidR="008B220F" w:rsidRDefault="00404FEF" w:rsidP="001E6590">
      <w:pPr>
        <w:pStyle w:val="ListParagraph"/>
        <w:numPr>
          <w:ilvl w:val="1"/>
          <w:numId w:val="7"/>
        </w:numPr>
        <w:tabs>
          <w:tab w:val="left" w:pos="360"/>
        </w:tabs>
        <w:spacing w:before="120" w:after="120"/>
        <w:ind w:left="720"/>
        <w:contextualSpacing w:val="0"/>
      </w:pPr>
      <w:r w:rsidRPr="00222631">
        <w:rPr>
          <w:b/>
          <w:bCs/>
        </w:rPr>
        <w:t>Core business and years in business</w:t>
      </w:r>
      <w:r w:rsidR="00901841" w:rsidRPr="00222631">
        <w:rPr>
          <w:b/>
          <w:bCs/>
        </w:rPr>
        <w:t xml:space="preserve">: </w:t>
      </w:r>
      <w:r w:rsidRPr="00222631">
        <w:rPr>
          <w:b/>
          <w:bCs/>
        </w:rPr>
        <w:t xml:space="preserve"> </w:t>
      </w:r>
      <w:r w:rsidRPr="00222631">
        <w:t xml:space="preserve">The firm’s core business must be in Islamic finance consultancy and related financial advisory services. The firm should have been legally </w:t>
      </w:r>
      <w:r w:rsidRPr="00222631">
        <w:lastRenderedPageBreak/>
        <w:t xml:space="preserve">established and operating for at least five (5) years in the field of Islamic banking and finance consultancy.  </w:t>
      </w:r>
    </w:p>
    <w:p w14:paraId="1B15E9CA" w14:textId="5614F327" w:rsidR="00901841" w:rsidRPr="00222631" w:rsidRDefault="00404FEF" w:rsidP="001E6590">
      <w:pPr>
        <w:pStyle w:val="ListParagraph"/>
        <w:numPr>
          <w:ilvl w:val="1"/>
          <w:numId w:val="7"/>
        </w:numPr>
        <w:tabs>
          <w:tab w:val="left" w:pos="360"/>
        </w:tabs>
        <w:spacing w:before="120" w:after="120"/>
        <w:ind w:left="720"/>
        <w:contextualSpacing w:val="0"/>
      </w:pPr>
      <w:r w:rsidRPr="00222631">
        <w:rPr>
          <w:b/>
          <w:bCs/>
        </w:rPr>
        <w:t>Specific experience:</w:t>
      </w:r>
      <w:r w:rsidRPr="00222631">
        <w:t xml:space="preserve"> Demonstrated experience in conducting similar assignments related to Islamic finance institutional development, including the preparation of operational manuals, policy frameworks, liquidity management studies, governance manuals, and risk management tools: The firm must provide evidence of at least three (3) successfully completed assignments of a similar nature and scope during the last 10 </w:t>
      </w:r>
      <w:r w:rsidR="00222631" w:rsidRPr="00222631">
        <w:t xml:space="preserve">years, previous </w:t>
      </w:r>
      <w:r w:rsidRPr="00222631">
        <w:t xml:space="preserve">similar assignments </w:t>
      </w:r>
      <w:r w:rsidR="00901841" w:rsidRPr="00222631">
        <w:t>with central banks, regulatory bodies, or global development agencies is highly desirable.</w:t>
      </w:r>
    </w:p>
    <w:p w14:paraId="7C6D0F97" w14:textId="10F86098" w:rsidR="00F93BA1" w:rsidRPr="00222631" w:rsidRDefault="00F93BA1" w:rsidP="00222631">
      <w:pPr>
        <w:pStyle w:val="ListParagraph"/>
        <w:numPr>
          <w:ilvl w:val="1"/>
          <w:numId w:val="7"/>
        </w:numPr>
        <w:tabs>
          <w:tab w:val="left" w:pos="360"/>
        </w:tabs>
        <w:spacing w:before="120" w:after="120"/>
        <w:ind w:left="720"/>
        <w:contextualSpacing w:val="0"/>
        <w:rPr>
          <w:rFonts w:ascii="Times New Roman" w:eastAsia="Calibri" w:hAnsi="Times New Roman" w:cs="Times New Roman"/>
          <w:szCs w:val="24"/>
        </w:rPr>
      </w:pPr>
      <w:r w:rsidRPr="00222631">
        <w:rPr>
          <w:rFonts w:ascii="Times New Roman" w:hAnsi="Times New Roman"/>
          <w:spacing w:val="-2"/>
        </w:rPr>
        <w:t>Key Experts will not be evaluated at the shortlisting stage</w:t>
      </w:r>
      <w:r w:rsidR="008B220F">
        <w:rPr>
          <w:rFonts w:ascii="Times New Roman" w:hAnsi="Times New Roman"/>
          <w:spacing w:val="-2"/>
        </w:rPr>
        <w:t>.</w:t>
      </w:r>
    </w:p>
    <w:p w14:paraId="302DD1F6" w14:textId="5D6A84A8" w:rsidR="000920B0" w:rsidRPr="00222631" w:rsidRDefault="000920B0" w:rsidP="000920B0">
      <w:r w:rsidRPr="00222631">
        <w:t xml:space="preserve">The attention of interested Consultants is drawn to Paragraphs, </w:t>
      </w:r>
      <w:r w:rsidR="00120C75" w:rsidRPr="00222631">
        <w:t>1.12.1</w:t>
      </w:r>
      <w:r w:rsidRPr="00222631">
        <w:t xml:space="preserve">, and </w:t>
      </w:r>
      <w:r w:rsidR="00120C75" w:rsidRPr="00222631">
        <w:t>1.12.2</w:t>
      </w:r>
      <w:r w:rsidRPr="00222631">
        <w:t xml:space="preserve"> of The Guidelines for the procurement of Consultancy Services under lsDB project financing (April 2019, revised in February 2023) (the “Procurement Guidelines”), setting forth IsDB’s policy on conflict of interest: </w:t>
      </w:r>
      <w:hyperlink r:id="rId7" w:tgtFrame="_blank" w:history="1">
        <w:r w:rsidRPr="00222631">
          <w:rPr>
            <w:rStyle w:val="Hyperlink"/>
          </w:rPr>
          <w:t>Guidelines for the Procurement of Consultancy Services under IsDB Project Financing_1.pdf</w:t>
        </w:r>
      </w:hyperlink>
    </w:p>
    <w:p w14:paraId="7457CE21" w14:textId="297D8700" w:rsidR="000920B0" w:rsidRPr="00222631" w:rsidRDefault="000920B0" w:rsidP="000920B0">
      <w:r w:rsidRPr="00222631">
        <w:t xml:space="preserve">Consultants may associate with other firms to enhance their qualifications but should indicate clearly whether the association is in the form of a joint venture and/or a sub-consultancy. In the case of a joint venture, all the partners in the joint venture </w:t>
      </w:r>
      <w:r w:rsidRPr="00222631">
        <w:rPr>
          <w:u w:val="single"/>
        </w:rPr>
        <w:t>shall be</w:t>
      </w:r>
      <w:r w:rsidRPr="00222631">
        <w:t xml:space="preserve"> jointly and severally liable for the entire contract, if selected.</w:t>
      </w:r>
    </w:p>
    <w:p w14:paraId="76BA267F" w14:textId="5A7015D8" w:rsidR="000920B0" w:rsidRPr="00222631" w:rsidRDefault="000920B0" w:rsidP="000920B0">
      <w:r w:rsidRPr="00222631">
        <w:t xml:space="preserve">A </w:t>
      </w:r>
      <w:r w:rsidR="00404FEF" w:rsidRPr="00222631">
        <w:t xml:space="preserve">consultancy firm </w:t>
      </w:r>
      <w:r w:rsidRPr="00222631">
        <w:t>will be selected in accordance with the Consultant Qualifications Selection/International Shortlist (CQS) method as set out in the Procurement Guidelines.</w:t>
      </w:r>
    </w:p>
    <w:p w14:paraId="15859DD2" w14:textId="3933A836" w:rsidR="00DC585E" w:rsidRPr="00222631" w:rsidRDefault="00DC585E" w:rsidP="00DC585E">
      <w:r w:rsidRPr="00222631">
        <w:t>Interested consultants may obtain further information at the address below during office hours; 8:30 to 16:30 hours </w:t>
      </w:r>
      <w:r w:rsidR="00791096" w:rsidRPr="00222631">
        <w:t>Libya</w:t>
      </w:r>
      <w:r w:rsidRPr="00222631">
        <w:t xml:space="preserve"> Local Time.</w:t>
      </w:r>
    </w:p>
    <w:p w14:paraId="1900C6E5" w14:textId="1746F614" w:rsidR="000920B0" w:rsidRPr="00222631" w:rsidRDefault="00DC585E" w:rsidP="00CC432A">
      <w:r w:rsidRPr="00222631">
        <w:t xml:space="preserve">Expressions of interest must be delivered in a digital form to the </w:t>
      </w:r>
      <w:r w:rsidR="00F026F0" w:rsidRPr="00222631">
        <w:t xml:space="preserve">email </w:t>
      </w:r>
      <w:r w:rsidRPr="00222631">
        <w:t>address below by e-mail by the date of </w:t>
      </w:r>
      <w:r w:rsidR="00BA4757" w:rsidRPr="00222631">
        <w:t>1</w:t>
      </w:r>
      <w:r w:rsidR="00222631">
        <w:t>5</w:t>
      </w:r>
      <w:r w:rsidR="00BA4757" w:rsidRPr="00222631">
        <w:t xml:space="preserve"> </w:t>
      </w:r>
      <w:r w:rsidR="00222631">
        <w:t>January</w:t>
      </w:r>
      <w:r w:rsidR="00BA4757" w:rsidRPr="00222631">
        <w:t xml:space="preserve"> </w:t>
      </w:r>
      <w:r w:rsidRPr="00222631">
        <w:t>202</w:t>
      </w:r>
      <w:r w:rsidR="00FE4B63">
        <w:t>6</w:t>
      </w:r>
      <w:r w:rsidRPr="00222631">
        <w:t>.</w:t>
      </w:r>
    </w:p>
    <w:p w14:paraId="7DB16ABD" w14:textId="77777777" w:rsidR="00CC432A" w:rsidRPr="00222631" w:rsidRDefault="00CC432A" w:rsidP="00482948">
      <w:pPr>
        <w:suppressAutoHyphens/>
        <w:rPr>
          <w:b/>
          <w:bCs/>
        </w:rPr>
      </w:pPr>
    </w:p>
    <w:p w14:paraId="22C27DD2" w14:textId="721A801A" w:rsidR="00482948" w:rsidRPr="00222631" w:rsidRDefault="00482948" w:rsidP="00482948">
      <w:pPr>
        <w:suppressAutoHyphens/>
        <w:rPr>
          <w:rFonts w:eastAsia="Calibri" w:cstheme="majorBidi"/>
          <w:b/>
          <w:bCs/>
          <w:spacing w:val="-2"/>
          <w:szCs w:val="24"/>
        </w:rPr>
      </w:pPr>
      <w:r w:rsidRPr="00222631">
        <w:rPr>
          <w:b/>
          <w:bCs/>
        </w:rPr>
        <w:t>CENTRAL BANK OF LIBYA (CBL)</w:t>
      </w:r>
    </w:p>
    <w:p w14:paraId="36185D7A" w14:textId="4AC28058" w:rsidR="00482948" w:rsidRPr="00222631" w:rsidRDefault="00482948" w:rsidP="00482948">
      <w:pPr>
        <w:suppressAutoHyphens/>
        <w:rPr>
          <w:rFonts w:eastAsia="Calibri" w:cstheme="majorBidi"/>
          <w:spacing w:val="-2"/>
          <w:szCs w:val="24"/>
        </w:rPr>
      </w:pPr>
      <w:r w:rsidRPr="00222631">
        <w:rPr>
          <w:rFonts w:eastAsia="Calibri" w:cstheme="majorBidi"/>
          <w:b/>
          <w:bCs/>
          <w:spacing w:val="-2"/>
          <w:szCs w:val="24"/>
        </w:rPr>
        <w:t>Attention:</w:t>
      </w:r>
      <w:r w:rsidRPr="00222631">
        <w:rPr>
          <w:rFonts w:eastAsia="Calibri" w:cstheme="majorBidi"/>
          <w:spacing w:val="-2"/>
          <w:szCs w:val="24"/>
        </w:rPr>
        <w:t xml:space="preserve"> </w:t>
      </w:r>
      <w:r w:rsidRPr="00222631">
        <w:rPr>
          <w:rFonts w:eastAsia="Calibri" w:cstheme="majorBidi"/>
          <w:b/>
          <w:bCs/>
          <w:spacing w:val="-2"/>
          <w:szCs w:val="24"/>
        </w:rPr>
        <w:t>Moftah Ali Suliaman</w:t>
      </w:r>
    </w:p>
    <w:p w14:paraId="6D29F636" w14:textId="148B1370" w:rsidR="00482948" w:rsidRPr="00222631" w:rsidRDefault="00482948" w:rsidP="00482948">
      <w:pPr>
        <w:suppressAutoHyphens/>
        <w:spacing w:after="0"/>
        <w:rPr>
          <w:rFonts w:eastAsia="Calibri" w:cstheme="majorBidi"/>
          <w:spacing w:val="-2"/>
          <w:szCs w:val="24"/>
        </w:rPr>
      </w:pPr>
      <w:r w:rsidRPr="00222631">
        <w:rPr>
          <w:rFonts w:eastAsia="Calibri" w:cstheme="majorBidi"/>
          <w:b/>
          <w:bCs/>
          <w:spacing w:val="-2"/>
          <w:szCs w:val="24"/>
        </w:rPr>
        <w:t xml:space="preserve">Address: </w:t>
      </w:r>
      <w:r w:rsidRPr="00222631">
        <w:rPr>
          <w:rFonts w:eastAsia="Calibri" w:cstheme="majorBidi"/>
          <w:spacing w:val="-2"/>
          <w:szCs w:val="24"/>
        </w:rPr>
        <w:t xml:space="preserve">Alfateh Street. Tripoli </w:t>
      </w:r>
    </w:p>
    <w:p w14:paraId="7DD7639C" w14:textId="26731CE9" w:rsidR="00482948" w:rsidRPr="00222631" w:rsidRDefault="00482948" w:rsidP="00482948">
      <w:pPr>
        <w:suppressAutoHyphens/>
        <w:spacing w:after="0"/>
        <w:rPr>
          <w:rFonts w:eastAsia="Calibri" w:cstheme="majorBidi"/>
          <w:spacing w:val="-2"/>
          <w:szCs w:val="24"/>
        </w:rPr>
      </w:pPr>
      <w:r w:rsidRPr="00222631">
        <w:rPr>
          <w:rFonts w:eastAsia="Calibri" w:cstheme="majorBidi"/>
          <w:b/>
          <w:bCs/>
          <w:spacing w:val="-2"/>
          <w:szCs w:val="24"/>
        </w:rPr>
        <w:t>Tel:</w:t>
      </w:r>
      <w:r w:rsidRPr="00222631">
        <w:rPr>
          <w:rFonts w:eastAsia="Calibri" w:cstheme="majorBidi"/>
          <w:spacing w:val="-2"/>
          <w:szCs w:val="24"/>
        </w:rPr>
        <w:t xml:space="preserve"> Director of Financial Markets </w:t>
      </w:r>
    </w:p>
    <w:p w14:paraId="4B154A63" w14:textId="5B62D8EA" w:rsidR="00482948" w:rsidRPr="00222631" w:rsidRDefault="00482948" w:rsidP="00482948">
      <w:pPr>
        <w:suppressAutoHyphens/>
        <w:spacing w:after="0"/>
        <w:rPr>
          <w:rFonts w:eastAsia="Calibri" w:cstheme="majorBidi"/>
          <w:spacing w:val="-2"/>
          <w:szCs w:val="24"/>
        </w:rPr>
      </w:pPr>
      <w:r w:rsidRPr="00222631">
        <w:rPr>
          <w:rFonts w:eastAsia="Calibri" w:cstheme="majorBidi"/>
          <w:b/>
          <w:bCs/>
          <w:spacing w:val="-2"/>
          <w:szCs w:val="24"/>
        </w:rPr>
        <w:t>E-mail:</w:t>
      </w:r>
      <w:r w:rsidRPr="00222631">
        <w:rPr>
          <w:rFonts w:eastAsia="Calibri" w:cstheme="majorBidi"/>
          <w:spacing w:val="-2"/>
          <w:szCs w:val="24"/>
        </w:rPr>
        <w:t xml:space="preserve"> </w:t>
      </w:r>
      <w:hyperlink r:id="rId8" w:history="1">
        <w:r w:rsidR="00222631" w:rsidRPr="00983A8B">
          <w:rPr>
            <w:rStyle w:val="Hyperlink"/>
            <w:rFonts w:eastAsia="Calibri" w:cstheme="majorBidi"/>
            <w:spacing w:val="-2"/>
            <w:szCs w:val="24"/>
          </w:rPr>
          <w:t>msuliaman@cbl.gov.ly</w:t>
        </w:r>
      </w:hyperlink>
      <w:r w:rsidR="00222631">
        <w:rPr>
          <w:rFonts w:eastAsia="Calibri" w:cstheme="majorBidi"/>
          <w:spacing w:val="-2"/>
          <w:szCs w:val="24"/>
        </w:rPr>
        <w:t xml:space="preserve"> </w:t>
      </w:r>
    </w:p>
    <w:p w14:paraId="0AD39567" w14:textId="5BDDF689" w:rsidR="00482948" w:rsidRPr="00791774" w:rsidRDefault="00482948" w:rsidP="00901841">
      <w:pPr>
        <w:suppressAutoHyphens/>
        <w:spacing w:after="0"/>
        <w:rPr>
          <w:rFonts w:eastAsia="Calibri" w:cstheme="majorBidi"/>
          <w:spacing w:val="-2"/>
          <w:szCs w:val="24"/>
        </w:rPr>
      </w:pPr>
      <w:r w:rsidRPr="00222631">
        <w:rPr>
          <w:rFonts w:eastAsia="Calibri" w:cstheme="majorBidi"/>
          <w:b/>
          <w:bCs/>
          <w:spacing w:val="-2"/>
          <w:szCs w:val="24"/>
        </w:rPr>
        <w:t>Website:</w:t>
      </w:r>
      <w:r w:rsidRPr="00222631">
        <w:rPr>
          <w:rFonts w:eastAsia="Calibri" w:cstheme="majorBidi"/>
          <w:spacing w:val="-2"/>
          <w:szCs w:val="24"/>
        </w:rPr>
        <w:t xml:space="preserve"> </w:t>
      </w:r>
      <w:hyperlink r:id="rId9" w:history="1">
        <w:r w:rsidR="00222631" w:rsidRPr="00983A8B">
          <w:rPr>
            <w:rStyle w:val="Hyperlink"/>
            <w:rFonts w:cstheme="majorBidi"/>
            <w:szCs w:val="24"/>
          </w:rPr>
          <w:t>www.cbl.gov.ly</w:t>
        </w:r>
      </w:hyperlink>
      <w:r w:rsidR="00222631">
        <w:rPr>
          <w:rFonts w:cstheme="majorBidi"/>
          <w:szCs w:val="24"/>
        </w:rPr>
        <w:t xml:space="preserve"> </w:t>
      </w:r>
    </w:p>
    <w:sectPr w:rsidR="00482948" w:rsidRPr="00791774" w:rsidSect="00CC432A">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00FE" w14:textId="77777777" w:rsidR="00102CFF" w:rsidRPr="00222631" w:rsidRDefault="00102CFF" w:rsidP="00CC432A">
      <w:pPr>
        <w:spacing w:after="0" w:line="240" w:lineRule="auto"/>
      </w:pPr>
      <w:r w:rsidRPr="00222631">
        <w:separator/>
      </w:r>
    </w:p>
  </w:endnote>
  <w:endnote w:type="continuationSeparator" w:id="0">
    <w:p w14:paraId="78D86335" w14:textId="77777777" w:rsidR="00102CFF" w:rsidRPr="00222631" w:rsidRDefault="00102CFF" w:rsidP="00CC432A">
      <w:pPr>
        <w:spacing w:after="0" w:line="240" w:lineRule="auto"/>
      </w:pPr>
      <w:r w:rsidRPr="00222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E133" w14:textId="77777777" w:rsidR="00CC432A" w:rsidRPr="00222631" w:rsidRDefault="00CC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0A09" w14:textId="77777777" w:rsidR="00CC432A" w:rsidRPr="00222631" w:rsidRDefault="00CC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147B" w14:textId="77777777" w:rsidR="00CC432A" w:rsidRPr="00222631" w:rsidRDefault="00CC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2B06" w14:textId="77777777" w:rsidR="00102CFF" w:rsidRPr="00222631" w:rsidRDefault="00102CFF" w:rsidP="00CC432A">
      <w:pPr>
        <w:spacing w:after="0" w:line="240" w:lineRule="auto"/>
      </w:pPr>
      <w:r w:rsidRPr="00222631">
        <w:separator/>
      </w:r>
    </w:p>
  </w:footnote>
  <w:footnote w:type="continuationSeparator" w:id="0">
    <w:p w14:paraId="689B5C2D" w14:textId="77777777" w:rsidR="00102CFF" w:rsidRPr="00222631" w:rsidRDefault="00102CFF" w:rsidP="00CC432A">
      <w:pPr>
        <w:spacing w:after="0" w:line="240" w:lineRule="auto"/>
      </w:pPr>
      <w:r w:rsidRPr="00222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AC8A" w14:textId="72B7FCFA" w:rsidR="00CC432A" w:rsidRPr="00222631" w:rsidRDefault="00120C75">
    <w:pPr>
      <w:pStyle w:val="Header"/>
    </w:pPr>
    <w:r w:rsidRPr="00222631">
      <w:rPr>
        <w:noProof/>
      </w:rPr>
      <mc:AlternateContent>
        <mc:Choice Requires="wps">
          <w:drawing>
            <wp:anchor distT="0" distB="0" distL="0" distR="0" simplePos="0" relativeHeight="251659264" behindDoc="0" locked="0" layoutInCell="1" allowOverlap="1" wp14:anchorId="1770EE6C" wp14:editId="278CE75F">
              <wp:simplePos x="635" y="635"/>
              <wp:positionH relativeFrom="page">
                <wp:align>left</wp:align>
              </wp:positionH>
              <wp:positionV relativeFrom="page">
                <wp:align>top</wp:align>
              </wp:positionV>
              <wp:extent cx="758190" cy="357505"/>
              <wp:effectExtent l="0" t="0" r="3810" b="4445"/>
              <wp:wrapNone/>
              <wp:docPr id="137708284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50B6D2F5" w14:textId="10C7D620"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70EE6C" id="_x0000_t202" coordsize="21600,21600" o:spt="202" path="m,l,21600r21600,l21600,xe">
              <v:stroke joinstyle="miter"/>
              <v:path gradientshapeok="t" o:connecttype="rect"/>
            </v:shapetype>
            <v:shape id="Text Box 2" o:spid="_x0000_s1026" type="#_x0000_t202" alt="Protected" style="position:absolute;left:0;text-align:left;margin-left:0;margin-top:0;width:59.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" filled="f" stroked="f">
              <v:textbox style="mso-fit-shape-to-text:t" inset="20pt,15pt,0,0">
                <w:txbxContent>
                  <w:p w14:paraId="50B6D2F5" w14:textId="10C7D620"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2ED" w14:textId="648A4093" w:rsidR="00CC432A" w:rsidRPr="00222631" w:rsidRDefault="00120C75">
    <w:pPr>
      <w:pStyle w:val="Header"/>
    </w:pPr>
    <w:r w:rsidRPr="00222631">
      <w:rPr>
        <w:noProof/>
      </w:rPr>
      <mc:AlternateContent>
        <mc:Choice Requires="wps">
          <w:drawing>
            <wp:anchor distT="0" distB="0" distL="0" distR="0" simplePos="0" relativeHeight="251660288" behindDoc="0" locked="0" layoutInCell="1" allowOverlap="1" wp14:anchorId="26DC3879" wp14:editId="66B27D52">
              <wp:simplePos x="914400" y="448733"/>
              <wp:positionH relativeFrom="page">
                <wp:align>left</wp:align>
              </wp:positionH>
              <wp:positionV relativeFrom="page">
                <wp:align>top</wp:align>
              </wp:positionV>
              <wp:extent cx="758190" cy="357505"/>
              <wp:effectExtent l="0" t="0" r="3810" b="4445"/>
              <wp:wrapNone/>
              <wp:docPr id="808502361"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5EF570AB" w14:textId="08F030B5"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DC3879" id="_x0000_t202" coordsize="21600,21600" o:spt="202" path="m,l,21600r21600,l21600,xe">
              <v:stroke joinstyle="miter"/>
              <v:path gradientshapeok="t" o:connecttype="rect"/>
            </v:shapetype>
            <v:shape id="Text Box 3" o:spid="_x0000_s1027" type="#_x0000_t202" alt="Protected" style="position:absolute;left:0;text-align:left;margin-left:0;margin-top:0;width:59.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" filled="f" stroked="f">
              <v:textbox style="mso-fit-shape-to-text:t" inset="20pt,15pt,0,0">
                <w:txbxContent>
                  <w:p w14:paraId="5EF570AB" w14:textId="08F030B5"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83E2" w14:textId="2B271B1F" w:rsidR="00CC432A" w:rsidRPr="00222631" w:rsidRDefault="00120C75">
    <w:pPr>
      <w:pStyle w:val="Header"/>
    </w:pPr>
    <w:r w:rsidRPr="00222631">
      <w:rPr>
        <w:noProof/>
      </w:rPr>
      <mc:AlternateContent>
        <mc:Choice Requires="wps">
          <w:drawing>
            <wp:anchor distT="0" distB="0" distL="0" distR="0" simplePos="0" relativeHeight="251658240" behindDoc="0" locked="0" layoutInCell="1" allowOverlap="1" wp14:anchorId="16483D8B" wp14:editId="43EC9156">
              <wp:simplePos x="635" y="635"/>
              <wp:positionH relativeFrom="page">
                <wp:align>left</wp:align>
              </wp:positionH>
              <wp:positionV relativeFrom="page">
                <wp:align>top</wp:align>
              </wp:positionV>
              <wp:extent cx="758190" cy="357505"/>
              <wp:effectExtent l="0" t="0" r="3810" b="4445"/>
              <wp:wrapNone/>
              <wp:docPr id="211122096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0127D54D" w14:textId="702E9B60"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483D8B" id="_x0000_t202" coordsize="21600,21600" o:spt="202" path="m,l,21600r21600,l21600,xe">
              <v:stroke joinstyle="miter"/>
              <v:path gradientshapeok="t" o:connecttype="rect"/>
            </v:shapetype>
            <v:shape id="Text Box 1" o:spid="_x0000_s1028" type="#_x0000_t202" alt="Protected" style="position:absolute;left:0;text-align:left;margin-left:0;margin-top:0;width:59.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" filled="f" stroked="f">
              <v:textbox style="mso-fit-shape-to-text:t" inset="20pt,15pt,0,0">
                <w:txbxContent>
                  <w:p w14:paraId="0127D54D" w14:textId="702E9B60" w:rsidR="00120C75" w:rsidRPr="00222631" w:rsidRDefault="00120C75" w:rsidP="00120C75">
                    <w:pPr>
                      <w:spacing w:after="0"/>
                      <w:rPr>
                        <w:rFonts w:ascii="Calibri" w:eastAsia="Calibri" w:hAnsi="Calibri" w:cs="Calibri"/>
                        <w:color w:val="000000"/>
                        <w:sz w:val="20"/>
                        <w:szCs w:val="20"/>
                      </w:rPr>
                    </w:pPr>
                    <w:r w:rsidRPr="00222631">
                      <w:rPr>
                        <w:rFonts w:ascii="Calibri" w:eastAsia="Calibri" w:hAnsi="Calibri" w:cs="Calibri"/>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B61"/>
    <w:multiLevelType w:val="hybridMultilevel"/>
    <w:tmpl w:val="08727406"/>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566A1"/>
    <w:multiLevelType w:val="hybridMultilevel"/>
    <w:tmpl w:val="0608E382"/>
    <w:lvl w:ilvl="0" w:tplc="F9106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65E20"/>
    <w:multiLevelType w:val="hybridMultilevel"/>
    <w:tmpl w:val="8310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E5D72"/>
    <w:multiLevelType w:val="hybridMultilevel"/>
    <w:tmpl w:val="2FAAFA9A"/>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B435C6"/>
    <w:multiLevelType w:val="hybridMultilevel"/>
    <w:tmpl w:val="6B92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A71FB"/>
    <w:multiLevelType w:val="hybridMultilevel"/>
    <w:tmpl w:val="49E68A1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B35AB7"/>
    <w:multiLevelType w:val="multilevel"/>
    <w:tmpl w:val="E73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34086"/>
    <w:multiLevelType w:val="hybridMultilevel"/>
    <w:tmpl w:val="E736C464"/>
    <w:lvl w:ilvl="0" w:tplc="141A0017">
      <w:start w:val="1"/>
      <w:numFmt w:val="lowerLetter"/>
      <w:lvlText w:val="%1)"/>
      <w:lvlJc w:val="left"/>
      <w:pPr>
        <w:ind w:left="360" w:hanging="360"/>
      </w:pPr>
    </w:lvl>
    <w:lvl w:ilvl="1" w:tplc="CC9E404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D03B8D"/>
    <w:multiLevelType w:val="hybridMultilevel"/>
    <w:tmpl w:val="BC1AE168"/>
    <w:lvl w:ilvl="0" w:tplc="F91068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5917">
    <w:abstractNumId w:val="0"/>
  </w:num>
  <w:num w:numId="2" w16cid:durableId="687826659">
    <w:abstractNumId w:val="8"/>
  </w:num>
  <w:num w:numId="3" w16cid:durableId="671951485">
    <w:abstractNumId w:val="4"/>
  </w:num>
  <w:num w:numId="4" w16cid:durableId="1055810618">
    <w:abstractNumId w:val="6"/>
  </w:num>
  <w:num w:numId="5" w16cid:durableId="1681883025">
    <w:abstractNumId w:val="5"/>
  </w:num>
  <w:num w:numId="6" w16cid:durableId="847211336">
    <w:abstractNumId w:val="2"/>
  </w:num>
  <w:num w:numId="7" w16cid:durableId="295264351">
    <w:abstractNumId w:val="9"/>
  </w:num>
  <w:num w:numId="8" w16cid:durableId="1841038793">
    <w:abstractNumId w:val="3"/>
  </w:num>
  <w:num w:numId="9" w16cid:durableId="329604595">
    <w:abstractNumId w:val="7"/>
  </w:num>
  <w:num w:numId="10" w16cid:durableId="115680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0"/>
    <w:rsid w:val="00001229"/>
    <w:rsid w:val="000114E7"/>
    <w:rsid w:val="000202BB"/>
    <w:rsid w:val="00021C23"/>
    <w:rsid w:val="000708CA"/>
    <w:rsid w:val="00091488"/>
    <w:rsid w:val="000920B0"/>
    <w:rsid w:val="000A09B7"/>
    <w:rsid w:val="000E439E"/>
    <w:rsid w:val="000E4FDD"/>
    <w:rsid w:val="00102CFF"/>
    <w:rsid w:val="00104F7B"/>
    <w:rsid w:val="00105D4D"/>
    <w:rsid w:val="00120C75"/>
    <w:rsid w:val="0012481E"/>
    <w:rsid w:val="00143023"/>
    <w:rsid w:val="00157FD7"/>
    <w:rsid w:val="001A1D04"/>
    <w:rsid w:val="001A2E1A"/>
    <w:rsid w:val="001E410A"/>
    <w:rsid w:val="0022003E"/>
    <w:rsid w:val="00221DE1"/>
    <w:rsid w:val="00222631"/>
    <w:rsid w:val="00230DA6"/>
    <w:rsid w:val="00240831"/>
    <w:rsid w:val="00255A69"/>
    <w:rsid w:val="00272535"/>
    <w:rsid w:val="00272B06"/>
    <w:rsid w:val="002B4685"/>
    <w:rsid w:val="00352B88"/>
    <w:rsid w:val="0035455F"/>
    <w:rsid w:val="00385A58"/>
    <w:rsid w:val="003A0C32"/>
    <w:rsid w:val="00401729"/>
    <w:rsid w:val="00404FEF"/>
    <w:rsid w:val="0044654E"/>
    <w:rsid w:val="00465CBE"/>
    <w:rsid w:val="0047417B"/>
    <w:rsid w:val="00482948"/>
    <w:rsid w:val="004B1DF9"/>
    <w:rsid w:val="004B2EFF"/>
    <w:rsid w:val="004C6B48"/>
    <w:rsid w:val="004E7B21"/>
    <w:rsid w:val="00516965"/>
    <w:rsid w:val="00522D66"/>
    <w:rsid w:val="005777E6"/>
    <w:rsid w:val="00625B4F"/>
    <w:rsid w:val="00626B9B"/>
    <w:rsid w:val="006618E5"/>
    <w:rsid w:val="006703F9"/>
    <w:rsid w:val="0069309A"/>
    <w:rsid w:val="006C4D8F"/>
    <w:rsid w:val="006E21CB"/>
    <w:rsid w:val="0077373E"/>
    <w:rsid w:val="00791096"/>
    <w:rsid w:val="007E271D"/>
    <w:rsid w:val="007E3A64"/>
    <w:rsid w:val="00845E49"/>
    <w:rsid w:val="008A06BD"/>
    <w:rsid w:val="008B220F"/>
    <w:rsid w:val="008E42C8"/>
    <w:rsid w:val="008F5118"/>
    <w:rsid w:val="00901841"/>
    <w:rsid w:val="00921366"/>
    <w:rsid w:val="00924795"/>
    <w:rsid w:val="00957B45"/>
    <w:rsid w:val="00977509"/>
    <w:rsid w:val="0099645F"/>
    <w:rsid w:val="009A3CD2"/>
    <w:rsid w:val="009D252B"/>
    <w:rsid w:val="00A12A6B"/>
    <w:rsid w:val="00A6600C"/>
    <w:rsid w:val="00A7356E"/>
    <w:rsid w:val="00A77240"/>
    <w:rsid w:val="00AA0649"/>
    <w:rsid w:val="00AB0A4F"/>
    <w:rsid w:val="00AB76D8"/>
    <w:rsid w:val="00AF0DDC"/>
    <w:rsid w:val="00AF51EE"/>
    <w:rsid w:val="00B32320"/>
    <w:rsid w:val="00B4154F"/>
    <w:rsid w:val="00B43D48"/>
    <w:rsid w:val="00B5199F"/>
    <w:rsid w:val="00B74482"/>
    <w:rsid w:val="00B80FF6"/>
    <w:rsid w:val="00BA4757"/>
    <w:rsid w:val="00BA79DA"/>
    <w:rsid w:val="00BF0578"/>
    <w:rsid w:val="00C00639"/>
    <w:rsid w:val="00C309C9"/>
    <w:rsid w:val="00C56504"/>
    <w:rsid w:val="00C95297"/>
    <w:rsid w:val="00CC432A"/>
    <w:rsid w:val="00CC6C97"/>
    <w:rsid w:val="00D10DF0"/>
    <w:rsid w:val="00D118AA"/>
    <w:rsid w:val="00D17B1B"/>
    <w:rsid w:val="00D533E9"/>
    <w:rsid w:val="00D83323"/>
    <w:rsid w:val="00D866A2"/>
    <w:rsid w:val="00D8675B"/>
    <w:rsid w:val="00D93BAF"/>
    <w:rsid w:val="00DC38C1"/>
    <w:rsid w:val="00DC585E"/>
    <w:rsid w:val="00DD00B7"/>
    <w:rsid w:val="00DF4B42"/>
    <w:rsid w:val="00E36AE2"/>
    <w:rsid w:val="00E77D9F"/>
    <w:rsid w:val="00EA58E3"/>
    <w:rsid w:val="00EC4FDB"/>
    <w:rsid w:val="00EE0A3C"/>
    <w:rsid w:val="00F026F0"/>
    <w:rsid w:val="00F62FB3"/>
    <w:rsid w:val="00F93BA1"/>
    <w:rsid w:val="00FB3D8F"/>
    <w:rsid w:val="00FC249B"/>
    <w:rsid w:val="00FE4B63"/>
    <w:rsid w:val="00FF6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8BD0C"/>
  <w15:chartTrackingRefBased/>
  <w15:docId w15:val="{B360EE5F-A583-4F1C-89B2-99D184E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E"/>
    <w:pPr>
      <w:jc w:val="both"/>
    </w:pPr>
    <w:rPr>
      <w:rFonts w:asciiTheme="majorBidi" w:hAnsiTheme="majorBidi"/>
      <w:sz w:val="24"/>
    </w:rPr>
  </w:style>
  <w:style w:type="paragraph" w:styleId="Heading1">
    <w:name w:val="heading 1"/>
    <w:basedOn w:val="Normal"/>
    <w:next w:val="Normal"/>
    <w:link w:val="Heading1Char"/>
    <w:autoRedefine/>
    <w:uiPriority w:val="9"/>
    <w:qFormat/>
    <w:rsid w:val="00AF51E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AF51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20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0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0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0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E"/>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semiHidden/>
    <w:rsid w:val="00AF51EE"/>
    <w:rPr>
      <w:rFonts w:asciiTheme="majorBidi" w:eastAsiaTheme="majorEastAsia" w:hAnsiTheme="majorBidi" w:cstheme="majorBidi"/>
      <w:b/>
      <w:sz w:val="24"/>
      <w:szCs w:val="26"/>
    </w:rPr>
  </w:style>
  <w:style w:type="paragraph" w:styleId="Title">
    <w:name w:val="Title"/>
    <w:basedOn w:val="Normal"/>
    <w:next w:val="Normal"/>
    <w:link w:val="TitleChar"/>
    <w:autoRedefine/>
    <w:uiPriority w:val="10"/>
    <w:qFormat/>
    <w:rsid w:val="00AF51EE"/>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AF51EE"/>
    <w:rPr>
      <w:rFonts w:asciiTheme="majorBidi" w:eastAsiaTheme="majorEastAsia" w:hAnsiTheme="majorBidi" w:cstheme="majorBidi"/>
      <w:spacing w:val="-10"/>
      <w:kern w:val="28"/>
      <w:sz w:val="44"/>
      <w:szCs w:val="56"/>
    </w:rPr>
  </w:style>
  <w:style w:type="character" w:customStyle="1" w:styleId="Heading3Char">
    <w:name w:val="Heading 3 Char"/>
    <w:basedOn w:val="DefaultParagraphFont"/>
    <w:link w:val="Heading3"/>
    <w:uiPriority w:val="9"/>
    <w:semiHidden/>
    <w:rsid w:val="0009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B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20B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20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20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20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20B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920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B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B0"/>
    <w:rPr>
      <w:rFonts w:asciiTheme="majorBidi" w:hAnsiTheme="majorBidi"/>
      <w:i/>
      <w:iCs/>
      <w:color w:val="404040" w:themeColor="text1" w:themeTint="BF"/>
      <w:sz w:val="24"/>
    </w:rPr>
  </w:style>
  <w:style w:type="paragraph" w:styleId="ListParagraph">
    <w:name w:val="List Paragraph"/>
    <w:basedOn w:val="Normal"/>
    <w:uiPriority w:val="34"/>
    <w:qFormat/>
    <w:rsid w:val="000920B0"/>
    <w:pPr>
      <w:ind w:left="720"/>
      <w:contextualSpacing/>
    </w:pPr>
  </w:style>
  <w:style w:type="character" w:styleId="IntenseEmphasis">
    <w:name w:val="Intense Emphasis"/>
    <w:basedOn w:val="DefaultParagraphFont"/>
    <w:uiPriority w:val="21"/>
    <w:qFormat/>
    <w:rsid w:val="000920B0"/>
    <w:rPr>
      <w:i/>
      <w:iCs/>
      <w:color w:val="2F5496" w:themeColor="accent1" w:themeShade="BF"/>
    </w:rPr>
  </w:style>
  <w:style w:type="paragraph" w:styleId="IntenseQuote">
    <w:name w:val="Intense Quote"/>
    <w:basedOn w:val="Normal"/>
    <w:next w:val="Normal"/>
    <w:link w:val="IntenseQuoteChar"/>
    <w:uiPriority w:val="30"/>
    <w:qFormat/>
    <w:rsid w:val="0009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B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0920B0"/>
    <w:rPr>
      <w:b/>
      <w:bCs/>
      <w:smallCaps/>
      <w:color w:val="2F5496" w:themeColor="accent1" w:themeShade="BF"/>
      <w:spacing w:val="5"/>
    </w:rPr>
  </w:style>
  <w:style w:type="character" w:styleId="Hyperlink">
    <w:name w:val="Hyperlink"/>
    <w:basedOn w:val="DefaultParagraphFont"/>
    <w:uiPriority w:val="99"/>
    <w:unhideWhenUsed/>
    <w:rsid w:val="000920B0"/>
    <w:rPr>
      <w:color w:val="0563C1" w:themeColor="hyperlink"/>
      <w:u w:val="single"/>
    </w:rPr>
  </w:style>
  <w:style w:type="character" w:styleId="UnresolvedMention">
    <w:name w:val="Unresolved Mention"/>
    <w:basedOn w:val="DefaultParagraphFont"/>
    <w:uiPriority w:val="99"/>
    <w:semiHidden/>
    <w:unhideWhenUsed/>
    <w:rsid w:val="000920B0"/>
    <w:rPr>
      <w:color w:val="605E5C"/>
      <w:shd w:val="clear" w:color="auto" w:fill="E1DFDD"/>
    </w:rPr>
  </w:style>
  <w:style w:type="paragraph" w:customStyle="1" w:styleId="Heading1a">
    <w:name w:val="Heading 1a"/>
    <w:rsid w:val="00104F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rsid w:val="00272B06"/>
    <w:pPr>
      <w:autoSpaceDE w:val="0"/>
      <w:autoSpaceDN w:val="0"/>
      <w:adjustRightInd w:val="0"/>
      <w:spacing w:after="0" w:line="240" w:lineRule="auto"/>
    </w:pPr>
    <w:rPr>
      <w:rFonts w:ascii="Roboto Light" w:hAnsi="Roboto Light" w:cs="Roboto Light"/>
      <w:color w:val="000000"/>
      <w:kern w:val="0"/>
      <w:sz w:val="24"/>
      <w:szCs w:val="24"/>
    </w:rPr>
  </w:style>
  <w:style w:type="paragraph" w:styleId="NormalWeb">
    <w:name w:val="Normal (Web)"/>
    <w:basedOn w:val="Normal"/>
    <w:uiPriority w:val="99"/>
    <w:semiHidden/>
    <w:unhideWhenUsed/>
    <w:rsid w:val="00516965"/>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DC585E"/>
    <w:rPr>
      <w:b/>
      <w:bCs/>
    </w:rPr>
  </w:style>
  <w:style w:type="paragraph" w:styleId="Revision">
    <w:name w:val="Revision"/>
    <w:hidden/>
    <w:uiPriority w:val="99"/>
    <w:semiHidden/>
    <w:rsid w:val="00240831"/>
    <w:pPr>
      <w:spacing w:after="0" w:line="240" w:lineRule="auto"/>
    </w:pPr>
    <w:rPr>
      <w:rFonts w:asciiTheme="majorBidi" w:hAnsiTheme="majorBidi"/>
      <w:sz w:val="24"/>
    </w:rPr>
  </w:style>
  <w:style w:type="table" w:styleId="TableGrid">
    <w:name w:val="Table Grid"/>
    <w:basedOn w:val="TableNormal"/>
    <w:uiPriority w:val="39"/>
    <w:rsid w:val="000E4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32A"/>
    <w:rPr>
      <w:rFonts w:asciiTheme="majorBidi" w:hAnsiTheme="majorBidi"/>
      <w:sz w:val="24"/>
    </w:rPr>
  </w:style>
  <w:style w:type="paragraph" w:styleId="Footer">
    <w:name w:val="footer"/>
    <w:basedOn w:val="Normal"/>
    <w:link w:val="FooterChar"/>
    <w:uiPriority w:val="99"/>
    <w:unhideWhenUsed/>
    <w:rsid w:val="00CC4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32A"/>
    <w:rPr>
      <w:rFonts w:asciiTheme="majorBidi" w:hAnsiTheme="majorBidi"/>
      <w:sz w:val="24"/>
    </w:rPr>
  </w:style>
  <w:style w:type="character" w:styleId="CommentReference">
    <w:name w:val="annotation reference"/>
    <w:basedOn w:val="DefaultParagraphFont"/>
    <w:uiPriority w:val="99"/>
    <w:semiHidden/>
    <w:unhideWhenUsed/>
    <w:rsid w:val="00E36AE2"/>
    <w:rPr>
      <w:sz w:val="16"/>
      <w:szCs w:val="16"/>
    </w:rPr>
  </w:style>
  <w:style w:type="paragraph" w:styleId="CommentText">
    <w:name w:val="annotation text"/>
    <w:basedOn w:val="Normal"/>
    <w:link w:val="CommentTextChar"/>
    <w:uiPriority w:val="99"/>
    <w:unhideWhenUsed/>
    <w:rsid w:val="00E36AE2"/>
    <w:pPr>
      <w:spacing w:line="240" w:lineRule="auto"/>
    </w:pPr>
    <w:rPr>
      <w:sz w:val="20"/>
      <w:szCs w:val="20"/>
    </w:rPr>
  </w:style>
  <w:style w:type="character" w:customStyle="1" w:styleId="CommentTextChar">
    <w:name w:val="Comment Text Char"/>
    <w:basedOn w:val="DefaultParagraphFont"/>
    <w:link w:val="CommentText"/>
    <w:uiPriority w:val="99"/>
    <w:rsid w:val="00E36AE2"/>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E36AE2"/>
    <w:rPr>
      <w:b/>
      <w:bCs/>
    </w:rPr>
  </w:style>
  <w:style w:type="character" w:customStyle="1" w:styleId="CommentSubjectChar">
    <w:name w:val="Comment Subject Char"/>
    <w:basedOn w:val="CommentTextChar"/>
    <w:link w:val="CommentSubject"/>
    <w:uiPriority w:val="99"/>
    <w:semiHidden/>
    <w:rsid w:val="00E36AE2"/>
    <w:rPr>
      <w:rFonts w:asciiTheme="majorBidi" w:hAnsiTheme="majorBidi"/>
      <w:b/>
      <w:bCs/>
      <w:sz w:val="20"/>
      <w:szCs w:val="20"/>
    </w:rPr>
  </w:style>
  <w:style w:type="character" w:styleId="FollowedHyperlink">
    <w:name w:val="FollowedHyperlink"/>
    <w:basedOn w:val="DefaultParagraphFont"/>
    <w:uiPriority w:val="99"/>
    <w:semiHidden/>
    <w:unhideWhenUsed/>
    <w:rsid w:val="00120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014">
      <w:bodyDiv w:val="1"/>
      <w:marLeft w:val="0"/>
      <w:marRight w:val="0"/>
      <w:marTop w:val="0"/>
      <w:marBottom w:val="0"/>
      <w:divBdr>
        <w:top w:val="none" w:sz="0" w:space="0" w:color="auto"/>
        <w:left w:val="none" w:sz="0" w:space="0" w:color="auto"/>
        <w:bottom w:val="none" w:sz="0" w:space="0" w:color="auto"/>
        <w:right w:val="none" w:sz="0" w:space="0" w:color="auto"/>
      </w:divBdr>
    </w:div>
    <w:div w:id="723719648">
      <w:bodyDiv w:val="1"/>
      <w:marLeft w:val="0"/>
      <w:marRight w:val="0"/>
      <w:marTop w:val="0"/>
      <w:marBottom w:val="0"/>
      <w:divBdr>
        <w:top w:val="none" w:sz="0" w:space="0" w:color="auto"/>
        <w:left w:val="none" w:sz="0" w:space="0" w:color="auto"/>
        <w:bottom w:val="none" w:sz="0" w:space="0" w:color="auto"/>
        <w:right w:val="none" w:sz="0" w:space="0" w:color="auto"/>
      </w:divBdr>
    </w:div>
    <w:div w:id="782110278">
      <w:bodyDiv w:val="1"/>
      <w:marLeft w:val="0"/>
      <w:marRight w:val="0"/>
      <w:marTop w:val="0"/>
      <w:marBottom w:val="0"/>
      <w:divBdr>
        <w:top w:val="none" w:sz="0" w:space="0" w:color="auto"/>
        <w:left w:val="none" w:sz="0" w:space="0" w:color="auto"/>
        <w:bottom w:val="none" w:sz="0" w:space="0" w:color="auto"/>
        <w:right w:val="none" w:sz="0" w:space="0" w:color="auto"/>
      </w:divBdr>
    </w:div>
    <w:div w:id="1273048688">
      <w:bodyDiv w:val="1"/>
      <w:marLeft w:val="0"/>
      <w:marRight w:val="0"/>
      <w:marTop w:val="0"/>
      <w:marBottom w:val="0"/>
      <w:divBdr>
        <w:top w:val="none" w:sz="0" w:space="0" w:color="auto"/>
        <w:left w:val="none" w:sz="0" w:space="0" w:color="auto"/>
        <w:bottom w:val="none" w:sz="0" w:space="0" w:color="auto"/>
        <w:right w:val="none" w:sz="0" w:space="0" w:color="auto"/>
      </w:divBdr>
    </w:div>
    <w:div w:id="2050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liaman@cbl.gov.l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sdb.org/project-procurement/sites/pproc/files/media/documents/Guidelines%20for%20the%20Procurement%20of%20Consultancy%20Services%20under%20IsDB%20Project%20Financing_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bl.gov.ly"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746</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Mehmet Eken</cp:lastModifiedBy>
  <cp:revision>7</cp:revision>
  <cp:lastPrinted>2025-09-11T09:44:00Z</cp:lastPrinted>
  <dcterms:created xsi:type="dcterms:W3CDTF">2025-11-11T18:47:00Z</dcterms:created>
  <dcterms:modified xsi:type="dcterms:W3CDTF">2025-11-12T11:34:00Z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f10fcbc9-1655-4c87-96b0-d44a380d90b3</vt:lpwstr>
  </property>
  <property fmtid="{D5CDD505-2E9C-101B-9397-08002B2CF9AE}" pid="3" name="ClassificationContentMarkingHeaderShapeIds">
    <vt:lpwstr>7dd6ace5,52149ddb,3030c459</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2025-09-30T10:16:07Z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9cef633b-7515-4ad5-9c6b-97c1d57cc637</vt:lpwstr>
  </property>
  <property fmtid="{D5CDD505-2E9C-101B-9397-08002B2CF9AE}" pid="12" name="MSIP_Label_9ef4adf7-25a7-4f52-a61a-df7190f1d881_ContentBits">
    <vt:lpwstr>1</vt:lpwstr>
  </property>
  <property fmtid="{D5CDD505-2E9C-101B-9397-08002B2CF9AE}" pid="13" name="MSIP_Label_9ef4adf7-25a7-4f52-a61a-df7190f1d881_Tag">
    <vt:lpwstr>10, 3, 0, 1</vt:lpwstr>
  </property>
</Properties>
</file>