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6D21" w14:textId="77777777" w:rsidR="005130C3" w:rsidRDefault="005130C3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GENERAL PROCUREMENT NOTICE</w:t>
      </w:r>
    </w:p>
    <w:p w14:paraId="7C1654F0" w14:textId="77777777" w:rsidR="005130C3" w:rsidRDefault="005130C3">
      <w:pPr>
        <w:suppressAutoHyphens/>
        <w:rPr>
          <w:rFonts w:ascii="Times New Roman" w:hAnsi="Times New Roman"/>
          <w:spacing w:val="-2"/>
        </w:rPr>
      </w:pPr>
    </w:p>
    <w:p w14:paraId="64F45233" w14:textId="77777777" w:rsidR="00DF1A24" w:rsidRPr="00FB6F6D" w:rsidRDefault="00DF1A24" w:rsidP="00DF1A24">
      <w:pPr>
        <w:suppressAutoHyphens/>
        <w:rPr>
          <w:rFonts w:ascii="Times New Roman" w:hAnsi="Times New Roman"/>
          <w:spacing w:val="-2"/>
          <w:sz w:val="24"/>
          <w:szCs w:val="24"/>
        </w:rPr>
      </w:pPr>
      <w:r w:rsidRPr="00FB6F6D">
        <w:rPr>
          <w:rFonts w:ascii="Times New Roman" w:hAnsi="Times New Roman"/>
          <w:spacing w:val="-2"/>
          <w:sz w:val="24"/>
          <w:szCs w:val="24"/>
        </w:rPr>
        <w:t>REPUBLIC OF TÜRKİYE</w:t>
      </w:r>
    </w:p>
    <w:p w14:paraId="75B61879" w14:textId="68123062" w:rsidR="00DF1A24" w:rsidRPr="00FB6F6D" w:rsidRDefault="00DF1A24" w:rsidP="00DF1A24">
      <w:pPr>
        <w:suppressAutoHyphens/>
        <w:rPr>
          <w:rFonts w:ascii="Times New Roman" w:hAnsi="Times New Roman"/>
          <w:spacing w:val="-2"/>
          <w:sz w:val="24"/>
          <w:szCs w:val="24"/>
        </w:rPr>
      </w:pPr>
      <w:r w:rsidRPr="00FB6F6D">
        <w:rPr>
          <w:rFonts w:ascii="Times New Roman" w:hAnsi="Times New Roman"/>
          <w:spacing w:val="-2"/>
          <w:sz w:val="24"/>
          <w:szCs w:val="24"/>
        </w:rPr>
        <w:t>MUNICIPAL INFRASTRUCTURE FOR RECOVERY AND RESILIENCE PROJECT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350B4534" w14:textId="5181EF26" w:rsidR="005F40FB" w:rsidRPr="00B96F14" w:rsidRDefault="00DF1A24" w:rsidP="003818BD">
      <w:pPr>
        <w:suppressAutoHyphens/>
        <w:rPr>
          <w:rFonts w:ascii="Times New Roman" w:hAnsi="Times New Roman"/>
          <w:spacing w:val="-2"/>
          <w:sz w:val="24"/>
        </w:rPr>
      </w:pPr>
      <w:r w:rsidRPr="00FB6F6D">
        <w:rPr>
          <w:rFonts w:ascii="Times New Roman" w:hAnsi="Times New Roman"/>
          <w:spacing w:val="-2"/>
          <w:sz w:val="24"/>
          <w:szCs w:val="24"/>
        </w:rPr>
        <w:t xml:space="preserve">WATER, WASTEWATER, SOLID WASTE AND </w:t>
      </w:r>
      <w:r w:rsidRPr="00C00D1F">
        <w:rPr>
          <w:rFonts w:ascii="Times New Roman" w:hAnsi="Times New Roman"/>
          <w:spacing w:val="-2"/>
          <w:sz w:val="24"/>
          <w:szCs w:val="24"/>
        </w:rPr>
        <w:t>TRANSPORT</w:t>
      </w:r>
      <w:r w:rsidRPr="00FB6F6D">
        <w:rPr>
          <w:rFonts w:ascii="Times New Roman" w:hAnsi="Times New Roman"/>
          <w:spacing w:val="-2"/>
          <w:sz w:val="24"/>
          <w:szCs w:val="24"/>
        </w:rPr>
        <w:t xml:space="preserve"> SECTORS</w:t>
      </w:r>
      <w:r w:rsidRPr="00B96F14">
        <w:rPr>
          <w:rFonts w:ascii="Times New Roman" w:hAnsi="Times New Roman"/>
          <w:spacing w:val="-2"/>
          <w:sz w:val="24"/>
        </w:rPr>
        <w:t xml:space="preserve"> </w:t>
      </w:r>
      <w:r w:rsidR="005F40FB" w:rsidRPr="00B96F14">
        <w:rPr>
          <w:rFonts w:ascii="Times New Roman" w:hAnsi="Times New Roman"/>
          <w:spacing w:val="-2"/>
          <w:sz w:val="24"/>
        </w:rPr>
        <w:t>GENERAL PROCUREMENT NOTICE</w:t>
      </w:r>
    </w:p>
    <w:p w14:paraId="6487A1BE" w14:textId="77777777" w:rsidR="00DF1A24" w:rsidRDefault="005F40FB" w:rsidP="003818BD">
      <w:pPr>
        <w:pStyle w:val="GvdeMetni"/>
        <w:rPr>
          <w:rFonts w:ascii="Times New Roman" w:hAnsi="Times New Roman"/>
          <w:szCs w:val="24"/>
        </w:rPr>
      </w:pPr>
      <w:r w:rsidRPr="00B96F14">
        <w:rPr>
          <w:rFonts w:ascii="Times New Roman" w:hAnsi="Times New Roman"/>
          <w:szCs w:val="24"/>
        </w:rPr>
        <w:t xml:space="preserve">Mode of Financing: </w:t>
      </w:r>
      <w:r w:rsidR="00DF1A24" w:rsidRPr="00307CDC">
        <w:rPr>
          <w:rFonts w:ascii="Times New Roman" w:hAnsi="Times New Roman"/>
          <w:szCs w:val="24"/>
        </w:rPr>
        <w:t>INSTALMENT SALE</w:t>
      </w:r>
      <w:r w:rsidR="00DF1A24" w:rsidRPr="00B96F14">
        <w:rPr>
          <w:rFonts w:ascii="Times New Roman" w:hAnsi="Times New Roman"/>
          <w:szCs w:val="24"/>
        </w:rPr>
        <w:t xml:space="preserve"> </w:t>
      </w:r>
    </w:p>
    <w:p w14:paraId="7171FF24" w14:textId="168B7987" w:rsidR="005F40FB" w:rsidRPr="00B96F14" w:rsidRDefault="005F40FB" w:rsidP="003818BD">
      <w:pPr>
        <w:pStyle w:val="GvdeMetni"/>
        <w:rPr>
          <w:rFonts w:ascii="Times New Roman" w:hAnsi="Times New Roman"/>
          <w:szCs w:val="24"/>
        </w:rPr>
      </w:pPr>
      <w:r w:rsidRPr="00B96F14">
        <w:rPr>
          <w:rFonts w:ascii="Times New Roman" w:hAnsi="Times New Roman"/>
          <w:szCs w:val="24"/>
        </w:rPr>
        <w:t xml:space="preserve">Financing No. </w:t>
      </w:r>
      <w:r w:rsidR="00DF1A24" w:rsidRPr="00FB6F6D">
        <w:rPr>
          <w:rFonts w:ascii="Times New Roman" w:hAnsi="Times New Roman"/>
          <w:szCs w:val="24"/>
        </w:rPr>
        <w:t>TUR-1066</w:t>
      </w:r>
    </w:p>
    <w:p w14:paraId="3D560848" w14:textId="77777777" w:rsidR="005130C3" w:rsidRPr="00B96F14" w:rsidRDefault="005130C3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14:paraId="2E6EA941" w14:textId="77777777" w:rsidR="00C00D1F" w:rsidRDefault="005130C3" w:rsidP="00C12FE6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96F14">
        <w:rPr>
          <w:rFonts w:ascii="Times New Roman" w:hAnsi="Times New Roman"/>
          <w:spacing w:val="-2"/>
          <w:sz w:val="24"/>
        </w:rPr>
        <w:t xml:space="preserve">The </w:t>
      </w:r>
      <w:r w:rsidR="00DF1A24">
        <w:rPr>
          <w:rFonts w:ascii="Times New Roman" w:hAnsi="Times New Roman"/>
          <w:spacing w:val="-2"/>
          <w:sz w:val="24"/>
        </w:rPr>
        <w:t>Republic of Türkiye - Ministry of Treasury and Finance</w:t>
      </w:r>
      <w:r w:rsidRPr="00B96F14">
        <w:rPr>
          <w:rFonts w:ascii="Times New Roman" w:hAnsi="Times New Roman"/>
          <w:spacing w:val="-2"/>
          <w:sz w:val="24"/>
        </w:rPr>
        <w:t xml:space="preserve"> </w:t>
      </w:r>
      <w:r w:rsidR="00DF1A24" w:rsidRPr="001F7973">
        <w:rPr>
          <w:rFonts w:ascii="Times New Roman" w:hAnsi="Times New Roman"/>
          <w:spacing w:val="-2"/>
          <w:sz w:val="24"/>
        </w:rPr>
        <w:t>has received</w:t>
      </w:r>
      <w:r w:rsidR="00DF1A24" w:rsidRPr="00B96F14">
        <w:rPr>
          <w:rFonts w:ascii="Times New Roman" w:hAnsi="Times New Roman"/>
          <w:iCs/>
          <w:spacing w:val="-2"/>
          <w:sz w:val="24"/>
        </w:rPr>
        <w:t xml:space="preserve"> financing </w:t>
      </w:r>
      <w:r w:rsidR="00DF1A24" w:rsidRPr="00B96F14">
        <w:rPr>
          <w:rFonts w:ascii="Times New Roman" w:hAnsi="Times New Roman"/>
          <w:spacing w:val="-2"/>
          <w:sz w:val="24"/>
        </w:rPr>
        <w:t xml:space="preserve">in the amount of </w:t>
      </w:r>
      <w:r w:rsidR="00DF1A24" w:rsidRPr="00724BE0">
        <w:rPr>
          <w:rFonts w:ascii="Times New Roman" w:hAnsi="Times New Roman"/>
          <w:b/>
          <w:bCs/>
          <w:iCs/>
          <w:spacing w:val="-2"/>
          <w:sz w:val="24"/>
        </w:rPr>
        <w:t>EUR 150,000,000.00</w:t>
      </w:r>
      <w:r w:rsidR="00DF1A24" w:rsidRPr="00B96F14">
        <w:rPr>
          <w:rFonts w:ascii="Times New Roman" w:hAnsi="Times New Roman"/>
          <w:spacing w:val="-2"/>
          <w:sz w:val="24"/>
        </w:rPr>
        <w:t xml:space="preserve"> equivalent </w:t>
      </w:r>
      <w:r w:rsidRPr="00B96F14">
        <w:rPr>
          <w:rFonts w:ascii="Times New Roman" w:hAnsi="Times New Roman"/>
          <w:spacing w:val="-2"/>
          <w:sz w:val="24"/>
        </w:rPr>
        <w:t xml:space="preserve">from the </w:t>
      </w:r>
      <w:r w:rsidR="00DF62EB" w:rsidRPr="00B96F14">
        <w:rPr>
          <w:rFonts w:ascii="Times New Roman" w:hAnsi="Times New Roman"/>
          <w:spacing w:val="-2"/>
          <w:sz w:val="24"/>
        </w:rPr>
        <w:t>Islamic Development</w:t>
      </w:r>
      <w:r w:rsidRPr="00B96F14">
        <w:rPr>
          <w:rFonts w:ascii="Times New Roman" w:hAnsi="Times New Roman"/>
          <w:spacing w:val="-2"/>
          <w:sz w:val="24"/>
        </w:rPr>
        <w:t xml:space="preserve"> Bank toward the cost of the </w:t>
      </w:r>
      <w:r w:rsidR="00DF1A24" w:rsidRPr="001F7973">
        <w:rPr>
          <w:rFonts w:ascii="Times New Roman" w:hAnsi="Times New Roman"/>
          <w:spacing w:val="-2"/>
          <w:sz w:val="24"/>
        </w:rPr>
        <w:t xml:space="preserve">Municipal Infrastructure </w:t>
      </w:r>
      <w:r w:rsidR="00DF1A24">
        <w:rPr>
          <w:rFonts w:ascii="Times New Roman" w:hAnsi="Times New Roman"/>
          <w:spacing w:val="-2"/>
          <w:sz w:val="24"/>
        </w:rPr>
        <w:t>f</w:t>
      </w:r>
      <w:r w:rsidR="00DF1A24" w:rsidRPr="001F7973">
        <w:rPr>
          <w:rFonts w:ascii="Times New Roman" w:hAnsi="Times New Roman"/>
          <w:spacing w:val="-2"/>
          <w:sz w:val="24"/>
        </w:rPr>
        <w:t xml:space="preserve">or Recovery </w:t>
      </w:r>
      <w:r w:rsidR="00DF1A24">
        <w:rPr>
          <w:rFonts w:ascii="Times New Roman" w:hAnsi="Times New Roman"/>
          <w:spacing w:val="-2"/>
          <w:sz w:val="24"/>
        </w:rPr>
        <w:t>a</w:t>
      </w:r>
      <w:r w:rsidR="00DF1A24" w:rsidRPr="001F7973">
        <w:rPr>
          <w:rFonts w:ascii="Times New Roman" w:hAnsi="Times New Roman"/>
          <w:spacing w:val="-2"/>
          <w:sz w:val="24"/>
        </w:rPr>
        <w:t>nd Resilience Project</w:t>
      </w:r>
      <w:r w:rsidR="00DF1A24">
        <w:rPr>
          <w:rFonts w:ascii="Times New Roman" w:hAnsi="Times New Roman"/>
          <w:spacing w:val="-2"/>
          <w:sz w:val="24"/>
        </w:rPr>
        <w:t xml:space="preserve"> - Operation - 1</w:t>
      </w:r>
      <w:r w:rsidRPr="00B96F14">
        <w:rPr>
          <w:rFonts w:ascii="Times New Roman" w:hAnsi="Times New Roman"/>
          <w:spacing w:val="-2"/>
          <w:sz w:val="24"/>
        </w:rPr>
        <w:t>, and it intends to apply part of the proceeds to payments for goods, works, related services and consulting services to be procured under this project.</w:t>
      </w:r>
    </w:p>
    <w:p w14:paraId="2FC54488" w14:textId="77777777" w:rsidR="00C00D1F" w:rsidRDefault="00C00D1F" w:rsidP="00C12FE6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88883E8" w14:textId="2D43205A" w:rsidR="005130C3" w:rsidRPr="00B96F14" w:rsidRDefault="00C00D1F" w:rsidP="00C12FE6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96F14">
        <w:rPr>
          <w:rFonts w:ascii="Times New Roman" w:hAnsi="Times New Roman"/>
          <w:spacing w:val="-2"/>
          <w:sz w:val="24"/>
        </w:rPr>
        <w:t xml:space="preserve">The </w:t>
      </w:r>
      <w:proofErr w:type="spellStart"/>
      <w:r>
        <w:rPr>
          <w:rFonts w:ascii="Times New Roman" w:hAnsi="Times New Roman"/>
          <w:spacing w:val="-2"/>
          <w:sz w:val="24"/>
        </w:rPr>
        <w:t>İller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Bankası</w:t>
      </w:r>
      <w:proofErr w:type="spellEnd"/>
      <w:r w:rsidR="003938E5">
        <w:rPr>
          <w:rFonts w:ascii="Times New Roman" w:hAnsi="Times New Roman"/>
          <w:spacing w:val="-2"/>
          <w:sz w:val="24"/>
        </w:rPr>
        <w:t xml:space="preserve"> A.Ş.</w:t>
      </w:r>
      <w:r w:rsidRPr="00B96F14">
        <w:rPr>
          <w:rFonts w:ascii="Times New Roman" w:hAnsi="Times New Roman"/>
          <w:spacing w:val="-2"/>
          <w:sz w:val="24"/>
        </w:rPr>
        <w:t xml:space="preserve"> </w:t>
      </w:r>
      <w:r w:rsidRPr="001F7973">
        <w:rPr>
          <w:rFonts w:ascii="Times New Roman" w:hAnsi="Times New Roman"/>
          <w:spacing w:val="-2"/>
          <w:sz w:val="24"/>
        </w:rPr>
        <w:t>has received</w:t>
      </w:r>
      <w:r w:rsidRPr="00B96F14">
        <w:rPr>
          <w:rFonts w:ascii="Times New Roman" w:hAnsi="Times New Roman"/>
          <w:iCs/>
          <w:spacing w:val="-2"/>
          <w:sz w:val="24"/>
        </w:rPr>
        <w:t xml:space="preserve"> financing </w:t>
      </w:r>
      <w:r w:rsidRPr="00B96F14">
        <w:rPr>
          <w:rFonts w:ascii="Times New Roman" w:hAnsi="Times New Roman"/>
          <w:spacing w:val="-2"/>
          <w:sz w:val="24"/>
        </w:rPr>
        <w:t xml:space="preserve">in the amount of </w:t>
      </w:r>
      <w:r w:rsidRPr="00724BE0">
        <w:rPr>
          <w:rFonts w:ascii="Times New Roman" w:hAnsi="Times New Roman"/>
          <w:b/>
          <w:bCs/>
          <w:iCs/>
          <w:spacing w:val="-2"/>
          <w:sz w:val="24"/>
        </w:rPr>
        <w:t>EUR 50,000,000.00</w:t>
      </w:r>
      <w:r w:rsidRPr="00B96F14">
        <w:rPr>
          <w:rFonts w:ascii="Times New Roman" w:hAnsi="Times New Roman"/>
          <w:spacing w:val="-2"/>
          <w:sz w:val="24"/>
        </w:rPr>
        <w:t xml:space="preserve"> equivalent from the Islamic Development Bank toward the cost of the </w:t>
      </w:r>
      <w:r w:rsidRPr="001F7973">
        <w:rPr>
          <w:rFonts w:ascii="Times New Roman" w:hAnsi="Times New Roman"/>
          <w:spacing w:val="-2"/>
          <w:sz w:val="24"/>
        </w:rPr>
        <w:t xml:space="preserve">Municipal Infrastructure </w:t>
      </w:r>
      <w:r>
        <w:rPr>
          <w:rFonts w:ascii="Times New Roman" w:hAnsi="Times New Roman"/>
          <w:spacing w:val="-2"/>
          <w:sz w:val="24"/>
        </w:rPr>
        <w:t>f</w:t>
      </w:r>
      <w:r w:rsidRPr="001F7973">
        <w:rPr>
          <w:rFonts w:ascii="Times New Roman" w:hAnsi="Times New Roman"/>
          <w:spacing w:val="-2"/>
          <w:sz w:val="24"/>
        </w:rPr>
        <w:t xml:space="preserve">or Recovery </w:t>
      </w:r>
      <w:r>
        <w:rPr>
          <w:rFonts w:ascii="Times New Roman" w:hAnsi="Times New Roman"/>
          <w:spacing w:val="-2"/>
          <w:sz w:val="24"/>
        </w:rPr>
        <w:t>a</w:t>
      </w:r>
      <w:r w:rsidRPr="001F7973">
        <w:rPr>
          <w:rFonts w:ascii="Times New Roman" w:hAnsi="Times New Roman"/>
          <w:spacing w:val="-2"/>
          <w:sz w:val="24"/>
        </w:rPr>
        <w:t>nd Resilience Project</w:t>
      </w:r>
      <w:r>
        <w:rPr>
          <w:rFonts w:ascii="Times New Roman" w:hAnsi="Times New Roman"/>
          <w:spacing w:val="-2"/>
          <w:sz w:val="24"/>
        </w:rPr>
        <w:t xml:space="preserve"> - Operation - 2</w:t>
      </w:r>
      <w:r w:rsidRPr="00B96F14">
        <w:rPr>
          <w:rFonts w:ascii="Times New Roman" w:hAnsi="Times New Roman"/>
          <w:spacing w:val="-2"/>
          <w:sz w:val="24"/>
        </w:rPr>
        <w:t xml:space="preserve">, and it intends to apply part of the proceeds to payments for goods, works, related services and consulting services to be procured under this project. </w:t>
      </w:r>
    </w:p>
    <w:p w14:paraId="18391547" w14:textId="77777777" w:rsidR="005130C3" w:rsidRPr="00B96F14" w:rsidRDefault="005130C3" w:rsidP="0065085F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DEF6212" w14:textId="77777777" w:rsidR="00DF1A24" w:rsidRDefault="005130C3" w:rsidP="0065085F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96F14">
        <w:rPr>
          <w:rFonts w:ascii="Times New Roman" w:hAnsi="Times New Roman"/>
          <w:spacing w:val="-2"/>
          <w:sz w:val="24"/>
        </w:rPr>
        <w:t xml:space="preserve">The project will include the following components </w:t>
      </w:r>
    </w:p>
    <w:p w14:paraId="4392263A" w14:textId="77777777" w:rsidR="00DF1A24" w:rsidRPr="00FB6F6D" w:rsidRDefault="00DF1A24" w:rsidP="00DF1A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FB6F6D">
        <w:rPr>
          <w:rFonts w:ascii="Times New Roman" w:hAnsi="Times New Roman"/>
          <w:b/>
          <w:bCs/>
          <w:spacing w:val="-2"/>
          <w:sz w:val="24"/>
        </w:rPr>
        <w:t>Component A – Environmental Infrastructure Investments:</w:t>
      </w:r>
      <w:r w:rsidRPr="00FB6F6D">
        <w:rPr>
          <w:rFonts w:ascii="Times New Roman" w:hAnsi="Times New Roman"/>
          <w:spacing w:val="-2"/>
          <w:sz w:val="24"/>
        </w:rPr>
        <w:t xml:space="preserve"> financing investments in water, sanitation, wastewater, stormwater drainage, and solid waste management sectors with a focus on resilience against seismic and climate-related risks. These investments include construction or reconstruction of infrastructure and purchase of equipment and machinery.</w:t>
      </w:r>
    </w:p>
    <w:p w14:paraId="58D1692B" w14:textId="77777777" w:rsidR="00DF1A24" w:rsidRPr="00FB6F6D" w:rsidRDefault="00DF1A24" w:rsidP="00DF1A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FB6F6D">
        <w:rPr>
          <w:rFonts w:ascii="Times New Roman" w:hAnsi="Times New Roman"/>
          <w:b/>
          <w:bCs/>
          <w:spacing w:val="-2"/>
          <w:sz w:val="24"/>
        </w:rPr>
        <w:t>Component B – Sustainable Urban Mobility Investments:</w:t>
      </w:r>
      <w:r w:rsidRPr="00FB6F6D">
        <w:rPr>
          <w:rFonts w:ascii="Times New Roman" w:hAnsi="Times New Roman"/>
          <w:spacing w:val="-2"/>
          <w:sz w:val="24"/>
        </w:rPr>
        <w:t xml:space="preserve"> financing investments in sustainable urban transport such as purchasing of low-carbon vehicles (tramway/train vehicles, electric buses), creation of sub-structures (bus lanes, railway lines), development of non-motorized services (pedestrian, cycling), adoption of smart mobility technologies emphasizing on resilience and accessibility.</w:t>
      </w:r>
    </w:p>
    <w:p w14:paraId="74BC7840" w14:textId="77777777" w:rsidR="00DF1A24" w:rsidRPr="00FB6F6D" w:rsidRDefault="00DF1A24" w:rsidP="00DF1A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FB6F6D">
        <w:rPr>
          <w:rFonts w:ascii="Times New Roman" w:hAnsi="Times New Roman"/>
          <w:b/>
          <w:bCs/>
          <w:spacing w:val="-2"/>
          <w:sz w:val="24"/>
        </w:rPr>
        <w:t>Component C – Technical Expertise for Studies and Supervision:</w:t>
      </w:r>
      <w:r w:rsidRPr="00FB6F6D">
        <w:rPr>
          <w:rFonts w:ascii="Times New Roman" w:hAnsi="Times New Roman"/>
          <w:spacing w:val="-2"/>
          <w:sz w:val="24"/>
        </w:rPr>
        <w:t xml:space="preserve"> supporting consultancy services for design reviews, preparation of bidding documents and supervision of works (C.1) and studies related to Environmental and Social Safeguards (C.2).</w:t>
      </w:r>
    </w:p>
    <w:p w14:paraId="7D5E2316" w14:textId="77777777" w:rsidR="00DF1A24" w:rsidRPr="00FB6F6D" w:rsidRDefault="00DF1A24" w:rsidP="00DF1A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FB6F6D">
        <w:rPr>
          <w:rFonts w:ascii="Times New Roman" w:hAnsi="Times New Roman"/>
          <w:b/>
          <w:bCs/>
          <w:spacing w:val="-2"/>
          <w:sz w:val="24"/>
        </w:rPr>
        <w:t>Component D – Project Management Support, Technical Assistance and Capacity Building:</w:t>
      </w:r>
      <w:r w:rsidRPr="00FB6F6D">
        <w:rPr>
          <w:rFonts w:ascii="Times New Roman" w:hAnsi="Times New Roman"/>
          <w:spacing w:val="-2"/>
          <w:sz w:val="24"/>
        </w:rPr>
        <w:t xml:space="preserve"> assisting project management with staffing, equipment and upgrading of information systems (D1), launching project implementation and supporting Communication and Visibility (C&amp;V) (D2), building capacity of EA and beneficiaries in mainstreaming “Build Back Better” principles, awareness of environmental and social safeguards, and disaster management practices (D3); and developing Interest-free (Shariah-compliant) financing products while ensuring compliance with Turkish regulations with support from </w:t>
      </w:r>
      <w:proofErr w:type="spellStart"/>
      <w:r w:rsidRPr="00FB6F6D">
        <w:rPr>
          <w:rFonts w:ascii="Times New Roman" w:hAnsi="Times New Roman"/>
          <w:spacing w:val="-2"/>
          <w:sz w:val="24"/>
        </w:rPr>
        <w:t>IsDB</w:t>
      </w:r>
      <w:proofErr w:type="spellEnd"/>
      <w:r w:rsidRPr="00FB6F6D">
        <w:rPr>
          <w:rFonts w:ascii="Times New Roman" w:hAnsi="Times New Roman"/>
          <w:spacing w:val="-2"/>
          <w:sz w:val="24"/>
        </w:rPr>
        <w:t xml:space="preserve"> Institute (</w:t>
      </w:r>
      <w:proofErr w:type="spellStart"/>
      <w:r w:rsidRPr="00FB6F6D">
        <w:rPr>
          <w:rFonts w:ascii="Times New Roman" w:hAnsi="Times New Roman"/>
          <w:spacing w:val="-2"/>
          <w:sz w:val="24"/>
        </w:rPr>
        <w:t>IsDBI</w:t>
      </w:r>
      <w:proofErr w:type="spellEnd"/>
      <w:r w:rsidRPr="00FB6F6D">
        <w:rPr>
          <w:rFonts w:ascii="Times New Roman" w:hAnsi="Times New Roman"/>
          <w:spacing w:val="-2"/>
          <w:sz w:val="24"/>
        </w:rPr>
        <w:t>) to be provided separately from the subject project (D4).</w:t>
      </w:r>
    </w:p>
    <w:p w14:paraId="1F74FC4E" w14:textId="77777777" w:rsidR="00DF1A24" w:rsidRPr="00FB6F6D" w:rsidRDefault="00DF1A24" w:rsidP="00DF1A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FB6F6D">
        <w:rPr>
          <w:rFonts w:ascii="Times New Roman" w:hAnsi="Times New Roman"/>
          <w:b/>
          <w:bCs/>
          <w:spacing w:val="-2"/>
          <w:sz w:val="24"/>
        </w:rPr>
        <w:t>Component E – Financial Audit:</w:t>
      </w:r>
      <w:r w:rsidRPr="00FB6F6D">
        <w:rPr>
          <w:rFonts w:ascii="Times New Roman" w:hAnsi="Times New Roman"/>
          <w:spacing w:val="-2"/>
          <w:sz w:val="24"/>
        </w:rPr>
        <w:t xml:space="preserve"> supporting services to ensure compliance with audit requirements of the project (both on annual basis and for replenishments of the Special Accounts). </w:t>
      </w:r>
    </w:p>
    <w:p w14:paraId="60F20EE5" w14:textId="76A3AF37" w:rsidR="005130C3" w:rsidRDefault="00DF1A24" w:rsidP="00DF1A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FB6F6D">
        <w:rPr>
          <w:rFonts w:ascii="Times New Roman" w:hAnsi="Times New Roman"/>
          <w:b/>
          <w:bCs/>
          <w:spacing w:val="-2"/>
          <w:sz w:val="24"/>
        </w:rPr>
        <w:t>Component F – Contingency Emergency Response Component:</w:t>
      </w:r>
      <w:r w:rsidRPr="00FB6F6D">
        <w:rPr>
          <w:rFonts w:ascii="Times New Roman" w:hAnsi="Times New Roman"/>
          <w:spacing w:val="-2"/>
          <w:sz w:val="24"/>
        </w:rPr>
        <w:t xml:space="preserve"> A zero-value component for emergency response to disasters or pandemics</w:t>
      </w:r>
      <w:r>
        <w:rPr>
          <w:rFonts w:ascii="Times New Roman" w:hAnsi="Times New Roman"/>
          <w:spacing w:val="-2"/>
          <w:sz w:val="24"/>
        </w:rPr>
        <w:t>.</w:t>
      </w:r>
    </w:p>
    <w:p w14:paraId="413259AF" w14:textId="77777777" w:rsidR="005130C3" w:rsidRDefault="005130C3" w:rsidP="0065085F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43A75708" w14:textId="7BCB5893" w:rsidR="005130C3" w:rsidRPr="00F73B69" w:rsidRDefault="005130C3" w:rsidP="0065085F">
      <w:pPr>
        <w:suppressAutoHyphens/>
        <w:jc w:val="both"/>
        <w:rPr>
          <w:rFonts w:ascii="Times New Roman" w:hAnsi="Times New Roman"/>
          <w:i/>
          <w:spacing w:val="-2"/>
          <w:sz w:val="24"/>
        </w:rPr>
      </w:pPr>
      <w:r w:rsidRPr="00F73B69">
        <w:rPr>
          <w:rFonts w:ascii="Times New Roman" w:hAnsi="Times New Roman"/>
          <w:spacing w:val="-2"/>
          <w:sz w:val="24"/>
        </w:rPr>
        <w:t xml:space="preserve">Procurement of contracts financed by the </w:t>
      </w:r>
      <w:r w:rsidR="00DF62EB" w:rsidRPr="00F73B69">
        <w:rPr>
          <w:rFonts w:ascii="Times New Roman" w:hAnsi="Times New Roman"/>
          <w:spacing w:val="-2"/>
          <w:sz w:val="24"/>
        </w:rPr>
        <w:t>Islamic Development</w:t>
      </w:r>
      <w:r w:rsidRPr="00F73B69">
        <w:rPr>
          <w:rFonts w:ascii="Times New Roman" w:hAnsi="Times New Roman"/>
          <w:spacing w:val="-2"/>
          <w:sz w:val="24"/>
        </w:rPr>
        <w:t xml:space="preserve"> Bank will be conducted through the procedures as specified in the </w:t>
      </w:r>
      <w:r w:rsidR="00202037" w:rsidRPr="00F73B69">
        <w:rPr>
          <w:i/>
          <w:iCs/>
          <w:szCs w:val="22"/>
        </w:rPr>
        <w:t>Guidelines for the Procurement of Goods, Works and Related Services under Islamic Development Bank Project Financing</w:t>
      </w:r>
      <w:r w:rsidR="00202037" w:rsidRPr="00F73B69">
        <w:rPr>
          <w:szCs w:val="22"/>
        </w:rPr>
        <w:t xml:space="preserve"> (April 2019 edition, amended from time to time), and is open to all eligible bidders as defined in the guidelines. Consulting services will be selected in accordance with the </w:t>
      </w:r>
      <w:r w:rsidR="00202037" w:rsidRPr="00F73B69">
        <w:rPr>
          <w:i/>
          <w:iCs/>
          <w:szCs w:val="22"/>
        </w:rPr>
        <w:t>Guidelines for the Procurement of Consultancy Services under Islamic Development Bank Project Financing</w:t>
      </w:r>
      <w:r w:rsidR="00202037" w:rsidRPr="00F73B69">
        <w:rPr>
          <w:szCs w:val="22"/>
        </w:rPr>
        <w:t xml:space="preserve"> (April 2019 edition, amended from time to time)</w:t>
      </w:r>
      <w:r w:rsidRPr="00F73B69">
        <w:rPr>
          <w:rFonts w:ascii="Times New Roman" w:hAnsi="Times New Roman"/>
          <w:spacing w:val="-2"/>
          <w:sz w:val="24"/>
        </w:rPr>
        <w:t>.</w:t>
      </w:r>
    </w:p>
    <w:p w14:paraId="05C29A30" w14:textId="77777777" w:rsidR="005130C3" w:rsidRPr="00B96F14" w:rsidRDefault="005130C3" w:rsidP="0065085F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6F689DEC" w14:textId="1FD8B95D" w:rsidR="00C00D1F" w:rsidRPr="00B96F14" w:rsidRDefault="00C00D1F" w:rsidP="00C00D1F">
      <w:pPr>
        <w:suppressAutoHyphens/>
        <w:jc w:val="both"/>
        <w:rPr>
          <w:rFonts w:ascii="Times New Roman" w:hAnsi="Times New Roman"/>
          <w:iCs/>
          <w:spacing w:val="-2"/>
          <w:sz w:val="24"/>
        </w:rPr>
      </w:pPr>
      <w:r w:rsidRPr="00B96F14">
        <w:rPr>
          <w:rFonts w:ascii="Times New Roman" w:hAnsi="Times New Roman"/>
          <w:spacing w:val="-2"/>
          <w:sz w:val="24"/>
        </w:rPr>
        <w:t xml:space="preserve">Specific procurement notices for contracts to be bid under the Islamic Development Bank’s international competitive bidding (ICB) or international competitive bidding – member countries (ICB/MC) procedures and for contracts for consultancy services will be announced, as they become available, in </w:t>
      </w:r>
      <w:hyperlink r:id="rId8" w:history="1">
        <w:proofErr w:type="spellStart"/>
        <w:r w:rsidRPr="00B96F14">
          <w:rPr>
            <w:rStyle w:val="Kpr"/>
            <w:rFonts w:ascii="Times New Roman" w:hAnsi="Times New Roman"/>
            <w:spacing w:val="-2"/>
            <w:sz w:val="24"/>
          </w:rPr>
          <w:t>IsDB</w:t>
        </w:r>
        <w:proofErr w:type="spellEnd"/>
        <w:r w:rsidRPr="00B96F14">
          <w:rPr>
            <w:rStyle w:val="Kpr"/>
            <w:rFonts w:ascii="Times New Roman" w:hAnsi="Times New Roman"/>
            <w:spacing w:val="-2"/>
            <w:sz w:val="24"/>
          </w:rPr>
          <w:t xml:space="preserve"> Website</w:t>
        </w:r>
      </w:hyperlink>
      <w:r w:rsidR="006F5517">
        <w:rPr>
          <w:rStyle w:val="Kpr"/>
          <w:rFonts w:ascii="Times New Roman" w:hAnsi="Times New Roman"/>
          <w:spacing w:val="-2"/>
          <w:sz w:val="24"/>
        </w:rPr>
        <w:t>,</w:t>
      </w:r>
      <w:r w:rsidRPr="00B96F14">
        <w:rPr>
          <w:rFonts w:ascii="Times New Roman" w:hAnsi="Times New Roman"/>
          <w:spacing w:val="-2"/>
          <w:sz w:val="24"/>
        </w:rPr>
        <w:t xml:space="preserve"> </w:t>
      </w:r>
      <w:hyperlink r:id="rId9" w:history="1">
        <w:r w:rsidR="006F5517" w:rsidRPr="00F6440B">
          <w:rPr>
            <w:rStyle w:val="Kpr"/>
            <w:rFonts w:ascii="Times New Roman" w:hAnsi="Times New Roman"/>
            <w:spacing w:val="-2"/>
            <w:sz w:val="24"/>
          </w:rPr>
          <w:t>ILBANK Website</w:t>
        </w:r>
      </w:hyperlink>
      <w:r w:rsidR="006F5517">
        <w:rPr>
          <w:rFonts w:ascii="Times New Roman" w:hAnsi="Times New Roman"/>
          <w:spacing w:val="-2"/>
          <w:sz w:val="24"/>
        </w:rPr>
        <w:t>, Final Beneficiary Website and a National or the Official Gazette</w:t>
      </w:r>
      <w:r w:rsidR="006F5517">
        <w:rPr>
          <w:rFonts w:ascii="Times New Roman" w:hAnsi="Times New Roman"/>
          <w:iCs/>
          <w:spacing w:val="-2"/>
          <w:sz w:val="24"/>
        </w:rPr>
        <w:t>.</w:t>
      </w:r>
    </w:p>
    <w:p w14:paraId="7C3A66A0" w14:textId="77777777" w:rsidR="005130C3" w:rsidRPr="00B96F14" w:rsidRDefault="005130C3" w:rsidP="0065085F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4E74EBC8" w14:textId="77777777" w:rsidR="00C00D1F" w:rsidRDefault="005130C3" w:rsidP="0065085F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B96F14">
        <w:rPr>
          <w:rFonts w:ascii="Times New Roman" w:hAnsi="Times New Roman"/>
          <w:spacing w:val="-2"/>
          <w:sz w:val="24"/>
        </w:rPr>
        <w:t>Prequalification of suppliers and contractors will be required for the following contract</w:t>
      </w:r>
      <w:r w:rsidR="00C00D1F">
        <w:rPr>
          <w:rFonts w:ascii="Times New Roman" w:hAnsi="Times New Roman"/>
          <w:spacing w:val="-2"/>
          <w:sz w:val="24"/>
        </w:rPr>
        <w:t>;</w:t>
      </w:r>
    </w:p>
    <w:p w14:paraId="678005A1" w14:textId="52FCFCA3" w:rsidR="005130C3" w:rsidRPr="00C00D1F" w:rsidRDefault="00C00D1F" w:rsidP="00C00D1F">
      <w:pPr>
        <w:pStyle w:val="ListeParagraf"/>
        <w:numPr>
          <w:ilvl w:val="0"/>
          <w:numId w:val="2"/>
        </w:numPr>
        <w:suppressAutoHyphens/>
        <w:jc w:val="both"/>
        <w:rPr>
          <w:rFonts w:ascii="Times New Roman" w:hAnsi="Times New Roman"/>
          <w:spacing w:val="-2"/>
          <w:sz w:val="24"/>
        </w:rPr>
      </w:pPr>
      <w:r w:rsidRPr="00C00D1F">
        <w:rPr>
          <w:rFonts w:ascii="Times New Roman" w:hAnsi="Times New Roman"/>
          <w:iCs/>
          <w:spacing w:val="-2"/>
          <w:sz w:val="24"/>
        </w:rPr>
        <w:t xml:space="preserve">Construction of </w:t>
      </w:r>
      <w:proofErr w:type="spellStart"/>
      <w:r w:rsidRPr="00C00D1F">
        <w:rPr>
          <w:rFonts w:ascii="Times New Roman" w:hAnsi="Times New Roman"/>
          <w:iCs/>
          <w:spacing w:val="-2"/>
          <w:sz w:val="24"/>
        </w:rPr>
        <w:t>Diyarbak</w:t>
      </w:r>
      <w:r w:rsidRPr="00C00D1F">
        <w:rPr>
          <w:rFonts w:ascii="Times New Roman" w:hAnsi="Times New Roman" w:hint="eastAsia"/>
          <w:iCs/>
          <w:spacing w:val="-2"/>
          <w:sz w:val="24"/>
        </w:rPr>
        <w:t>ı</w:t>
      </w:r>
      <w:r w:rsidRPr="00C00D1F">
        <w:rPr>
          <w:rFonts w:ascii="Times New Roman" w:hAnsi="Times New Roman"/>
          <w:iCs/>
          <w:spacing w:val="-2"/>
          <w:sz w:val="24"/>
        </w:rPr>
        <w:t>r</w:t>
      </w:r>
      <w:proofErr w:type="spellEnd"/>
      <w:r w:rsidRPr="00C00D1F">
        <w:rPr>
          <w:rFonts w:ascii="Times New Roman" w:hAnsi="Times New Roman"/>
          <w:iCs/>
          <w:spacing w:val="-2"/>
          <w:sz w:val="24"/>
        </w:rPr>
        <w:t xml:space="preserve"> </w:t>
      </w:r>
      <w:proofErr w:type="spellStart"/>
      <w:r w:rsidRPr="00C00D1F">
        <w:rPr>
          <w:rFonts w:ascii="Times New Roman" w:hAnsi="Times New Roman"/>
          <w:iCs/>
          <w:spacing w:val="-2"/>
          <w:sz w:val="24"/>
        </w:rPr>
        <w:t>Ergani</w:t>
      </w:r>
      <w:proofErr w:type="spellEnd"/>
      <w:r w:rsidRPr="00C00D1F">
        <w:rPr>
          <w:rFonts w:ascii="Times New Roman" w:hAnsi="Times New Roman"/>
          <w:iCs/>
          <w:spacing w:val="-2"/>
          <w:sz w:val="24"/>
        </w:rPr>
        <w:t xml:space="preserve"> Wastewater Treatment Plant</w:t>
      </w:r>
    </w:p>
    <w:p w14:paraId="3564D4EB" w14:textId="77777777" w:rsidR="00DB5377" w:rsidRPr="00B96F14" w:rsidRDefault="00DB5377" w:rsidP="00DB5377">
      <w:pPr>
        <w:spacing w:before="400" w:after="200"/>
        <w:ind w:right="200"/>
        <w:jc w:val="both"/>
        <w:rPr>
          <w:rFonts w:ascii="Arial" w:hAnsi="Arial" w:cs="Arial"/>
          <w:szCs w:val="24"/>
        </w:rPr>
      </w:pPr>
      <w:r w:rsidRPr="00B96F14">
        <w:rPr>
          <w:rFonts w:ascii="Times New Roman" w:hAnsi="Times New Roman"/>
          <w:spacing w:val="-2"/>
          <w:sz w:val="24"/>
        </w:rPr>
        <w:t xml:space="preserve">Interested eligible firms and individuals who would wish to be considered for the provision of goods, works and consulting services for the </w:t>
      </w:r>
      <w:proofErr w:type="gramStart"/>
      <w:r w:rsidRPr="00B96F14">
        <w:rPr>
          <w:rFonts w:ascii="Times New Roman" w:hAnsi="Times New Roman"/>
          <w:spacing w:val="-2"/>
          <w:sz w:val="24"/>
        </w:rPr>
        <w:t>above mentioned</w:t>
      </w:r>
      <w:proofErr w:type="gramEnd"/>
      <w:r w:rsidRPr="00B96F14">
        <w:rPr>
          <w:rFonts w:ascii="Times New Roman" w:hAnsi="Times New Roman"/>
          <w:spacing w:val="-2"/>
          <w:sz w:val="24"/>
        </w:rPr>
        <w:t xml:space="preserve"> project, or those requiring additional information, should contact the Beneficiary at the address below:</w:t>
      </w:r>
    </w:p>
    <w:p w14:paraId="23D85705" w14:textId="65285607" w:rsidR="00CB3EDF" w:rsidRPr="005145FB" w:rsidRDefault="00CB3EDF" w:rsidP="00CB3EDF">
      <w:pPr>
        <w:rPr>
          <w:rFonts w:ascii="Times New Roman" w:hAnsi="Times New Roman"/>
          <w:iCs/>
          <w:sz w:val="24"/>
        </w:rPr>
      </w:pPr>
      <w:proofErr w:type="spellStart"/>
      <w:r w:rsidRPr="005145FB">
        <w:rPr>
          <w:iCs/>
        </w:rPr>
        <w:t>İller</w:t>
      </w:r>
      <w:proofErr w:type="spellEnd"/>
      <w:r w:rsidRPr="005145FB">
        <w:rPr>
          <w:iCs/>
        </w:rPr>
        <w:t xml:space="preserve"> </w:t>
      </w:r>
      <w:proofErr w:type="spellStart"/>
      <w:r w:rsidRPr="005145FB">
        <w:rPr>
          <w:iCs/>
        </w:rPr>
        <w:t>Bankası</w:t>
      </w:r>
      <w:proofErr w:type="spellEnd"/>
      <w:r w:rsidRPr="005145FB">
        <w:rPr>
          <w:iCs/>
        </w:rPr>
        <w:t xml:space="preserve"> A.Ş., Department of International Operations</w:t>
      </w:r>
    </w:p>
    <w:p w14:paraId="527D71F4" w14:textId="2B2D0D0A" w:rsidR="00CB3EDF" w:rsidRPr="005145FB" w:rsidRDefault="00CB3EDF" w:rsidP="00CB3EDF">
      <w:pPr>
        <w:rPr>
          <w:iCs/>
        </w:rPr>
      </w:pPr>
      <w:r w:rsidRPr="005145FB">
        <w:rPr>
          <w:iCs/>
        </w:rPr>
        <w:t>Gamze ASLAN, Head of Department</w:t>
      </w:r>
    </w:p>
    <w:p w14:paraId="4C62EE45" w14:textId="0FC9C019" w:rsidR="00DB5377" w:rsidRPr="005145FB" w:rsidRDefault="005145FB" w:rsidP="00DB5377">
      <w:pPr>
        <w:rPr>
          <w:iCs/>
          <w:spacing w:val="-2"/>
        </w:rPr>
      </w:pPr>
      <w:proofErr w:type="spellStart"/>
      <w:r w:rsidRPr="005145FB">
        <w:rPr>
          <w:iCs/>
        </w:rPr>
        <w:t>Emniyet</w:t>
      </w:r>
      <w:proofErr w:type="spellEnd"/>
      <w:r w:rsidRPr="005145FB">
        <w:rPr>
          <w:iCs/>
        </w:rPr>
        <w:t xml:space="preserve"> </w:t>
      </w:r>
      <w:proofErr w:type="spellStart"/>
      <w:r w:rsidRPr="005145FB">
        <w:rPr>
          <w:iCs/>
        </w:rPr>
        <w:t>Mahallesi</w:t>
      </w:r>
      <w:proofErr w:type="spellEnd"/>
      <w:r w:rsidRPr="005145FB">
        <w:rPr>
          <w:iCs/>
        </w:rPr>
        <w:t xml:space="preserve">, </w:t>
      </w:r>
      <w:proofErr w:type="spellStart"/>
      <w:r w:rsidRPr="005145FB">
        <w:rPr>
          <w:iCs/>
        </w:rPr>
        <w:t>Hipodrom</w:t>
      </w:r>
      <w:proofErr w:type="spellEnd"/>
      <w:r w:rsidRPr="005145FB">
        <w:rPr>
          <w:iCs/>
        </w:rPr>
        <w:t xml:space="preserve"> </w:t>
      </w:r>
      <w:proofErr w:type="spellStart"/>
      <w:r w:rsidRPr="005145FB">
        <w:rPr>
          <w:iCs/>
        </w:rPr>
        <w:t>Caddesi</w:t>
      </w:r>
      <w:proofErr w:type="spellEnd"/>
      <w:r>
        <w:rPr>
          <w:iCs/>
        </w:rPr>
        <w:t>,</w:t>
      </w:r>
      <w:r w:rsidRPr="005145FB">
        <w:rPr>
          <w:iCs/>
        </w:rPr>
        <w:t xml:space="preserve"> No:9/21 </w:t>
      </w:r>
      <w:proofErr w:type="spellStart"/>
      <w:r w:rsidRPr="005145FB">
        <w:rPr>
          <w:iCs/>
        </w:rPr>
        <w:t>Yenimahalle</w:t>
      </w:r>
      <w:proofErr w:type="spellEnd"/>
      <w:r w:rsidRPr="005145FB">
        <w:rPr>
          <w:iCs/>
        </w:rPr>
        <w:t xml:space="preserve"> / ANKARA, 06170</w:t>
      </w:r>
    </w:p>
    <w:p w14:paraId="0A5BA962" w14:textId="0C8450CB" w:rsidR="00DB5377" w:rsidRPr="005145FB" w:rsidRDefault="00CB3EDF" w:rsidP="00DB5377">
      <w:pPr>
        <w:rPr>
          <w:iCs/>
        </w:rPr>
      </w:pPr>
      <w:r w:rsidRPr="005145FB">
        <w:rPr>
          <w:iCs/>
        </w:rPr>
        <w:t>+ 90 312 508 79 02</w:t>
      </w:r>
    </w:p>
    <w:p w14:paraId="797DBFAF" w14:textId="4787B19D" w:rsidR="00DB5377" w:rsidRPr="005145FB" w:rsidRDefault="00CB3EDF" w:rsidP="00DB5377">
      <w:pPr>
        <w:rPr>
          <w:iCs/>
        </w:rPr>
      </w:pPr>
      <w:r w:rsidRPr="005145FB">
        <w:rPr>
          <w:iCs/>
        </w:rPr>
        <w:t>+ 90 312 508 79 49</w:t>
      </w:r>
    </w:p>
    <w:p w14:paraId="682F876B" w14:textId="47071439" w:rsidR="00DB5377" w:rsidRPr="005145FB" w:rsidRDefault="005145FB" w:rsidP="00DB5377">
      <w:pPr>
        <w:tabs>
          <w:tab w:val="left" w:pos="2628"/>
        </w:tabs>
        <w:rPr>
          <w:iCs/>
        </w:rPr>
      </w:pPr>
      <w:r w:rsidRPr="005145FB">
        <w:rPr>
          <w:iCs/>
        </w:rPr>
        <w:t>ilbankpyb</w:t>
      </w:r>
      <w:r w:rsidR="00CB3EDF" w:rsidRPr="005145FB">
        <w:rPr>
          <w:iCs/>
        </w:rPr>
        <w:t>@ilbank.gov.tr</w:t>
      </w:r>
      <w:r w:rsidR="00DB5377" w:rsidRPr="005145FB">
        <w:rPr>
          <w:iCs/>
        </w:rPr>
        <w:tab/>
      </w:r>
    </w:p>
    <w:p w14:paraId="026B14FA" w14:textId="6369C5D0" w:rsidR="00DB5377" w:rsidRPr="005145FB" w:rsidRDefault="00CB3EDF" w:rsidP="00DB5377">
      <w:pPr>
        <w:pStyle w:val="GvdeMetni"/>
        <w:rPr>
          <w:rFonts w:ascii="Times New Roman" w:hAnsi="Times New Roman"/>
          <w:iCs/>
          <w:sz w:val="22"/>
          <w:szCs w:val="22"/>
        </w:rPr>
      </w:pPr>
      <w:r w:rsidRPr="005145FB">
        <w:rPr>
          <w:iCs/>
          <w:sz w:val="22"/>
          <w:szCs w:val="22"/>
        </w:rPr>
        <w:t>www.ilbank.gov.tr</w:t>
      </w:r>
    </w:p>
    <w:p w14:paraId="61106D05" w14:textId="77777777" w:rsidR="00DB5377" w:rsidRDefault="00DB5377" w:rsidP="0065085F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0CD9FB34" w14:textId="77777777" w:rsidR="003938E5" w:rsidRPr="00DF62EB" w:rsidRDefault="003938E5" w:rsidP="0065085F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sectPr w:rsidR="003938E5" w:rsidRPr="00DF62EB" w:rsidSect="0044076D">
      <w:headerReference w:type="even" r:id="rId10"/>
      <w:headerReference w:type="default" r:id="rId11"/>
      <w:headerReference w:type="first" r:id="rId12"/>
      <w:endnotePr>
        <w:numFmt w:val="decimal"/>
      </w:endnotePr>
      <w:pgSz w:w="11907" w:h="16839" w:code="9"/>
      <w:pgMar w:top="1104" w:right="1800" w:bottom="1440" w:left="1800" w:header="426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17D1" w14:textId="77777777" w:rsidR="000115CA" w:rsidRDefault="000115CA">
      <w:r>
        <w:separator/>
      </w:r>
    </w:p>
  </w:endnote>
  <w:endnote w:type="continuationSeparator" w:id="0">
    <w:p w14:paraId="3F084358" w14:textId="77777777" w:rsidR="000115CA" w:rsidRDefault="000115CA">
      <w:r>
        <w:rPr>
          <w:sz w:val="24"/>
        </w:rPr>
        <w:t xml:space="preserve"> </w:t>
      </w:r>
    </w:p>
  </w:endnote>
  <w:endnote w:type="continuationNotice" w:id="1">
    <w:p w14:paraId="6688A43F" w14:textId="77777777" w:rsidR="000115CA" w:rsidRDefault="000115C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DBDD" w14:textId="77777777" w:rsidR="000115CA" w:rsidRDefault="000115CA">
      <w:r>
        <w:rPr>
          <w:sz w:val="24"/>
        </w:rPr>
        <w:separator/>
      </w:r>
    </w:p>
  </w:footnote>
  <w:footnote w:type="continuationSeparator" w:id="0">
    <w:p w14:paraId="44EFAA41" w14:textId="77777777" w:rsidR="000115CA" w:rsidRDefault="00011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E7C7" w14:textId="4F66A24F" w:rsidR="00BD06C1" w:rsidRDefault="00BD06C1">
    <w:pPr>
      <w:pStyle w:val="s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6D891E" wp14:editId="50D357B1">
              <wp:simplePos x="1143000" y="2730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6510"/>
              <wp:wrapNone/>
              <wp:docPr id="2027321475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0CC71" w14:textId="73CFF359" w:rsidR="00BD06C1" w:rsidRPr="00BD06C1" w:rsidRDefault="00BD06C1" w:rsidP="00BD06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D06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D89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0A0CC71" w14:textId="73CFF359" w:rsidR="00BD06C1" w:rsidRPr="00BD06C1" w:rsidRDefault="00BD06C1" w:rsidP="00BD06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D06C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1219" w14:textId="4ADB4EFE" w:rsidR="00DF62EB" w:rsidRPr="00DF62EB" w:rsidRDefault="00BD06C1" w:rsidP="00DF62EB">
    <w:pPr>
      <w:pStyle w:val="Heading1a"/>
      <w:keepNext w:val="0"/>
      <w:keepLines w:val="0"/>
      <w:tabs>
        <w:tab w:val="clear" w:pos="-720"/>
      </w:tabs>
      <w:suppressAutoHyphens w:val="0"/>
      <w:jc w:val="right"/>
      <w:rPr>
        <w:bCs/>
        <w:i/>
        <w:iCs/>
        <w:smallCaps w:val="0"/>
      </w:rPr>
    </w:pPr>
    <w:r>
      <w:rPr>
        <w:bCs/>
        <w:i/>
        <w:iCs/>
        <w:smallCaps w:val="0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194CAE" wp14:editId="2D72897D">
              <wp:simplePos x="1143000" y="2730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6510"/>
              <wp:wrapNone/>
              <wp:docPr id="911604509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522C7" w14:textId="5AE3FA38" w:rsidR="00BD06C1" w:rsidRPr="00BD06C1" w:rsidRDefault="00BD06C1" w:rsidP="00BD06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D06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94C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191522C7" w14:textId="5AE3FA38" w:rsidR="00BD06C1" w:rsidRPr="00BD06C1" w:rsidRDefault="00BD06C1" w:rsidP="00BD06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D06C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227C" w14:textId="423FA014" w:rsidR="00BD06C1" w:rsidRDefault="00BD06C1">
    <w:pPr>
      <w:pStyle w:val="s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ECE52D" wp14:editId="0CF79C4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6510"/>
              <wp:wrapNone/>
              <wp:docPr id="386864891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0DB31" w14:textId="3CC5C297" w:rsidR="00BD06C1" w:rsidRPr="00BD06C1" w:rsidRDefault="00BD06C1" w:rsidP="00BD06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D06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CE5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3660DB31" w14:textId="3CC5C297" w:rsidR="00BD06C1" w:rsidRPr="00BD06C1" w:rsidRDefault="00BD06C1" w:rsidP="00BD06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D06C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3B08"/>
    <w:multiLevelType w:val="hybridMultilevel"/>
    <w:tmpl w:val="CD4C79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20A01"/>
    <w:multiLevelType w:val="hybridMultilevel"/>
    <w:tmpl w:val="9DA8CD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D2EFC9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75197">
    <w:abstractNumId w:val="1"/>
  </w:num>
  <w:num w:numId="2" w16cid:durableId="428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1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0C3"/>
    <w:rsid w:val="000115CA"/>
    <w:rsid w:val="00073C60"/>
    <w:rsid w:val="00087FF1"/>
    <w:rsid w:val="000F4D9A"/>
    <w:rsid w:val="0010171D"/>
    <w:rsid w:val="00190C88"/>
    <w:rsid w:val="00193C1C"/>
    <w:rsid w:val="001942C9"/>
    <w:rsid w:val="001F65C4"/>
    <w:rsid w:val="00202037"/>
    <w:rsid w:val="002C5423"/>
    <w:rsid w:val="00343FB8"/>
    <w:rsid w:val="003818BD"/>
    <w:rsid w:val="003938E5"/>
    <w:rsid w:val="003F2571"/>
    <w:rsid w:val="0044076D"/>
    <w:rsid w:val="00456400"/>
    <w:rsid w:val="00457B5D"/>
    <w:rsid w:val="00472074"/>
    <w:rsid w:val="005130C3"/>
    <w:rsid w:val="005145FB"/>
    <w:rsid w:val="00557532"/>
    <w:rsid w:val="005D14A5"/>
    <w:rsid w:val="005E0060"/>
    <w:rsid w:val="005F40FB"/>
    <w:rsid w:val="00633BF6"/>
    <w:rsid w:val="0065085F"/>
    <w:rsid w:val="00677A84"/>
    <w:rsid w:val="006F5517"/>
    <w:rsid w:val="007D23F5"/>
    <w:rsid w:val="008268E8"/>
    <w:rsid w:val="00846B37"/>
    <w:rsid w:val="008C45A3"/>
    <w:rsid w:val="00924F5F"/>
    <w:rsid w:val="009865B1"/>
    <w:rsid w:val="009E4E88"/>
    <w:rsid w:val="00A54B9D"/>
    <w:rsid w:val="00A903DD"/>
    <w:rsid w:val="00A94FE4"/>
    <w:rsid w:val="00B6564C"/>
    <w:rsid w:val="00B96F14"/>
    <w:rsid w:val="00BA2D1E"/>
    <w:rsid w:val="00BD06C1"/>
    <w:rsid w:val="00C00D1F"/>
    <w:rsid w:val="00C12FE6"/>
    <w:rsid w:val="00CB3EDF"/>
    <w:rsid w:val="00D40631"/>
    <w:rsid w:val="00D9176D"/>
    <w:rsid w:val="00DB5377"/>
    <w:rsid w:val="00DB62EA"/>
    <w:rsid w:val="00DB78F4"/>
    <w:rsid w:val="00DE600D"/>
    <w:rsid w:val="00DF1A24"/>
    <w:rsid w:val="00DF62EB"/>
    <w:rsid w:val="00E327FB"/>
    <w:rsid w:val="00E706F3"/>
    <w:rsid w:val="00EC4BD3"/>
    <w:rsid w:val="00F6440B"/>
    <w:rsid w:val="00F7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CB6ED"/>
  <w15:docId w15:val="{F88724C9-3367-41E9-BD87-D0D1A04C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2"/>
    </w:rPr>
  </w:style>
  <w:style w:type="paragraph" w:styleId="Balk1">
    <w:name w:val="heading 1"/>
    <w:basedOn w:val="Normal"/>
    <w:next w:val="Normal"/>
    <w:qFormat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Balk2">
    <w:name w:val="heading 2"/>
    <w:basedOn w:val="Normal"/>
    <w:next w:val="Normal"/>
    <w:qFormat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Balk3">
    <w:name w:val="heading 3"/>
    <w:basedOn w:val="Normal"/>
    <w:next w:val="Normal"/>
    <w:qFormat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Balk4">
    <w:name w:val="heading 4"/>
    <w:basedOn w:val="Normal"/>
    <w:next w:val="Normal"/>
    <w:qFormat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Balk5">
    <w:name w:val="heading 5"/>
    <w:basedOn w:val="Normal"/>
    <w:next w:val="Normal"/>
    <w:qFormat/>
    <w:pPr>
      <w:tabs>
        <w:tab w:val="left" w:pos="-720"/>
      </w:tabs>
      <w:suppressAutoHyphens/>
      <w:outlineLvl w:val="4"/>
    </w:pPr>
  </w:style>
  <w:style w:type="paragraph" w:styleId="Balk6">
    <w:name w:val="heading 6"/>
    <w:basedOn w:val="Normal"/>
    <w:next w:val="Normal"/>
    <w:qFormat/>
    <w:pPr>
      <w:tabs>
        <w:tab w:val="left" w:pos="-720"/>
      </w:tabs>
      <w:suppressAutoHyphens/>
      <w:outlineLvl w:val="5"/>
    </w:pPr>
  </w:style>
  <w:style w:type="paragraph" w:styleId="Balk7">
    <w:name w:val="heading 7"/>
    <w:basedOn w:val="Normal"/>
    <w:next w:val="Normal"/>
    <w:qFormat/>
    <w:pPr>
      <w:tabs>
        <w:tab w:val="left" w:pos="-720"/>
      </w:tabs>
      <w:suppressAutoHyphens/>
      <w:outlineLvl w:val="6"/>
    </w:pPr>
  </w:style>
  <w:style w:type="paragraph" w:styleId="Balk8">
    <w:name w:val="heading 8"/>
    <w:basedOn w:val="Normal"/>
    <w:next w:val="Normal"/>
    <w:qFormat/>
    <w:pPr>
      <w:tabs>
        <w:tab w:val="left" w:pos="-720"/>
      </w:tabs>
      <w:suppressAutoHyphens/>
      <w:outlineLvl w:val="7"/>
    </w:pPr>
  </w:style>
  <w:style w:type="paragraph" w:styleId="Balk9">
    <w:name w:val="heading 9"/>
    <w:basedOn w:val="Normal"/>
    <w:next w:val="Normal"/>
    <w:qFormat/>
    <w:pPr>
      <w:tabs>
        <w:tab w:val="left" w:pos="-720"/>
      </w:tabs>
      <w:suppressAutoHyphens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efaultParagraphFo">
    <w:name w:val="Default Paragraph Fo"/>
    <w:basedOn w:val="VarsaylanParagrafYazTipi"/>
  </w:style>
  <w:style w:type="paragraph" w:customStyle="1" w:styleId="ChapterNumber">
    <w:name w:val="ChapterNumber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AltBilgi">
    <w:name w:val="footer"/>
    <w:basedOn w:val="Normal"/>
    <w:pPr>
      <w:tabs>
        <w:tab w:val="left" w:pos="360"/>
        <w:tab w:val="right" w:pos="9000"/>
      </w:tabs>
      <w:suppressAutoHyphens/>
    </w:pPr>
  </w:style>
  <w:style w:type="character" w:styleId="DipnotBavurusu">
    <w:name w:val="footnote reference"/>
    <w:semiHidden/>
    <w:rPr>
      <w:rFonts w:ascii="CG Times" w:hAnsi="CG Times"/>
      <w:noProof w:val="0"/>
      <w:sz w:val="22"/>
      <w:vertAlign w:val="superscript"/>
      <w:lang w:val="en-US"/>
    </w:rPr>
  </w:style>
  <w:style w:type="paragraph" w:styleId="DipnotMetni">
    <w:name w:val="footnote text"/>
    <w:basedOn w:val="Normal"/>
    <w:semiHidden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stBilgi">
    <w:name w:val="header"/>
    <w:basedOn w:val="Normal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Girinti">
    <w:name w:val="Normal Indent"/>
    <w:basedOn w:val="Normal"/>
    <w:pPr>
      <w:tabs>
        <w:tab w:val="left" w:pos="-720"/>
      </w:tabs>
      <w:suppressAutoHyphens/>
    </w:pPr>
  </w:style>
  <w:style w:type="paragraph" w:customStyle="1" w:styleId="TextBox">
    <w:name w:val="Text Box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7">
    <w:name w:val="toc 7"/>
    <w:basedOn w:val="Normal"/>
    <w:next w:val="Normal"/>
    <w:semiHidden/>
    <w:pPr>
      <w:suppressAutoHyphens/>
      <w:ind w:left="720" w:hanging="720"/>
    </w:pPr>
  </w:style>
  <w:style w:type="paragraph" w:styleId="T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SonNotMetni">
    <w:name w:val="endnote text"/>
    <w:basedOn w:val="Normal"/>
    <w:semiHidden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SonNotBavurusu">
    <w:name w:val="endnote reference"/>
    <w:semiHidden/>
    <w:rPr>
      <w:rFonts w:ascii="CG Times" w:hAnsi="CG Times"/>
      <w:noProof w:val="0"/>
      <w:sz w:val="22"/>
      <w:vertAlign w:val="superscript"/>
      <w:lang w:val="en-US"/>
    </w:rPr>
  </w:style>
  <w:style w:type="paragraph" w:styleId="T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Dizin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Dizin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KaynakaBal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ResimYazs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GvdeMetni">
    <w:name w:val="Body Text"/>
    <w:basedOn w:val="Normal"/>
    <w:link w:val="GvdeMetniChar"/>
    <w:pPr>
      <w:suppressAutoHyphens/>
    </w:pPr>
    <w:rPr>
      <w:spacing w:val="-2"/>
      <w:sz w:val="24"/>
    </w:rPr>
  </w:style>
  <w:style w:type="character" w:styleId="Kpr">
    <w:name w:val="Hyperlink"/>
    <w:rPr>
      <w:color w:val="0000FF"/>
      <w:u w:val="single"/>
    </w:rPr>
  </w:style>
  <w:style w:type="paragraph" w:styleId="BalonMetni">
    <w:name w:val="Balloon Text"/>
    <w:basedOn w:val="Normal"/>
    <w:semiHidden/>
    <w:rsid w:val="005130C3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link w:val="GvdeMetni"/>
    <w:rsid w:val="005F40FB"/>
    <w:rPr>
      <w:rFonts w:ascii="CG Times" w:hAnsi="CG Times"/>
      <w:spacing w:val="-2"/>
      <w:sz w:val="24"/>
    </w:rPr>
  </w:style>
  <w:style w:type="paragraph" w:styleId="ListeParagraf">
    <w:name w:val="List Paragraph"/>
    <w:aliases w:val="Citation List,본문(내용),List Paragraph (numbered (a))"/>
    <w:basedOn w:val="Normal"/>
    <w:link w:val="ListeParagrafChar"/>
    <w:uiPriority w:val="34"/>
    <w:qFormat/>
    <w:rsid w:val="009865B1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sz w:val="20"/>
      <w:lang w:val="en-GB"/>
    </w:rPr>
  </w:style>
  <w:style w:type="character" w:customStyle="1" w:styleId="ListeParagrafChar">
    <w:name w:val="Liste Paragraf Char"/>
    <w:aliases w:val="Citation List Char,본문(내용) Char,List Paragraph (numbered (a)) Char"/>
    <w:basedOn w:val="VarsaylanParagrafYazTipi"/>
    <w:link w:val="ListeParagraf"/>
    <w:uiPriority w:val="34"/>
    <w:rsid w:val="009865B1"/>
    <w:rPr>
      <w:rFonts w:asciiTheme="minorHAnsi" w:eastAsiaTheme="minorEastAsia" w:hAnsiTheme="minorHAnsi" w:cstheme="minorBidi"/>
      <w:lang w:val="en-GB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64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db.org/irj/portal/anonymous?NavigationTarget=navurl://76e1dfd61777849cc88228c9bfe818e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lbank.gov.tr/ihaleler/uluslararasi-finansmanli-ihaleler/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B88C14-9115-4AE5-B46D-326BCBDB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GPN</vt:lpstr>
      <vt:lpstr>GPN</vt:lpstr>
    </vt:vector>
  </TitlesOfParts>
  <Company>The World Bank</Company>
  <LinksUpToDate>false</LinksUpToDate>
  <CharactersWithSpaces>4890</CharactersWithSpaces>
  <SharedDoc>false</SharedDoc>
  <HLinks>
    <vt:vector size="6" baseType="variant">
      <vt:variant>
        <vt:i4>7667759</vt:i4>
      </vt:variant>
      <vt:variant>
        <vt:i4>0</vt:i4>
      </vt:variant>
      <vt:variant>
        <vt:i4>0</vt:i4>
      </vt:variant>
      <vt:variant>
        <vt:i4>5</vt:i4>
      </vt:variant>
      <vt:variant>
        <vt:lpwstr>http://www.isdb.org/irj/portal/anonymous?NavigationTarget=navurl://76e1dfd61777849cc88228c9bfe818ea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GPN</dc:title>
  <dc:creator>320040</dc:creator>
  <cp:keywords>TD-fm60hhw8, N-kq84q69a</cp:keywords>
  <cp:lastModifiedBy>Hamza Kağan Çakır</cp:lastModifiedBy>
  <cp:revision>3</cp:revision>
  <cp:lastPrinted>2009-03-05T06:40:00Z</cp:lastPrinted>
  <dcterms:created xsi:type="dcterms:W3CDTF">2025-10-24T07:20:00Z</dcterms:created>
  <dcterms:modified xsi:type="dcterms:W3CDTF">2025-10-24T07:58:00Z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5e6a10d2000401c08778037cf6d35cc3a9eadf2680e38b592bc2ef7087d215af</vt:lpwstr>
  </property>
  <property fmtid="{D5CDD505-2E9C-101B-9397-08002B2CF9AE}" pid="3" name="ClassificationContentMarkingHeaderShapeIds">
    <vt:lpwstr>170f16fb,78d67883,3655fb1d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Protected</vt:lpwstr>
  </property>
  <property fmtid="{D5CDD505-2E9C-101B-9397-08002B2CF9AE}" pid="6" name="MSIP_Label_9ef4adf7-25a7-4f52-a61a-df7190f1d881_Enabled">
    <vt:lpwstr>true</vt:lpwstr>
  </property>
  <property fmtid="{D5CDD505-2E9C-101B-9397-08002B2CF9AE}" pid="7" name="MSIP_Label_9ef4adf7-25a7-4f52-a61a-df7190f1d881_SetDate">
    <vt:lpwstr>2024-05-01T06:38:35Z</vt:lpwstr>
  </property>
  <property fmtid="{D5CDD505-2E9C-101B-9397-08002B2CF9AE}" pid="8" name="MSIP_Label_9ef4adf7-25a7-4f52-a61a-df7190f1d881_Method">
    <vt:lpwstr>Standard</vt:lpwstr>
  </property>
  <property fmtid="{D5CDD505-2E9C-101B-9397-08002B2CF9AE}" pid="9" name="MSIP_Label_9ef4adf7-25a7-4f52-a61a-df7190f1d881_Name">
    <vt:lpwstr>Category C - Protected</vt:lpwstr>
  </property>
  <property fmtid="{D5CDD505-2E9C-101B-9397-08002B2CF9AE}" pid="10" name="MSIP_Label_9ef4adf7-25a7-4f52-a61a-df7190f1d881_SiteId">
    <vt:lpwstr>8fa69c26-409d-43e5-973c-17a8be1a7f35</vt:lpwstr>
  </property>
  <property fmtid="{D5CDD505-2E9C-101B-9397-08002B2CF9AE}" pid="11" name="MSIP_Label_9ef4adf7-25a7-4f52-a61a-df7190f1d881_ActionId">
    <vt:lpwstr>ece454b8-9361-4054-9137-e5330939a3ee</vt:lpwstr>
  </property>
  <property fmtid="{D5CDD505-2E9C-101B-9397-08002B2CF9AE}" pid="12" name="MSIP_Label_9ef4adf7-25a7-4f52-a61a-df7190f1d881_ContentBits">
    <vt:lpwstr>1</vt:lpwstr>
  </property>
  <property fmtid="{D5CDD505-2E9C-101B-9397-08002B2CF9AE}" pid="13" name="TitusGUID">
    <vt:lpwstr>2aa5d417-5388-406e-a82d-4a515d5ac9b0</vt:lpwstr>
  </property>
  <property fmtid="{D5CDD505-2E9C-101B-9397-08002B2CF9AE}" pid="14" name="Classification">
    <vt:lpwstr>TD-fm60hhw8</vt:lpwstr>
  </property>
  <property fmtid="{D5CDD505-2E9C-101B-9397-08002B2CF9AE}" pid="15" name="KVKK">
    <vt:lpwstr>N-kq84q69a</vt:lpwstr>
  </property>
  <property fmtid="{D5CDD505-2E9C-101B-9397-08002B2CF9AE}" pid="16" name="VisualMarking">
    <vt:lpwstr>RemoveTag</vt:lpwstr>
  </property>
</Properties>
</file>