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F374F" w14:textId="77777777" w:rsidR="005130C3" w:rsidRDefault="005130C3">
      <w:pPr>
        <w:pStyle w:val="Heading1a"/>
        <w:keepNext w:val="0"/>
        <w:keepLines w:val="0"/>
        <w:tabs>
          <w:tab w:val="clear" w:pos="-720"/>
        </w:tabs>
        <w:suppressAutoHyphens w:val="0"/>
        <w:rPr>
          <w:bCs/>
          <w:smallCaps w:val="0"/>
        </w:rPr>
      </w:pPr>
      <w:r>
        <w:rPr>
          <w:bCs/>
          <w:smallCaps w:val="0"/>
        </w:rPr>
        <w:t>GENERAL PROCUREMENT NOTICE</w:t>
      </w:r>
    </w:p>
    <w:p w14:paraId="08B9D640" w14:textId="77777777" w:rsidR="005130C3" w:rsidRDefault="005130C3">
      <w:pPr>
        <w:suppressAutoHyphens/>
        <w:rPr>
          <w:rFonts w:ascii="Times New Roman" w:hAnsi="Times New Roman"/>
          <w:spacing w:val="-2"/>
        </w:rPr>
      </w:pPr>
    </w:p>
    <w:p w14:paraId="63A5B8DF" w14:textId="0600BA40" w:rsidR="00044EC8" w:rsidRPr="00044EC8" w:rsidRDefault="00044EC8" w:rsidP="00044EC8">
      <w:pPr>
        <w:rPr>
          <w:rFonts w:asciiTheme="majorBidi" w:hAnsiTheme="majorBidi" w:cstheme="majorBidi"/>
          <w:sz w:val="24"/>
          <w:szCs w:val="24"/>
          <w:lang w:val="en-GB"/>
        </w:rPr>
      </w:pPr>
      <w:r w:rsidRPr="00044EC8">
        <w:rPr>
          <w:rFonts w:asciiTheme="majorBidi" w:hAnsiTheme="majorBidi" w:cstheme="majorBidi"/>
          <w:b/>
          <w:bCs/>
          <w:sz w:val="24"/>
          <w:szCs w:val="24"/>
          <w:lang w:val="en-GB"/>
        </w:rPr>
        <w:t>Country: </w:t>
      </w:r>
      <w:r w:rsidR="006E59FA" w:rsidRPr="006E59FA">
        <w:rPr>
          <w:rFonts w:asciiTheme="majorBidi" w:hAnsiTheme="majorBidi" w:cstheme="majorBidi"/>
          <w:sz w:val="24"/>
          <w:szCs w:val="24"/>
          <w:lang w:val="en-GB"/>
        </w:rPr>
        <w:t>AZERBAIJAN</w:t>
      </w:r>
    </w:p>
    <w:p w14:paraId="67B22EE8" w14:textId="6A9955CF" w:rsidR="00044EC8" w:rsidRPr="00044EC8" w:rsidRDefault="00044EC8" w:rsidP="00044EC8">
      <w:pPr>
        <w:rPr>
          <w:rFonts w:asciiTheme="majorBidi" w:hAnsiTheme="majorBidi" w:cstheme="majorBidi"/>
          <w:sz w:val="24"/>
          <w:szCs w:val="24"/>
          <w:lang w:val="en-GB"/>
        </w:rPr>
      </w:pPr>
      <w:r w:rsidRPr="00044EC8">
        <w:rPr>
          <w:rFonts w:asciiTheme="majorBidi" w:hAnsiTheme="majorBidi" w:cstheme="majorBidi"/>
          <w:b/>
          <w:bCs/>
          <w:sz w:val="24"/>
          <w:szCs w:val="24"/>
          <w:lang w:val="en-GB"/>
        </w:rPr>
        <w:t>Project Name:</w:t>
      </w:r>
      <w:r w:rsidRPr="00044EC8">
        <w:rPr>
          <w:rFonts w:asciiTheme="majorBidi" w:hAnsiTheme="majorBidi" w:cstheme="majorBidi"/>
          <w:sz w:val="24"/>
          <w:szCs w:val="24"/>
          <w:lang w:val="en-GB"/>
        </w:rPr>
        <w:t> </w:t>
      </w:r>
      <w:r w:rsidR="002449A0" w:rsidRPr="002449A0">
        <w:rPr>
          <w:rFonts w:asciiTheme="majorBidi" w:hAnsiTheme="majorBidi" w:cstheme="majorBidi"/>
          <w:sz w:val="24"/>
          <w:szCs w:val="24"/>
          <w:lang w:val="en-GB"/>
        </w:rPr>
        <w:t>THE REGULATORY FRAMEWORK FOR CAPITAL MARKET</w:t>
      </w:r>
      <w:r w:rsidR="002449A0">
        <w:rPr>
          <w:rFonts w:asciiTheme="majorBidi" w:hAnsiTheme="majorBidi" w:cstheme="majorBidi"/>
          <w:sz w:val="24"/>
          <w:szCs w:val="24"/>
          <w:lang w:val="en-GB"/>
        </w:rPr>
        <w:t xml:space="preserve"> </w:t>
      </w:r>
      <w:r w:rsidR="002449A0" w:rsidRPr="002449A0">
        <w:rPr>
          <w:rFonts w:asciiTheme="majorBidi" w:hAnsiTheme="majorBidi" w:cstheme="majorBidi"/>
          <w:sz w:val="24"/>
          <w:szCs w:val="24"/>
          <w:lang w:val="en-GB"/>
        </w:rPr>
        <w:t>DEVELOPMENT</w:t>
      </w:r>
      <w:r w:rsidR="006E59FA" w:rsidRPr="006E59FA">
        <w:rPr>
          <w:rFonts w:asciiTheme="majorBidi" w:hAnsiTheme="majorBidi" w:cstheme="majorBidi"/>
          <w:sz w:val="24"/>
          <w:szCs w:val="24"/>
          <w:lang w:val="en-GB"/>
        </w:rPr>
        <w:t xml:space="preserve"> IN AZERBAIJAN</w:t>
      </w:r>
    </w:p>
    <w:p w14:paraId="39BE69B3" w14:textId="75BB1A80" w:rsidR="00044EC8" w:rsidRPr="00044EC8" w:rsidRDefault="00044EC8" w:rsidP="00044EC8">
      <w:pPr>
        <w:rPr>
          <w:rFonts w:asciiTheme="majorBidi" w:hAnsiTheme="majorBidi" w:cstheme="majorBidi"/>
          <w:sz w:val="24"/>
          <w:szCs w:val="24"/>
          <w:lang w:val="en-GB"/>
        </w:rPr>
      </w:pPr>
      <w:r w:rsidRPr="00044EC8">
        <w:rPr>
          <w:rFonts w:asciiTheme="majorBidi" w:hAnsiTheme="majorBidi" w:cstheme="majorBidi"/>
          <w:b/>
          <w:bCs/>
          <w:sz w:val="24"/>
          <w:szCs w:val="24"/>
          <w:lang w:val="en-GB"/>
        </w:rPr>
        <w:t>Sector:</w:t>
      </w:r>
      <w:r w:rsidRPr="00044EC8">
        <w:rPr>
          <w:rFonts w:asciiTheme="majorBidi" w:hAnsiTheme="majorBidi" w:cstheme="majorBidi"/>
          <w:sz w:val="24"/>
          <w:szCs w:val="24"/>
          <w:lang w:val="en-GB"/>
        </w:rPr>
        <w:t xml:space="preserve"> ISLAMIC </w:t>
      </w:r>
      <w:r w:rsidR="00506CEE">
        <w:rPr>
          <w:rFonts w:asciiTheme="majorBidi" w:hAnsiTheme="majorBidi" w:cstheme="majorBidi"/>
          <w:sz w:val="24"/>
          <w:szCs w:val="24"/>
          <w:lang w:val="en-GB"/>
        </w:rPr>
        <w:t>CAPITAL MARKETS</w:t>
      </w:r>
    </w:p>
    <w:p w14:paraId="58E9D5B0" w14:textId="77777777" w:rsidR="00044EC8" w:rsidRPr="00044EC8" w:rsidRDefault="00044EC8" w:rsidP="00044EC8">
      <w:pPr>
        <w:rPr>
          <w:rFonts w:asciiTheme="majorBidi" w:hAnsiTheme="majorBidi" w:cstheme="majorBidi"/>
          <w:sz w:val="24"/>
          <w:szCs w:val="24"/>
          <w:lang w:val="en-GB"/>
        </w:rPr>
      </w:pPr>
      <w:r w:rsidRPr="00044EC8">
        <w:rPr>
          <w:rFonts w:asciiTheme="majorBidi" w:hAnsiTheme="majorBidi" w:cstheme="majorBidi"/>
          <w:b/>
          <w:bCs/>
          <w:sz w:val="24"/>
          <w:szCs w:val="24"/>
          <w:lang w:val="en-GB"/>
        </w:rPr>
        <w:t>Mode of Financing:</w:t>
      </w:r>
      <w:r w:rsidRPr="00044EC8">
        <w:rPr>
          <w:rFonts w:asciiTheme="majorBidi" w:hAnsiTheme="majorBidi" w:cstheme="majorBidi"/>
          <w:sz w:val="24"/>
          <w:szCs w:val="24"/>
          <w:lang w:val="en-GB"/>
        </w:rPr>
        <w:t> ISLAMIC FINANCE GRANT</w:t>
      </w:r>
    </w:p>
    <w:p w14:paraId="5B62EC40" w14:textId="1DD9AD30" w:rsidR="005130C3" w:rsidRPr="00FF65D2" w:rsidRDefault="00044EC8" w:rsidP="00FF65D2">
      <w:pPr>
        <w:rPr>
          <w:rFonts w:asciiTheme="majorBidi" w:hAnsiTheme="majorBidi" w:cstheme="majorBidi"/>
          <w:sz w:val="24"/>
          <w:szCs w:val="24"/>
          <w:lang w:val="en-GB"/>
        </w:rPr>
      </w:pPr>
      <w:r w:rsidRPr="00044EC8">
        <w:rPr>
          <w:rFonts w:asciiTheme="majorBidi" w:hAnsiTheme="majorBidi" w:cstheme="majorBidi"/>
          <w:b/>
          <w:bCs/>
          <w:sz w:val="24"/>
          <w:szCs w:val="24"/>
          <w:lang w:val="en-GB"/>
        </w:rPr>
        <w:t>Financing No:</w:t>
      </w:r>
      <w:r w:rsidRPr="00044EC8">
        <w:rPr>
          <w:rFonts w:asciiTheme="majorBidi" w:hAnsiTheme="majorBidi" w:cstheme="majorBidi"/>
          <w:sz w:val="24"/>
          <w:szCs w:val="24"/>
          <w:lang w:val="en-GB"/>
        </w:rPr>
        <w:t>  </w:t>
      </w:r>
      <w:r w:rsidR="00506CEE">
        <w:rPr>
          <w:rFonts w:asciiTheme="majorBidi" w:hAnsiTheme="majorBidi" w:cstheme="majorBidi"/>
          <w:sz w:val="24"/>
          <w:szCs w:val="24"/>
          <w:lang w:val="en-GB"/>
        </w:rPr>
        <w:t>AZE1025</w:t>
      </w:r>
    </w:p>
    <w:p w14:paraId="6C345A67" w14:textId="521A5E22" w:rsidR="001B15ED" w:rsidRDefault="005130C3" w:rsidP="001B15ED">
      <w:pPr>
        <w:suppressAutoHyphens/>
        <w:spacing w:before="120" w:after="120"/>
        <w:jc w:val="both"/>
        <w:rPr>
          <w:rFonts w:ascii="Times New Roman" w:hAnsi="Times New Roman"/>
          <w:spacing w:val="-2"/>
          <w:sz w:val="24"/>
          <w:szCs w:val="24"/>
        </w:rPr>
      </w:pPr>
      <w:r w:rsidRPr="7257D6DB">
        <w:rPr>
          <w:rFonts w:ascii="Times New Roman" w:hAnsi="Times New Roman"/>
          <w:spacing w:val="-2"/>
          <w:sz w:val="24"/>
          <w:szCs w:val="24"/>
        </w:rPr>
        <w:t xml:space="preserve">The </w:t>
      </w:r>
      <w:r w:rsidR="001D5A25" w:rsidRPr="7257D6DB">
        <w:rPr>
          <w:rFonts w:ascii="Times New Roman" w:hAnsi="Times New Roman"/>
          <w:i/>
          <w:iCs/>
          <w:spacing w:val="-2"/>
          <w:sz w:val="24"/>
          <w:szCs w:val="24"/>
        </w:rPr>
        <w:t xml:space="preserve">Islamic Development Bank Institute </w:t>
      </w:r>
      <w:r w:rsidR="001D5A25" w:rsidRPr="7257D6DB">
        <w:rPr>
          <w:rFonts w:ascii="Times New Roman" w:hAnsi="Times New Roman"/>
          <w:spacing w:val="-2"/>
          <w:sz w:val="24"/>
          <w:szCs w:val="24"/>
        </w:rPr>
        <w:t xml:space="preserve">has approved grant </w:t>
      </w:r>
      <w:r w:rsidR="00216103" w:rsidRPr="00216103">
        <w:rPr>
          <w:rFonts w:ascii="Times New Roman" w:hAnsi="Times New Roman"/>
          <w:spacing w:val="-2"/>
          <w:sz w:val="24"/>
          <w:szCs w:val="24"/>
        </w:rPr>
        <w:t xml:space="preserve">USD </w:t>
      </w:r>
      <w:r w:rsidR="0013206D">
        <w:rPr>
          <w:rFonts w:ascii="Times New Roman" w:hAnsi="Times New Roman"/>
          <w:spacing w:val="-2"/>
          <w:sz w:val="24"/>
          <w:szCs w:val="24"/>
        </w:rPr>
        <w:t>2</w:t>
      </w:r>
      <w:r w:rsidR="004078C4">
        <w:rPr>
          <w:rFonts w:ascii="Times New Roman" w:hAnsi="Times New Roman"/>
          <w:spacing w:val="-2"/>
          <w:sz w:val="24"/>
          <w:szCs w:val="24"/>
        </w:rPr>
        <w:t>5</w:t>
      </w:r>
      <w:r w:rsidR="00506CEE">
        <w:rPr>
          <w:rFonts w:ascii="Times New Roman" w:hAnsi="Times New Roman"/>
          <w:spacing w:val="-2"/>
          <w:sz w:val="24"/>
          <w:szCs w:val="24"/>
        </w:rPr>
        <w:t>5</w:t>
      </w:r>
      <w:r w:rsidR="00E531CB" w:rsidRPr="00E531CB">
        <w:rPr>
          <w:rFonts w:ascii="Times New Roman" w:hAnsi="Times New Roman"/>
          <w:spacing w:val="-2"/>
          <w:sz w:val="24"/>
          <w:szCs w:val="24"/>
        </w:rPr>
        <w:t xml:space="preserve">,000 </w:t>
      </w:r>
      <w:r w:rsidR="00216103" w:rsidRPr="00216103">
        <w:rPr>
          <w:rFonts w:ascii="Times New Roman" w:hAnsi="Times New Roman"/>
          <w:spacing w:val="-2"/>
          <w:sz w:val="24"/>
          <w:szCs w:val="24"/>
        </w:rPr>
        <w:t xml:space="preserve">(United States Dollar </w:t>
      </w:r>
      <w:r w:rsidR="0013206D">
        <w:rPr>
          <w:rFonts w:ascii="Times New Roman" w:hAnsi="Times New Roman"/>
          <w:spacing w:val="-2"/>
          <w:sz w:val="24"/>
          <w:szCs w:val="24"/>
        </w:rPr>
        <w:t xml:space="preserve">Two </w:t>
      </w:r>
      <w:r w:rsidR="00216103" w:rsidRPr="00216103">
        <w:rPr>
          <w:rFonts w:ascii="Times New Roman" w:hAnsi="Times New Roman"/>
          <w:spacing w:val="-2"/>
          <w:sz w:val="24"/>
          <w:szCs w:val="24"/>
        </w:rPr>
        <w:t xml:space="preserve">Hundred </w:t>
      </w:r>
      <w:r w:rsidR="00506CEE">
        <w:rPr>
          <w:rFonts w:ascii="Times New Roman" w:hAnsi="Times New Roman"/>
          <w:spacing w:val="-2"/>
          <w:sz w:val="24"/>
          <w:szCs w:val="24"/>
        </w:rPr>
        <w:t xml:space="preserve">Fifty-Five </w:t>
      </w:r>
      <w:r w:rsidR="00216103" w:rsidRPr="00216103">
        <w:rPr>
          <w:rFonts w:ascii="Times New Roman" w:hAnsi="Times New Roman"/>
          <w:spacing w:val="-2"/>
          <w:sz w:val="24"/>
          <w:szCs w:val="24"/>
        </w:rPr>
        <w:t xml:space="preserve">Thousand) </w:t>
      </w:r>
      <w:r w:rsidR="001D5A25" w:rsidRPr="7257D6DB">
        <w:rPr>
          <w:rFonts w:ascii="Times New Roman" w:hAnsi="Times New Roman"/>
          <w:spacing w:val="-2"/>
          <w:sz w:val="24"/>
          <w:szCs w:val="24"/>
        </w:rPr>
        <w:t>financing</w:t>
      </w:r>
      <w:r w:rsidRPr="7257D6DB">
        <w:rPr>
          <w:rFonts w:ascii="Times New Roman" w:hAnsi="Times New Roman"/>
          <w:spacing w:val="-2"/>
          <w:sz w:val="24"/>
          <w:szCs w:val="24"/>
        </w:rPr>
        <w:t xml:space="preserve"> </w:t>
      </w:r>
      <w:r w:rsidR="00E5160F" w:rsidRPr="00E5160F">
        <w:rPr>
          <w:rFonts w:ascii="Times New Roman" w:hAnsi="Times New Roman"/>
          <w:spacing w:val="-2"/>
          <w:sz w:val="24"/>
          <w:szCs w:val="24"/>
        </w:rPr>
        <w:t xml:space="preserve">to </w:t>
      </w:r>
      <w:r w:rsidR="00704CF8" w:rsidRPr="00704CF8">
        <w:rPr>
          <w:rFonts w:ascii="Times New Roman" w:hAnsi="Times New Roman"/>
          <w:spacing w:val="-2"/>
          <w:sz w:val="24"/>
          <w:szCs w:val="24"/>
        </w:rPr>
        <w:t xml:space="preserve">provide technical assistance (TA) toward the cost of the “Islamic Finance Grant to </w:t>
      </w:r>
      <w:r w:rsidR="00C408EE" w:rsidRPr="00C408EE">
        <w:rPr>
          <w:rFonts w:ascii="Times New Roman" w:hAnsi="Times New Roman"/>
          <w:spacing w:val="-2"/>
          <w:sz w:val="24"/>
          <w:szCs w:val="24"/>
        </w:rPr>
        <w:t>support the Central Bank of Azerbaijan in establishing a comprehensive regulatory framework that fosters the growth and development of the Islamic capital market in Azerbaijan</w:t>
      </w:r>
      <w:r w:rsidR="00704CF8" w:rsidRPr="00704CF8">
        <w:rPr>
          <w:rFonts w:ascii="Times New Roman" w:hAnsi="Times New Roman"/>
          <w:spacing w:val="-2"/>
          <w:sz w:val="24"/>
          <w:szCs w:val="24"/>
        </w:rPr>
        <w:t xml:space="preserve">. </w:t>
      </w:r>
      <w:r w:rsidR="0006245D" w:rsidRPr="0006245D">
        <w:rPr>
          <w:rFonts w:ascii="Times New Roman" w:hAnsi="Times New Roman"/>
          <w:spacing w:val="-2"/>
          <w:sz w:val="24"/>
          <w:szCs w:val="24"/>
        </w:rPr>
        <w:t>The Central Bank of Azerbaijan will be the executing agency for this project.</w:t>
      </w:r>
      <w:r w:rsidRPr="7257D6DB">
        <w:rPr>
          <w:rFonts w:ascii="Times New Roman" w:hAnsi="Times New Roman"/>
          <w:spacing w:val="-2"/>
          <w:sz w:val="24"/>
          <w:szCs w:val="24"/>
        </w:rPr>
        <w:t xml:space="preserve"> </w:t>
      </w:r>
    </w:p>
    <w:p w14:paraId="641E6A1C" w14:textId="49F57D9D" w:rsidR="00A6563A" w:rsidRPr="00914FD7" w:rsidRDefault="00065B77" w:rsidP="001B15ED">
      <w:pPr>
        <w:suppressAutoHyphens/>
        <w:spacing w:before="120" w:after="120"/>
        <w:jc w:val="both"/>
        <w:rPr>
          <w:rFonts w:ascii="Times New Roman" w:hAnsi="Times New Roman"/>
          <w:spacing w:val="-2"/>
          <w:sz w:val="24"/>
          <w:szCs w:val="24"/>
        </w:rPr>
      </w:pPr>
      <w:r w:rsidRPr="00065B77">
        <w:rPr>
          <w:rFonts w:ascii="Times New Roman" w:hAnsi="Times New Roman"/>
          <w:spacing w:val="-2"/>
          <w:sz w:val="24"/>
          <w:szCs w:val="24"/>
        </w:rPr>
        <w:t xml:space="preserve">The primary goal of this grant project is to help Azerbaijan create a supportive environment for introducing Sukuk, a type of Islamic financial certificate. The project will lay the groundwork for a more diversified financial sector by establishing a strong legal and regulatory framework for issuing Sukuk and other Islamic finance products. Additionally, this initiative will focus on building the capacity of Azerbaijani institutions to manage the unique risks associated with Islamic finance. It will also create a monitoring and evaluation framework to effectively track the growth of this sector. Ultimately, the project's success is tied to the successful issuance of Azerbaijan's first Sukuk, which will serve as a </w:t>
      </w:r>
      <w:r w:rsidR="00210083" w:rsidRPr="00065B77">
        <w:rPr>
          <w:rFonts w:ascii="Times New Roman" w:hAnsi="Times New Roman"/>
          <w:spacing w:val="-2"/>
          <w:sz w:val="24"/>
          <w:szCs w:val="24"/>
        </w:rPr>
        <w:t>steppingstone</w:t>
      </w:r>
      <w:r w:rsidRPr="00065B77">
        <w:rPr>
          <w:rFonts w:ascii="Times New Roman" w:hAnsi="Times New Roman"/>
          <w:spacing w:val="-2"/>
          <w:sz w:val="24"/>
          <w:szCs w:val="24"/>
        </w:rPr>
        <w:t xml:space="preserve"> for future growth.</w:t>
      </w:r>
    </w:p>
    <w:p w14:paraId="523626D4" w14:textId="506639CA" w:rsidR="001D5A25" w:rsidRPr="00C77F90" w:rsidRDefault="005130C3" w:rsidP="00C77F90">
      <w:pPr>
        <w:suppressAutoHyphens/>
        <w:jc w:val="both"/>
        <w:rPr>
          <w:rFonts w:ascii="Times New Roman" w:hAnsi="Times New Roman"/>
          <w:spacing w:val="-2"/>
          <w:sz w:val="24"/>
          <w:szCs w:val="24"/>
        </w:rPr>
      </w:pPr>
      <w:r w:rsidRPr="00914FD7">
        <w:rPr>
          <w:rFonts w:ascii="Times New Roman" w:hAnsi="Times New Roman"/>
          <w:spacing w:val="-2"/>
          <w:sz w:val="24"/>
          <w:szCs w:val="24"/>
        </w:rPr>
        <w:t xml:space="preserve">The </w:t>
      </w:r>
      <w:r w:rsidR="00F0555B" w:rsidRPr="00914FD7">
        <w:rPr>
          <w:rFonts w:ascii="Times New Roman" w:hAnsi="Times New Roman"/>
          <w:spacing w:val="-2"/>
          <w:sz w:val="24"/>
          <w:szCs w:val="24"/>
        </w:rPr>
        <w:t xml:space="preserve">project </w:t>
      </w:r>
      <w:r w:rsidR="00B57DAB" w:rsidRPr="00914FD7">
        <w:rPr>
          <w:rFonts w:ascii="Times New Roman" w:hAnsi="Times New Roman"/>
          <w:spacing w:val="-2"/>
          <w:sz w:val="24"/>
          <w:szCs w:val="24"/>
        </w:rPr>
        <w:t>will include the following components</w:t>
      </w:r>
      <w:r w:rsidR="001D5A25" w:rsidRPr="00914FD7">
        <w:rPr>
          <w:rFonts w:ascii="Times New Roman" w:hAnsi="Times New Roman"/>
          <w:spacing w:val="-2"/>
          <w:sz w:val="24"/>
          <w:szCs w:val="24"/>
        </w:rPr>
        <w:t>:</w:t>
      </w:r>
      <w:r w:rsidRPr="00914FD7">
        <w:rPr>
          <w:rFonts w:ascii="Times New Roman" w:hAnsi="Times New Roman"/>
          <w:spacing w:val="-2"/>
          <w:sz w:val="24"/>
          <w:szCs w:val="24"/>
        </w:rPr>
        <w:t xml:space="preserve"> </w:t>
      </w:r>
    </w:p>
    <w:p w14:paraId="4F760614" w14:textId="3721B7B1" w:rsidR="00A9210D" w:rsidRPr="00A9210D" w:rsidRDefault="00A9210D" w:rsidP="00A9210D">
      <w:pPr>
        <w:pStyle w:val="ListParagraph"/>
        <w:numPr>
          <w:ilvl w:val="0"/>
          <w:numId w:val="27"/>
        </w:numPr>
        <w:tabs>
          <w:tab w:val="left" w:pos="360"/>
        </w:tabs>
        <w:suppressAutoHyphens/>
        <w:spacing w:before="120"/>
        <w:ind w:left="0" w:firstLine="0"/>
        <w:jc w:val="both"/>
        <w:rPr>
          <w:rFonts w:ascii="Times New Roman" w:hAnsi="Times New Roman"/>
          <w:spacing w:val="-2"/>
          <w:sz w:val="24"/>
        </w:rPr>
      </w:pPr>
      <w:r w:rsidRPr="00A9210D">
        <w:rPr>
          <w:rFonts w:ascii="Times New Roman" w:hAnsi="Times New Roman"/>
          <w:spacing w:val="-2"/>
          <w:sz w:val="24"/>
        </w:rPr>
        <w:t xml:space="preserve">This project is designed to bolster the Islamic capital market in Azerbaijan through a comprehensive, three-pronged approach. The initial phase, Consultancy Services, will lay the foundational groundwork. This involves a detailed benchmark study of leading Islamic capital markets, such as those in Malaysia, Bahrain, the UAE, </w:t>
      </w:r>
      <w:r w:rsidR="009C70C0">
        <w:rPr>
          <w:rFonts w:ascii="Times New Roman" w:hAnsi="Times New Roman"/>
          <w:spacing w:val="-2"/>
          <w:sz w:val="24"/>
        </w:rPr>
        <w:t>Kazakhstan, T</w:t>
      </w:r>
      <w:r w:rsidR="009C70C0">
        <w:rPr>
          <w:rFonts w:ascii="Times New Roman" w:hAnsi="Times New Roman"/>
          <w:spacing w:val="-2"/>
          <w:sz w:val="24"/>
          <w:lang w:val="az-Latn-AZ"/>
        </w:rPr>
        <w:t xml:space="preserve">ürkiye </w:t>
      </w:r>
      <w:r w:rsidRPr="00A9210D">
        <w:rPr>
          <w:rFonts w:ascii="Times New Roman" w:hAnsi="Times New Roman"/>
          <w:spacing w:val="-2"/>
          <w:sz w:val="24"/>
        </w:rPr>
        <w:t xml:space="preserve">and Saudi Arabia, to identify best practices. This analysis will inform the drafting of new legal, regulatory, and Sharia governance frameworks, as well as a dedicated National Sukuk Framework to guide future issuances. The goal is to create a robust and enabling ecosystem for Islamic finance by assessing necessary changes to existing regulations, developing operational manuals, and establishing risk management guidelines specific to Sukuk and other Islamic finance transactions. </w:t>
      </w:r>
    </w:p>
    <w:p w14:paraId="4A7D6457" w14:textId="77777777" w:rsidR="00A9210D" w:rsidRPr="00A9210D" w:rsidRDefault="00A9210D" w:rsidP="00A9210D">
      <w:pPr>
        <w:pStyle w:val="ListParagraph"/>
        <w:numPr>
          <w:ilvl w:val="0"/>
          <w:numId w:val="27"/>
        </w:numPr>
        <w:tabs>
          <w:tab w:val="left" w:pos="360"/>
        </w:tabs>
        <w:suppressAutoHyphens/>
        <w:spacing w:before="120"/>
        <w:ind w:left="0" w:firstLine="0"/>
        <w:jc w:val="both"/>
        <w:rPr>
          <w:rFonts w:ascii="Times New Roman" w:hAnsi="Times New Roman"/>
          <w:spacing w:val="-2"/>
          <w:sz w:val="24"/>
        </w:rPr>
      </w:pPr>
      <w:r w:rsidRPr="00A9210D">
        <w:rPr>
          <w:rFonts w:ascii="Times New Roman" w:hAnsi="Times New Roman"/>
          <w:spacing w:val="-2"/>
          <w:sz w:val="24"/>
        </w:rPr>
        <w:t xml:space="preserve">The second component, Capacity Building, directly supports and builds upon the first by providing essential training and professional development. The same consultants from the initial phase will deliver comprehensive programs to key stakeholders. These programs will cover critical topics such as Sharia compliance, Sukuk structuring, risk management, and regulatory frameworks. Specialized training will also be offered to legal professionals, including lawyers and judges, to ensure they are well-versed in the unique aspects of Islamic financial instruments. This approach ensures a unified and consistent transfer of knowledge, directly translating the new frameworks into practical, on-the-ground expertise. </w:t>
      </w:r>
    </w:p>
    <w:p w14:paraId="592227F2" w14:textId="7DD40980" w:rsidR="00210083" w:rsidRPr="00A9210D" w:rsidRDefault="00A9210D" w:rsidP="00A9210D">
      <w:pPr>
        <w:pStyle w:val="ListParagraph"/>
        <w:numPr>
          <w:ilvl w:val="0"/>
          <w:numId w:val="27"/>
        </w:numPr>
        <w:tabs>
          <w:tab w:val="left" w:pos="360"/>
        </w:tabs>
        <w:suppressAutoHyphens/>
        <w:spacing w:before="120"/>
        <w:ind w:left="0" w:firstLine="0"/>
        <w:jc w:val="both"/>
        <w:rPr>
          <w:rFonts w:ascii="Times New Roman" w:hAnsi="Times New Roman"/>
          <w:spacing w:val="-2"/>
          <w:sz w:val="24"/>
        </w:rPr>
      </w:pPr>
      <w:r w:rsidRPr="00A9210D">
        <w:rPr>
          <w:rFonts w:ascii="Times New Roman" w:hAnsi="Times New Roman"/>
          <w:spacing w:val="-2"/>
          <w:sz w:val="24"/>
        </w:rPr>
        <w:t xml:space="preserve">Finally, the project includes Study Visits for key personnel from the Central Bank of Azerbaijan and other relevant institutions. These visits will allow participants to learn directly from leading regulatory bodies in countries with mature Islamic finance sectors. The primary objectives are to gain insights into effective supervision, observe innovative solutions to common challenges, and foster networking opportunities with international peers. By immersing themselves in these </w:t>
      </w:r>
      <w:r w:rsidRPr="00A9210D">
        <w:rPr>
          <w:rFonts w:ascii="Times New Roman" w:hAnsi="Times New Roman"/>
          <w:spacing w:val="-2"/>
          <w:sz w:val="24"/>
        </w:rPr>
        <w:lastRenderedPageBreak/>
        <w:t>advanced environments, participants can apply real-world lessons and best practices to enhance the regulatory and supervisory framework for Islamic finance back in Azerbaijan.</w:t>
      </w:r>
    </w:p>
    <w:p w14:paraId="050AFBF4" w14:textId="52A683FB" w:rsidR="005130C3" w:rsidRPr="00B96F14" w:rsidRDefault="003B360E" w:rsidP="00C77F90">
      <w:pPr>
        <w:suppressAutoHyphens/>
        <w:spacing w:before="120" w:after="120"/>
        <w:jc w:val="both"/>
        <w:rPr>
          <w:rFonts w:ascii="Times New Roman" w:hAnsi="Times New Roman"/>
          <w:iCs/>
          <w:spacing w:val="-2"/>
          <w:sz w:val="24"/>
        </w:rPr>
      </w:pPr>
      <w:r w:rsidRPr="003B360E">
        <w:rPr>
          <w:rFonts w:ascii="Times New Roman" w:hAnsi="Times New Roman"/>
          <w:spacing w:val="-2"/>
          <w:sz w:val="24"/>
        </w:rPr>
        <w:t xml:space="preserve">Procurement of contracts financed by the Islamic Development Bank will be conducted through the procedures specified under the Guidelines for the Procurement of Consultant Services under Islamic Development Bank Project Financing (April 2019, </w:t>
      </w:r>
      <w:r w:rsidR="005E3E0B" w:rsidRPr="003B360E">
        <w:rPr>
          <w:rFonts w:ascii="Times New Roman" w:hAnsi="Times New Roman"/>
          <w:spacing w:val="-2"/>
          <w:sz w:val="24"/>
        </w:rPr>
        <w:t>revised</w:t>
      </w:r>
      <w:r w:rsidRPr="003B360E">
        <w:rPr>
          <w:rFonts w:ascii="Times New Roman" w:hAnsi="Times New Roman"/>
          <w:spacing w:val="-2"/>
          <w:sz w:val="24"/>
        </w:rPr>
        <w:t xml:space="preserve"> in February 2023) and is open to all eligible bidders as defined in the guidelines.</w:t>
      </w:r>
      <w:r w:rsidR="00DF62EB" w:rsidRPr="00B96F14">
        <w:rPr>
          <w:rFonts w:ascii="Times New Roman" w:hAnsi="Times New Roman"/>
          <w:spacing w:val="-2"/>
          <w:sz w:val="24"/>
        </w:rPr>
        <w:t xml:space="preserve"> </w:t>
      </w:r>
    </w:p>
    <w:p w14:paraId="2D9B0BC7" w14:textId="57A0D922" w:rsidR="00E574FD" w:rsidRPr="00CE06DB" w:rsidRDefault="00947C01" w:rsidP="00C77F90">
      <w:pPr>
        <w:spacing w:before="120" w:after="120"/>
        <w:ind w:right="200"/>
        <w:jc w:val="both"/>
        <w:rPr>
          <w:rFonts w:ascii="Times New Roman" w:hAnsi="Times New Roman"/>
          <w:b/>
          <w:bCs/>
          <w:spacing w:val="-2"/>
          <w:sz w:val="24"/>
        </w:rPr>
      </w:pPr>
      <w:r w:rsidRPr="00947C01">
        <w:rPr>
          <w:rFonts w:ascii="Times New Roman" w:hAnsi="Times New Roman"/>
          <w:b/>
          <w:bCs/>
          <w:spacing w:val="-2"/>
          <w:sz w:val="24"/>
        </w:rPr>
        <w:t>Requests for Expressions of Interest for consultancy services will be posted on the IsDB Website and DG Market as they become available.</w:t>
      </w:r>
      <w:r w:rsidR="005D5F34" w:rsidRPr="00CE06DB">
        <w:rPr>
          <w:rFonts w:ascii="Times New Roman" w:hAnsi="Times New Roman"/>
          <w:b/>
          <w:bCs/>
          <w:spacing w:val="-2"/>
          <w:sz w:val="24"/>
        </w:rPr>
        <w:t xml:space="preserve"> </w:t>
      </w:r>
    </w:p>
    <w:p w14:paraId="767E4763" w14:textId="77777777" w:rsidR="0072266F" w:rsidRPr="00B93DC4" w:rsidRDefault="0072266F" w:rsidP="0072266F">
      <w:pPr>
        <w:suppressAutoHyphens/>
        <w:spacing w:before="120" w:after="120"/>
        <w:jc w:val="both"/>
        <w:rPr>
          <w:rFonts w:ascii="Times New Roman" w:hAnsi="Times New Roman"/>
          <w:spacing w:val="-2"/>
          <w:sz w:val="24"/>
          <w:szCs w:val="24"/>
        </w:rPr>
      </w:pPr>
      <w:r w:rsidRPr="00274E08">
        <w:rPr>
          <w:rFonts w:ascii="Times New Roman" w:hAnsi="Times New Roman"/>
          <w:spacing w:val="-2"/>
          <w:sz w:val="24"/>
          <w:szCs w:val="24"/>
        </w:rPr>
        <w:t>Interested and eligible firms wishing to be considered for the provision of consulting services for the aforementioned project are advised to await the advertisement of the Request for Expression of Interest (REOI) and Terms of Reference (T</w:t>
      </w:r>
      <w:r>
        <w:rPr>
          <w:rFonts w:ascii="Times New Roman" w:hAnsi="Times New Roman"/>
          <w:spacing w:val="-2"/>
          <w:sz w:val="24"/>
          <w:szCs w:val="24"/>
        </w:rPr>
        <w:t>o</w:t>
      </w:r>
      <w:r w:rsidRPr="00274E08">
        <w:rPr>
          <w:rFonts w:ascii="Times New Roman" w:hAnsi="Times New Roman"/>
          <w:spacing w:val="-2"/>
          <w:sz w:val="24"/>
          <w:szCs w:val="24"/>
        </w:rPr>
        <w:t>R)</w:t>
      </w:r>
      <w:r>
        <w:rPr>
          <w:rFonts w:ascii="Times New Roman" w:hAnsi="Times New Roman"/>
          <w:spacing w:val="-2"/>
          <w:sz w:val="24"/>
          <w:szCs w:val="24"/>
        </w:rPr>
        <w:t>.</w:t>
      </w:r>
    </w:p>
    <w:p w14:paraId="658590FB" w14:textId="77777777" w:rsidR="0072266F" w:rsidRPr="00E31DF2" w:rsidRDefault="0072266F" w:rsidP="0072266F">
      <w:pPr>
        <w:spacing w:before="360"/>
        <w:ind w:right="202"/>
        <w:jc w:val="both"/>
        <w:rPr>
          <w:rFonts w:ascii="Times New Roman" w:hAnsi="Times New Roman"/>
          <w:b/>
          <w:bCs/>
          <w:spacing w:val="-2"/>
          <w:sz w:val="24"/>
        </w:rPr>
      </w:pPr>
      <w:r w:rsidRPr="00E31DF2">
        <w:rPr>
          <w:rFonts w:ascii="Times New Roman" w:hAnsi="Times New Roman"/>
          <w:b/>
          <w:bCs/>
          <w:spacing w:val="-2"/>
          <w:sz w:val="24"/>
        </w:rPr>
        <w:t>THE ISLAMIC DEVELOPMENT BANK INSTITUTE</w:t>
      </w:r>
    </w:p>
    <w:p w14:paraId="5017DC4D" w14:textId="77777777" w:rsidR="0072266F" w:rsidRPr="00313A6E" w:rsidRDefault="0072266F" w:rsidP="0072266F">
      <w:pPr>
        <w:suppressAutoHyphens/>
        <w:jc w:val="both"/>
        <w:rPr>
          <w:rFonts w:asciiTheme="majorBidi" w:eastAsia="Calibri" w:hAnsiTheme="majorBidi" w:cstheme="majorBidi"/>
          <w:spacing w:val="-2"/>
          <w:sz w:val="24"/>
          <w:szCs w:val="22"/>
        </w:rPr>
      </w:pPr>
      <w:r w:rsidRPr="00313A6E">
        <w:rPr>
          <w:rFonts w:asciiTheme="majorBidi" w:eastAsia="Calibri" w:hAnsiTheme="majorBidi" w:cstheme="majorBidi"/>
          <w:spacing w:val="-2"/>
          <w:sz w:val="24"/>
          <w:szCs w:val="22"/>
        </w:rPr>
        <w:t>The Islamic Development Bank Institute</w:t>
      </w:r>
    </w:p>
    <w:p w14:paraId="3E6B5E20" w14:textId="77777777" w:rsidR="0072266F" w:rsidRPr="00A37740" w:rsidRDefault="0072266F" w:rsidP="0072266F">
      <w:pPr>
        <w:ind w:right="202"/>
        <w:jc w:val="both"/>
        <w:rPr>
          <w:rFonts w:ascii="Times New Roman" w:hAnsi="Times New Roman"/>
          <w:spacing w:val="-2"/>
          <w:sz w:val="24"/>
        </w:rPr>
      </w:pPr>
      <w:r w:rsidRPr="00313A6E">
        <w:rPr>
          <w:rFonts w:asciiTheme="majorBidi" w:eastAsia="Calibri" w:hAnsiTheme="majorBidi" w:cstheme="majorBidi"/>
          <w:spacing w:val="-2"/>
          <w:sz w:val="24"/>
          <w:szCs w:val="22"/>
        </w:rPr>
        <w:t>Email:</w:t>
      </w:r>
      <w:r>
        <w:rPr>
          <w:rFonts w:asciiTheme="majorBidi" w:eastAsia="Calibri" w:hAnsiTheme="majorBidi" w:cstheme="majorBidi"/>
          <w:spacing w:val="-2"/>
          <w:sz w:val="24"/>
          <w:szCs w:val="22"/>
        </w:rPr>
        <w:t xml:space="preserve"> </w:t>
      </w:r>
      <w:hyperlink r:id="rId9" w:history="1">
        <w:r w:rsidRPr="00670888">
          <w:rPr>
            <w:rStyle w:val="Hyperlink"/>
            <w:rFonts w:asciiTheme="majorBidi" w:eastAsia="Calibri" w:hAnsiTheme="majorBidi" w:cstheme="majorBidi"/>
            <w:spacing w:val="-2"/>
            <w:sz w:val="24"/>
            <w:szCs w:val="22"/>
          </w:rPr>
          <w:t>cp.isdbi@isdb.org</w:t>
        </w:r>
      </w:hyperlink>
      <w:r>
        <w:rPr>
          <w:rFonts w:asciiTheme="majorBidi" w:eastAsia="Calibri" w:hAnsiTheme="majorBidi" w:cstheme="majorBidi"/>
          <w:spacing w:val="-2"/>
          <w:sz w:val="24"/>
          <w:szCs w:val="22"/>
        </w:rPr>
        <w:t xml:space="preserve"> </w:t>
      </w:r>
      <w:r>
        <w:rPr>
          <w:rFonts w:ascii="Times New Roman" w:hAnsi="Times New Roman"/>
          <w:spacing w:val="-2"/>
          <w:sz w:val="24"/>
        </w:rPr>
        <w:t xml:space="preserve"> </w:t>
      </w:r>
    </w:p>
    <w:p w14:paraId="6777AD01" w14:textId="1E51BEB9" w:rsidR="00993D12" w:rsidRPr="0032427B" w:rsidRDefault="00993D12" w:rsidP="0072266F">
      <w:pPr>
        <w:pStyle w:val="NormalWeb"/>
        <w:spacing w:before="120" w:beforeAutospacing="0" w:after="120" w:afterAutospacing="0"/>
        <w:rPr>
          <w:rFonts w:asciiTheme="majorBidi" w:hAnsiTheme="majorBidi" w:cstheme="majorBidi"/>
          <w:szCs w:val="22"/>
          <w:lang w:val="en-GB"/>
        </w:rPr>
      </w:pPr>
    </w:p>
    <w:sectPr w:rsidR="00993D12" w:rsidRPr="0032427B" w:rsidSect="00A9210D">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39" w:code="9"/>
      <w:pgMar w:top="1440" w:right="1467" w:bottom="1260" w:left="1260" w:header="426"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967D1" w14:textId="77777777" w:rsidR="00981DC0" w:rsidRDefault="00981DC0">
      <w:r>
        <w:separator/>
      </w:r>
    </w:p>
  </w:endnote>
  <w:endnote w:type="continuationSeparator" w:id="0">
    <w:p w14:paraId="46293BB2" w14:textId="77777777" w:rsidR="00981DC0" w:rsidRDefault="00981DC0">
      <w:r>
        <w:rPr>
          <w:sz w:val="24"/>
        </w:rPr>
        <w:t xml:space="preserve"> </w:t>
      </w:r>
    </w:p>
  </w:endnote>
  <w:endnote w:type="continuationNotice" w:id="1">
    <w:p w14:paraId="612334FC" w14:textId="77777777" w:rsidR="00981DC0" w:rsidRDefault="00981DC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Semilight">
    <w:panose1 w:val="020B0400000000000000"/>
    <w:charset w:val="80"/>
    <w:family w:val="swiss"/>
    <w:pitch w:val="variable"/>
    <w:sig w:usb0="E00002FF" w:usb1="2AC7FDFF" w:usb2="00000016"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DCD99" w14:textId="77777777" w:rsidR="009C70C0" w:rsidRDefault="009C70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D38A1" w14:textId="77777777" w:rsidR="009C70C0" w:rsidRDefault="009C70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0A313" w14:textId="77777777" w:rsidR="009C70C0" w:rsidRDefault="009C7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FB70D" w14:textId="77777777" w:rsidR="00981DC0" w:rsidRDefault="00981DC0">
      <w:r>
        <w:rPr>
          <w:sz w:val="24"/>
        </w:rPr>
        <w:separator/>
      </w:r>
    </w:p>
  </w:footnote>
  <w:footnote w:type="continuationSeparator" w:id="0">
    <w:p w14:paraId="37641227" w14:textId="77777777" w:rsidR="00981DC0" w:rsidRDefault="00981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12E54" w14:textId="07DAD703" w:rsidR="00BC7634" w:rsidRDefault="00BC7634">
    <w:pPr>
      <w:pStyle w:val="Header"/>
    </w:pPr>
    <w:r>
      <w:rPr>
        <w:noProof/>
      </w:rPr>
      <mc:AlternateContent>
        <mc:Choice Requires="wps">
          <w:drawing>
            <wp:anchor distT="0" distB="0" distL="114300" distR="114300" simplePos="0" relativeHeight="251660288" behindDoc="0" locked="0" layoutInCell="0" allowOverlap="1" wp14:anchorId="717744A3" wp14:editId="2E13B8FA">
              <wp:simplePos x="0" y="0"/>
              <wp:positionH relativeFrom="page">
                <wp:posOffset>0</wp:posOffset>
              </wp:positionH>
              <wp:positionV relativeFrom="page">
                <wp:posOffset>190500</wp:posOffset>
              </wp:positionV>
              <wp:extent cx="7560945" cy="273050"/>
              <wp:effectExtent l="0" t="0" r="0" b="12700"/>
              <wp:wrapNone/>
              <wp:docPr id="2" name="MSIPCM4ee3484dbc0faa3324c6fafa" descr="{&quot;HashCode&quot;:-1813103172,&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237EBC" w14:textId="49CCC560" w:rsidR="00BC7634" w:rsidRPr="00BC7634" w:rsidRDefault="00BC7634" w:rsidP="00BC7634">
                          <w:pPr>
                            <w:rPr>
                              <w:rFonts w:ascii="Calibri" w:hAnsi="Calibri" w:cs="Calibri"/>
                              <w:color w:val="000000"/>
                              <w:sz w:val="20"/>
                            </w:rPr>
                          </w:pPr>
                          <w:r w:rsidRPr="00BC7634">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17744A3" id="_x0000_t202" coordsize="21600,21600" o:spt="202" path="m,l,21600r21600,l21600,xe">
              <v:stroke joinstyle="miter"/>
              <v:path gradientshapeok="t" o:connecttype="rect"/>
            </v:shapetype>
            <v:shape id="MSIPCM4ee3484dbc0faa3324c6fafa" o:spid="_x0000_s1026" type="#_x0000_t202" alt="{&quot;HashCode&quot;:-1813103172,&quot;Height&quot;:841.0,&quot;Width&quot;:595.0,&quot;Placement&quot;:&quot;Header&quot;,&quot;Index&quot;:&quot;OddAndEven&quot;,&quot;Section&quot;:1,&quot;Top&quot;:0.0,&quot;Left&quot;:0.0}" style="position:absolute;margin-left:0;margin-top:1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mErGA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" o:allowincell="f" filled="f" stroked="f" strokeweight=".5pt">
              <v:textbox inset="20pt,0,,0">
                <w:txbxContent>
                  <w:p w14:paraId="47237EBC" w14:textId="49CCC560" w:rsidR="00BC7634" w:rsidRPr="00BC7634" w:rsidRDefault="00BC7634" w:rsidP="00BC7634">
                    <w:pPr>
                      <w:rPr>
                        <w:rFonts w:ascii="Calibri" w:hAnsi="Calibri" w:cs="Calibri"/>
                        <w:color w:val="000000"/>
                        <w:sz w:val="20"/>
                      </w:rPr>
                    </w:pPr>
                    <w:r w:rsidRPr="00BC7634">
                      <w:rPr>
                        <w:rFonts w:ascii="Calibri" w:hAnsi="Calibri" w:cs="Calibri"/>
                        <w:color w:val="000000"/>
                        <w:sz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A9A20" w14:textId="77777777" w:rsidR="009C70C0" w:rsidRDefault="009C70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3EAAF" w14:textId="77777777" w:rsidR="009C70C0" w:rsidRDefault="009C70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01D8A9E"/>
    <w:multiLevelType w:val="hybridMultilevel"/>
    <w:tmpl w:val="FFFFFFFF"/>
    <w:lvl w:ilvl="0" w:tplc="FFFFFFFF">
      <w:start w:val="1"/>
      <w:numFmt w:val="ideographDigital"/>
      <w:lvlText w:val=""/>
      <w:lvlJc w:val="left"/>
    </w:lvl>
    <w:lvl w:ilvl="1" w:tplc="F467F39B">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C43B0"/>
    <w:multiLevelType w:val="hybridMultilevel"/>
    <w:tmpl w:val="CF08217A"/>
    <w:lvl w:ilvl="0" w:tplc="0409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510707E"/>
    <w:multiLevelType w:val="hybridMultilevel"/>
    <w:tmpl w:val="BDD4F6F6"/>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 w15:restartNumberingAfterBreak="0">
    <w:nsid w:val="072D0A14"/>
    <w:multiLevelType w:val="hybridMultilevel"/>
    <w:tmpl w:val="C2B403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719A8"/>
    <w:multiLevelType w:val="hybridMultilevel"/>
    <w:tmpl w:val="DBBC44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FA068E1"/>
    <w:multiLevelType w:val="hybridMultilevel"/>
    <w:tmpl w:val="9580B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3C347C"/>
    <w:multiLevelType w:val="hybridMultilevel"/>
    <w:tmpl w:val="62D86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54125"/>
    <w:multiLevelType w:val="hybridMultilevel"/>
    <w:tmpl w:val="EF567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44DC1"/>
    <w:multiLevelType w:val="hybridMultilevel"/>
    <w:tmpl w:val="6F08181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16370D9"/>
    <w:multiLevelType w:val="hybridMultilevel"/>
    <w:tmpl w:val="E7F0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8E4147"/>
    <w:multiLevelType w:val="hybridMultilevel"/>
    <w:tmpl w:val="13BC90C0"/>
    <w:lvl w:ilvl="0" w:tplc="837CB63C">
      <w:start w:val="1"/>
      <w:numFmt w:val="upperLetter"/>
      <w:lvlText w:val="%1."/>
      <w:lvlJc w:val="left"/>
      <w:pPr>
        <w:ind w:left="108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8A6EA1"/>
    <w:multiLevelType w:val="hybridMultilevel"/>
    <w:tmpl w:val="D4928FB8"/>
    <w:lvl w:ilvl="0" w:tplc="5DA63C80">
      <w:numFmt w:val="bullet"/>
      <w:lvlText w:val="‑"/>
      <w:lvlJc w:val="left"/>
      <w:pPr>
        <w:ind w:left="1800" w:hanging="360"/>
      </w:pPr>
      <w:rPr>
        <w:rFonts w:ascii="Yu Gothic UI Semilight" w:eastAsia="Yu Gothic UI Semilight" w:hAnsi="Yu Gothic UI Semilight" w:hint="eastAsia"/>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1620A01"/>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D717FD"/>
    <w:multiLevelType w:val="hybridMultilevel"/>
    <w:tmpl w:val="16540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D0582D"/>
    <w:multiLevelType w:val="hybridMultilevel"/>
    <w:tmpl w:val="FC3C4E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67B2C51"/>
    <w:multiLevelType w:val="hybridMultilevel"/>
    <w:tmpl w:val="FFFFFFFF"/>
    <w:lvl w:ilvl="0" w:tplc="FFFFFFFF">
      <w:start w:val="1"/>
      <w:numFmt w:val="ideographDigital"/>
      <w:lvlText w:val=""/>
      <w:lvlJc w:val="left"/>
    </w:lvl>
    <w:lvl w:ilvl="1" w:tplc="E9ADD4C3">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6CE1B12"/>
    <w:multiLevelType w:val="hybridMultilevel"/>
    <w:tmpl w:val="4C26A9B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4B5503"/>
    <w:multiLevelType w:val="hybridMultilevel"/>
    <w:tmpl w:val="4B6E4AE8"/>
    <w:lvl w:ilvl="0" w:tplc="637296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B97AD8"/>
    <w:multiLevelType w:val="hybridMultilevel"/>
    <w:tmpl w:val="ED58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E22354"/>
    <w:multiLevelType w:val="hybridMultilevel"/>
    <w:tmpl w:val="052A5BC2"/>
    <w:lvl w:ilvl="0" w:tplc="0A20AEB6">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C100A5"/>
    <w:multiLevelType w:val="hybridMultilevel"/>
    <w:tmpl w:val="E7BEF076"/>
    <w:lvl w:ilvl="0" w:tplc="5DA63C80">
      <w:numFmt w:val="bullet"/>
      <w:lvlText w:val="‑"/>
      <w:lvlJc w:val="left"/>
      <w:pPr>
        <w:ind w:left="1800" w:hanging="360"/>
      </w:pPr>
      <w:rPr>
        <w:rFonts w:ascii="Yu Gothic UI Semilight" w:eastAsia="Yu Gothic UI Semilight" w:hAnsi="Yu Gothic UI Semilight" w:hint="eastAsia"/>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5FB53D8"/>
    <w:multiLevelType w:val="hybridMultilevel"/>
    <w:tmpl w:val="B6B4C11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A02549F"/>
    <w:multiLevelType w:val="hybridMultilevel"/>
    <w:tmpl w:val="472CBB3E"/>
    <w:lvl w:ilvl="0" w:tplc="E658589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56919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D8E0527"/>
    <w:multiLevelType w:val="hybridMultilevel"/>
    <w:tmpl w:val="A10CC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4D1A3D"/>
    <w:multiLevelType w:val="hybridMultilevel"/>
    <w:tmpl w:val="B04244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6C1A70"/>
    <w:multiLevelType w:val="hybridMultilevel"/>
    <w:tmpl w:val="383A6E80"/>
    <w:lvl w:ilvl="0" w:tplc="91A25D5E">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2319149">
    <w:abstractNumId w:val="12"/>
  </w:num>
  <w:num w:numId="2" w16cid:durableId="793406557">
    <w:abstractNumId w:val="16"/>
  </w:num>
  <w:num w:numId="3" w16cid:durableId="55981859">
    <w:abstractNumId w:val="10"/>
  </w:num>
  <w:num w:numId="4" w16cid:durableId="1549754977">
    <w:abstractNumId w:val="20"/>
  </w:num>
  <w:num w:numId="5" w16cid:durableId="529493172">
    <w:abstractNumId w:val="11"/>
  </w:num>
  <w:num w:numId="6" w16cid:durableId="1665014975">
    <w:abstractNumId w:val="1"/>
  </w:num>
  <w:num w:numId="7" w16cid:durableId="1569682505">
    <w:abstractNumId w:val="4"/>
  </w:num>
  <w:num w:numId="8" w16cid:durableId="1203244881">
    <w:abstractNumId w:val="13"/>
  </w:num>
  <w:num w:numId="9" w16cid:durableId="141893788">
    <w:abstractNumId w:val="6"/>
  </w:num>
  <w:num w:numId="10" w16cid:durableId="814949958">
    <w:abstractNumId w:val="24"/>
  </w:num>
  <w:num w:numId="11" w16cid:durableId="2137789615">
    <w:abstractNumId w:val="17"/>
  </w:num>
  <w:num w:numId="12" w16cid:durableId="417486243">
    <w:abstractNumId w:val="22"/>
  </w:num>
  <w:num w:numId="13" w16cid:durableId="1363285810">
    <w:abstractNumId w:val="5"/>
  </w:num>
  <w:num w:numId="14" w16cid:durableId="337773538">
    <w:abstractNumId w:val="8"/>
  </w:num>
  <w:num w:numId="15" w16cid:durableId="1030297400">
    <w:abstractNumId w:val="25"/>
  </w:num>
  <w:num w:numId="16" w16cid:durableId="910624933">
    <w:abstractNumId w:val="21"/>
  </w:num>
  <w:num w:numId="17" w16cid:durableId="1267616660">
    <w:abstractNumId w:val="14"/>
  </w:num>
  <w:num w:numId="18" w16cid:durableId="270204954">
    <w:abstractNumId w:val="3"/>
  </w:num>
  <w:num w:numId="19" w16cid:durableId="2137678250">
    <w:abstractNumId w:val="19"/>
  </w:num>
  <w:num w:numId="20" w16cid:durableId="354427469">
    <w:abstractNumId w:val="0"/>
  </w:num>
  <w:num w:numId="21" w16cid:durableId="1953899250">
    <w:abstractNumId w:val="26"/>
  </w:num>
  <w:num w:numId="22" w16cid:durableId="596641499">
    <w:abstractNumId w:val="7"/>
  </w:num>
  <w:num w:numId="23" w16cid:durableId="1785031394">
    <w:abstractNumId w:val="23"/>
  </w:num>
  <w:num w:numId="24" w16cid:durableId="2146464894">
    <w:abstractNumId w:val="15"/>
  </w:num>
  <w:num w:numId="25" w16cid:durableId="1349478173">
    <w:abstractNumId w:val="2"/>
  </w:num>
  <w:num w:numId="26" w16cid:durableId="1476993134">
    <w:abstractNumId w:val="18"/>
  </w:num>
  <w:num w:numId="27" w16cid:durableId="9375603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evenAndOddHeaders/>
  <w:drawingGridHorizontalSpacing w:val="110"/>
  <w:displayHorizontalDrawingGridEvery w:val="0"/>
  <w:displayVerticalDrawingGridEvery w:val="0"/>
  <w:doNotShadeFormData/>
  <w:noPunctuationKerning/>
  <w:characterSpacingControl w:val="doNotCompress"/>
  <w:savePreviewPicture/>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WxMDEwNjc0sTQ2NTRS0lEKTi0uzszPAykwrAUAW23AKiwAAAA="/>
  </w:docVars>
  <w:rsids>
    <w:rsidRoot w:val="005130C3"/>
    <w:rsid w:val="00010CC7"/>
    <w:rsid w:val="0001394F"/>
    <w:rsid w:val="0002016D"/>
    <w:rsid w:val="00037F1C"/>
    <w:rsid w:val="00044EC8"/>
    <w:rsid w:val="0006245D"/>
    <w:rsid w:val="00065B77"/>
    <w:rsid w:val="000672E7"/>
    <w:rsid w:val="00073C60"/>
    <w:rsid w:val="00075437"/>
    <w:rsid w:val="0008270C"/>
    <w:rsid w:val="0008329E"/>
    <w:rsid w:val="0008577E"/>
    <w:rsid w:val="00087A5D"/>
    <w:rsid w:val="0009213A"/>
    <w:rsid w:val="000B3C65"/>
    <w:rsid w:val="000D0B4C"/>
    <w:rsid w:val="000F4D9A"/>
    <w:rsid w:val="0010171D"/>
    <w:rsid w:val="0013206D"/>
    <w:rsid w:val="00154662"/>
    <w:rsid w:val="00170CC1"/>
    <w:rsid w:val="001744B5"/>
    <w:rsid w:val="00190C88"/>
    <w:rsid w:val="001942C9"/>
    <w:rsid w:val="001B15ED"/>
    <w:rsid w:val="001B38AC"/>
    <w:rsid w:val="001B53B8"/>
    <w:rsid w:val="001D5A25"/>
    <w:rsid w:val="001E54F1"/>
    <w:rsid w:val="001F4D12"/>
    <w:rsid w:val="001F65C4"/>
    <w:rsid w:val="00210083"/>
    <w:rsid w:val="00216103"/>
    <w:rsid w:val="00233A25"/>
    <w:rsid w:val="002378BD"/>
    <w:rsid w:val="00240380"/>
    <w:rsid w:val="002449A0"/>
    <w:rsid w:val="002C5423"/>
    <w:rsid w:val="002E0F29"/>
    <w:rsid w:val="00313A6E"/>
    <w:rsid w:val="00322FC3"/>
    <w:rsid w:val="0032427B"/>
    <w:rsid w:val="0033717F"/>
    <w:rsid w:val="00343FB8"/>
    <w:rsid w:val="00345D46"/>
    <w:rsid w:val="00347B31"/>
    <w:rsid w:val="00355457"/>
    <w:rsid w:val="003818BD"/>
    <w:rsid w:val="003A3B2B"/>
    <w:rsid w:val="003B360E"/>
    <w:rsid w:val="003C4E2F"/>
    <w:rsid w:val="003E42BF"/>
    <w:rsid w:val="003F5CF1"/>
    <w:rsid w:val="004078C4"/>
    <w:rsid w:val="00410A67"/>
    <w:rsid w:val="00411482"/>
    <w:rsid w:val="00440F14"/>
    <w:rsid w:val="00446758"/>
    <w:rsid w:val="00456400"/>
    <w:rsid w:val="00457B5D"/>
    <w:rsid w:val="00472074"/>
    <w:rsid w:val="004A5F59"/>
    <w:rsid w:val="004B5098"/>
    <w:rsid w:val="004C417A"/>
    <w:rsid w:val="004F2409"/>
    <w:rsid w:val="004F6CA8"/>
    <w:rsid w:val="00506CEE"/>
    <w:rsid w:val="005130C3"/>
    <w:rsid w:val="00514999"/>
    <w:rsid w:val="00515A19"/>
    <w:rsid w:val="0055476E"/>
    <w:rsid w:val="00557532"/>
    <w:rsid w:val="00565A9F"/>
    <w:rsid w:val="0058450F"/>
    <w:rsid w:val="00591E90"/>
    <w:rsid w:val="00594D25"/>
    <w:rsid w:val="00596C54"/>
    <w:rsid w:val="005C4E63"/>
    <w:rsid w:val="005C7504"/>
    <w:rsid w:val="005D1F6B"/>
    <w:rsid w:val="005D2032"/>
    <w:rsid w:val="005D5F34"/>
    <w:rsid w:val="005E0060"/>
    <w:rsid w:val="005E3E0B"/>
    <w:rsid w:val="005F40FB"/>
    <w:rsid w:val="0060370A"/>
    <w:rsid w:val="00603DF3"/>
    <w:rsid w:val="00606DA8"/>
    <w:rsid w:val="00623851"/>
    <w:rsid w:val="00626210"/>
    <w:rsid w:val="00633BF6"/>
    <w:rsid w:val="006402EA"/>
    <w:rsid w:val="00645A79"/>
    <w:rsid w:val="0065085F"/>
    <w:rsid w:val="00677A84"/>
    <w:rsid w:val="00693295"/>
    <w:rsid w:val="0069701F"/>
    <w:rsid w:val="006C61FF"/>
    <w:rsid w:val="006C780E"/>
    <w:rsid w:val="006D1046"/>
    <w:rsid w:val="006D57D2"/>
    <w:rsid w:val="006E45CD"/>
    <w:rsid w:val="006E59FA"/>
    <w:rsid w:val="006E6B8C"/>
    <w:rsid w:val="006F77EA"/>
    <w:rsid w:val="00704CF8"/>
    <w:rsid w:val="0071170D"/>
    <w:rsid w:val="0072266F"/>
    <w:rsid w:val="007279C8"/>
    <w:rsid w:val="007360B0"/>
    <w:rsid w:val="00737AC3"/>
    <w:rsid w:val="00752F0A"/>
    <w:rsid w:val="007553C5"/>
    <w:rsid w:val="00772158"/>
    <w:rsid w:val="007757C0"/>
    <w:rsid w:val="00784716"/>
    <w:rsid w:val="00790458"/>
    <w:rsid w:val="007A56B0"/>
    <w:rsid w:val="007B2DE3"/>
    <w:rsid w:val="007B7103"/>
    <w:rsid w:val="007B7260"/>
    <w:rsid w:val="007C347A"/>
    <w:rsid w:val="007D23F5"/>
    <w:rsid w:val="007F2386"/>
    <w:rsid w:val="00811900"/>
    <w:rsid w:val="0081297F"/>
    <w:rsid w:val="008268E8"/>
    <w:rsid w:val="00837EB4"/>
    <w:rsid w:val="00846B37"/>
    <w:rsid w:val="008C6246"/>
    <w:rsid w:val="008E0D64"/>
    <w:rsid w:val="008E47FB"/>
    <w:rsid w:val="008F5118"/>
    <w:rsid w:val="008F7EA6"/>
    <w:rsid w:val="00901160"/>
    <w:rsid w:val="009063C5"/>
    <w:rsid w:val="00914FD7"/>
    <w:rsid w:val="00920788"/>
    <w:rsid w:val="00924F5F"/>
    <w:rsid w:val="00944DFB"/>
    <w:rsid w:val="009462BF"/>
    <w:rsid w:val="00947C01"/>
    <w:rsid w:val="009810B5"/>
    <w:rsid w:val="00981DC0"/>
    <w:rsid w:val="00984F94"/>
    <w:rsid w:val="009865B1"/>
    <w:rsid w:val="00990DAA"/>
    <w:rsid w:val="00992143"/>
    <w:rsid w:val="00993D12"/>
    <w:rsid w:val="00996FE5"/>
    <w:rsid w:val="009B43B4"/>
    <w:rsid w:val="009C70C0"/>
    <w:rsid w:val="009D3B89"/>
    <w:rsid w:val="009E4E88"/>
    <w:rsid w:val="009E7C2D"/>
    <w:rsid w:val="009F23EC"/>
    <w:rsid w:val="009F73C4"/>
    <w:rsid w:val="00A018BE"/>
    <w:rsid w:val="00A07D64"/>
    <w:rsid w:val="00A2771A"/>
    <w:rsid w:val="00A35CA3"/>
    <w:rsid w:val="00A37740"/>
    <w:rsid w:val="00A54B9D"/>
    <w:rsid w:val="00A6563A"/>
    <w:rsid w:val="00A903DD"/>
    <w:rsid w:val="00A9210D"/>
    <w:rsid w:val="00A92C92"/>
    <w:rsid w:val="00A93FAE"/>
    <w:rsid w:val="00A94FE4"/>
    <w:rsid w:val="00AB6B93"/>
    <w:rsid w:val="00AC3470"/>
    <w:rsid w:val="00AC6856"/>
    <w:rsid w:val="00AD6056"/>
    <w:rsid w:val="00B058DD"/>
    <w:rsid w:val="00B37961"/>
    <w:rsid w:val="00B46EB0"/>
    <w:rsid w:val="00B575C1"/>
    <w:rsid w:val="00B57DAB"/>
    <w:rsid w:val="00B96F14"/>
    <w:rsid w:val="00BC50C6"/>
    <w:rsid w:val="00BC7634"/>
    <w:rsid w:val="00BD33E3"/>
    <w:rsid w:val="00BE58D4"/>
    <w:rsid w:val="00BF37E5"/>
    <w:rsid w:val="00BF7E7D"/>
    <w:rsid w:val="00C12FE6"/>
    <w:rsid w:val="00C408EE"/>
    <w:rsid w:val="00C5550F"/>
    <w:rsid w:val="00C76660"/>
    <w:rsid w:val="00C77F90"/>
    <w:rsid w:val="00C87D46"/>
    <w:rsid w:val="00CC78F9"/>
    <w:rsid w:val="00CE06DB"/>
    <w:rsid w:val="00CF1A04"/>
    <w:rsid w:val="00D04375"/>
    <w:rsid w:val="00D3162E"/>
    <w:rsid w:val="00D40631"/>
    <w:rsid w:val="00D52227"/>
    <w:rsid w:val="00D628D6"/>
    <w:rsid w:val="00D7277A"/>
    <w:rsid w:val="00D82CE0"/>
    <w:rsid w:val="00D879CE"/>
    <w:rsid w:val="00D9176D"/>
    <w:rsid w:val="00D95C2C"/>
    <w:rsid w:val="00D96FC4"/>
    <w:rsid w:val="00DA036C"/>
    <w:rsid w:val="00DB4804"/>
    <w:rsid w:val="00DB5377"/>
    <w:rsid w:val="00DB62EA"/>
    <w:rsid w:val="00DB68FA"/>
    <w:rsid w:val="00DB78F4"/>
    <w:rsid w:val="00DE017B"/>
    <w:rsid w:val="00DF62EB"/>
    <w:rsid w:val="00DF64D6"/>
    <w:rsid w:val="00E03FA9"/>
    <w:rsid w:val="00E1795B"/>
    <w:rsid w:val="00E25868"/>
    <w:rsid w:val="00E327FB"/>
    <w:rsid w:val="00E5160F"/>
    <w:rsid w:val="00E531CB"/>
    <w:rsid w:val="00E5358B"/>
    <w:rsid w:val="00E55D5C"/>
    <w:rsid w:val="00E574FD"/>
    <w:rsid w:val="00E60E0F"/>
    <w:rsid w:val="00E612DE"/>
    <w:rsid w:val="00E6438E"/>
    <w:rsid w:val="00E706F3"/>
    <w:rsid w:val="00E7375D"/>
    <w:rsid w:val="00E95D93"/>
    <w:rsid w:val="00EA3994"/>
    <w:rsid w:val="00EA5CB0"/>
    <w:rsid w:val="00EB4709"/>
    <w:rsid w:val="00EC4BD3"/>
    <w:rsid w:val="00EC7758"/>
    <w:rsid w:val="00EF369A"/>
    <w:rsid w:val="00F0555B"/>
    <w:rsid w:val="00F26132"/>
    <w:rsid w:val="00F50C13"/>
    <w:rsid w:val="00F5133B"/>
    <w:rsid w:val="00F57864"/>
    <w:rsid w:val="00F646EA"/>
    <w:rsid w:val="00F822DF"/>
    <w:rsid w:val="00F83572"/>
    <w:rsid w:val="00FC249B"/>
    <w:rsid w:val="00FC6C8B"/>
    <w:rsid w:val="00FE439A"/>
    <w:rsid w:val="00FE71AA"/>
    <w:rsid w:val="00FF65D2"/>
    <w:rsid w:val="7257D6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E48545"/>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2"/>
    </w:rPr>
  </w:style>
  <w:style w:type="paragraph" w:styleId="Heading1">
    <w:name w:val="heading 1"/>
    <w:basedOn w:val="Normal"/>
    <w:next w:val="Normal"/>
    <w:qFormat/>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pPr>
      <w:keepNext/>
      <w:keepLines/>
      <w:tabs>
        <w:tab w:val="left" w:pos="-720"/>
      </w:tabs>
      <w:suppressAutoHyphens/>
      <w:jc w:val="center"/>
      <w:outlineLvl w:val="1"/>
    </w:pPr>
    <w:rPr>
      <w:b/>
      <w:smallCaps/>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keepLines/>
      <w:tabs>
        <w:tab w:val="left" w:pos="-720"/>
      </w:tabs>
      <w:suppressAutoHyphens/>
      <w:outlineLvl w:val="3"/>
    </w:pPr>
    <w:rPr>
      <w:b/>
      <w:i/>
    </w:rPr>
  </w:style>
  <w:style w:type="paragraph" w:styleId="Heading5">
    <w:name w:val="heading 5"/>
    <w:basedOn w:val="Normal"/>
    <w:next w:val="Normal"/>
    <w:qFormat/>
    <w:pPr>
      <w:tabs>
        <w:tab w:val="left" w:pos="-720"/>
      </w:tabs>
      <w:suppressAutoHyphens/>
      <w:outlineLvl w:val="4"/>
    </w:pPr>
  </w:style>
  <w:style w:type="paragraph" w:styleId="Heading6">
    <w:name w:val="heading 6"/>
    <w:basedOn w:val="Normal"/>
    <w:next w:val="Normal"/>
    <w:qFormat/>
    <w:pPr>
      <w:tabs>
        <w:tab w:val="left" w:pos="-720"/>
      </w:tabs>
      <w:suppressAutoHyphens/>
      <w:outlineLvl w:val="5"/>
    </w:pPr>
  </w:style>
  <w:style w:type="paragraph" w:styleId="Heading7">
    <w:name w:val="heading 7"/>
    <w:basedOn w:val="Normal"/>
    <w:next w:val="Normal"/>
    <w:qFormat/>
    <w:pPr>
      <w:tabs>
        <w:tab w:val="left" w:pos="-720"/>
      </w:tabs>
      <w:suppressAutoHyphens/>
      <w:outlineLvl w:val="6"/>
    </w:pPr>
  </w:style>
  <w:style w:type="paragraph" w:styleId="Heading8">
    <w:name w:val="heading 8"/>
    <w:basedOn w:val="Normal"/>
    <w:next w:val="Normal"/>
    <w:qFormat/>
    <w:pPr>
      <w:tabs>
        <w:tab w:val="left" w:pos="-720"/>
      </w:tabs>
      <w:suppressAutoHyphens/>
      <w:outlineLvl w:val="7"/>
    </w:pPr>
  </w:style>
  <w:style w:type="paragraph" w:styleId="Heading9">
    <w:name w:val="heading 9"/>
    <w:basedOn w:val="Normal"/>
    <w:next w:val="Normal"/>
    <w:qFormat/>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style>
  <w:style w:type="paragraph" w:customStyle="1" w:styleId="ChapterNumber">
    <w:name w:val="ChapterNumber"/>
    <w:pPr>
      <w:tabs>
        <w:tab w:val="left" w:pos="-720"/>
      </w:tabs>
      <w:suppressAutoHyphens/>
    </w:pPr>
    <w:rPr>
      <w:rFonts w:ascii="CG Times" w:hAnsi="CG Times"/>
      <w:sz w:val="22"/>
    </w:rPr>
  </w:style>
  <w:style w:type="paragraph" w:styleId="Footer">
    <w:name w:val="footer"/>
    <w:basedOn w:val="Normal"/>
    <w:pPr>
      <w:tabs>
        <w:tab w:val="left" w:pos="360"/>
        <w:tab w:val="right" w:pos="9000"/>
      </w:tabs>
      <w:suppressAutoHyphens/>
    </w:pPr>
  </w:style>
  <w:style w:type="character" w:styleId="FootnoteReference">
    <w:name w:val="footnote reference"/>
    <w:semiHidden/>
    <w:rPr>
      <w:rFonts w:ascii="CG Times" w:hAnsi="CG Times"/>
      <w:noProof w:val="0"/>
      <w:sz w:val="22"/>
      <w:vertAlign w:val="superscript"/>
      <w:lang w:val="en-US"/>
    </w:rPr>
  </w:style>
  <w:style w:type="paragraph" w:styleId="FootnoteText">
    <w:name w:val="footnote text"/>
    <w:basedOn w:val="Normal"/>
    <w:semiHidden/>
    <w:pPr>
      <w:tabs>
        <w:tab w:val="left" w:pos="-720"/>
      </w:tabs>
      <w:suppressAutoHyphens/>
    </w:pPr>
    <w:rPr>
      <w:rFonts w:ascii="Times New Roman" w:hAnsi="Times New Roman"/>
      <w:sz w:val="20"/>
    </w:rPr>
  </w:style>
  <w:style w:type="paragraph" w:styleId="Header">
    <w:name w:val="header"/>
    <w:basedOn w:val="Normal"/>
    <w:pPr>
      <w:tabs>
        <w:tab w:val="left" w:pos="360"/>
        <w:tab w:val="left" w:pos="7560"/>
        <w:tab w:val="left" w:pos="8280"/>
        <w:tab w:val="left" w:pos="9000"/>
      </w:tabs>
      <w:suppressAutoHyphens/>
    </w:pPr>
  </w:style>
  <w:style w:type="paragraph" w:styleId="NormalIndent">
    <w:name w:val="Normal Indent"/>
    <w:basedOn w:val="Normal"/>
    <w:pPr>
      <w:tabs>
        <w:tab w:val="left" w:pos="-720"/>
      </w:tabs>
      <w:suppressAutoHyphens/>
    </w:pPr>
  </w:style>
  <w:style w:type="paragraph" w:customStyle="1" w:styleId="TextBox">
    <w:name w:val="Text Box"/>
    <w:pPr>
      <w:keepNext/>
      <w:keepLines/>
      <w:tabs>
        <w:tab w:val="left" w:pos="-720"/>
      </w:tabs>
      <w:suppressAutoHyphens/>
      <w:jc w:val="both"/>
    </w:pPr>
    <w:rPr>
      <w:spacing w:val="-2"/>
      <w:sz w:val="22"/>
    </w:rPr>
  </w:style>
  <w:style w:type="paragraph" w:customStyle="1" w:styleId="TextBoxdots">
    <w:name w:val="Text Box (dots)"/>
    <w:pPr>
      <w:keepNext/>
      <w:keepLines/>
      <w:tabs>
        <w:tab w:val="left" w:pos="-720"/>
      </w:tabs>
      <w:suppressAutoHyphens/>
      <w:jc w:val="both"/>
    </w:pPr>
    <w:rPr>
      <w:spacing w:val="-2"/>
      <w:sz w:val="22"/>
    </w:rPr>
  </w:style>
  <w:style w:type="paragraph" w:customStyle="1" w:styleId="TextBoxFramed">
    <w:name w:val="Text Box Framed"/>
    <w:pPr>
      <w:keepNext/>
      <w:keepLines/>
      <w:tabs>
        <w:tab w:val="left" w:pos="-720"/>
      </w:tabs>
      <w:suppressAutoHyphens/>
    </w:pPr>
    <w:rPr>
      <w:sz w:val="22"/>
    </w:rPr>
  </w:style>
  <w:style w:type="paragraph" w:customStyle="1" w:styleId="TextBoxUnframed">
    <w:name w:val="Text Box Unframed"/>
    <w:pPr>
      <w:keepNext/>
      <w:keepLines/>
      <w:tabs>
        <w:tab w:val="left" w:pos="-720"/>
      </w:tabs>
      <w:suppressAutoHyphens/>
    </w:pPr>
    <w:rPr>
      <w:sz w:val="22"/>
    </w:rPr>
  </w:style>
  <w:style w:type="paragraph" w:customStyle="1" w:styleId="TOC11">
    <w:name w:val="TOC 11"/>
    <w:pPr>
      <w:tabs>
        <w:tab w:val="left" w:pos="360"/>
      </w:tabs>
      <w:suppressAutoHyphens/>
    </w:pPr>
    <w:rPr>
      <w:rFonts w:ascii="CG Times" w:hAnsi="CG Times"/>
      <w:smallCaps/>
      <w:sz w:val="22"/>
    </w:r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customStyle="1" w:styleId="BankNormal">
    <w:name w:val="BankNormal"/>
    <w:pPr>
      <w:tabs>
        <w:tab w:val="left" w:pos="-720"/>
      </w:tabs>
      <w:suppressAutoHyphens/>
    </w:pPr>
    <w:rPr>
      <w:rFonts w:ascii="CG Times" w:hAnsi="CG Times"/>
      <w:sz w:val="22"/>
    </w:rPr>
  </w:style>
  <w:style w:type="paragraph" w:customStyle="1" w:styleId="Heading1a">
    <w:name w:val="Heading 1a"/>
    <w:pPr>
      <w:keepNext/>
      <w:keepLines/>
      <w:tabs>
        <w:tab w:val="left" w:pos="-720"/>
      </w:tabs>
      <w:suppressAutoHyphens/>
      <w:jc w:val="center"/>
    </w:pPr>
    <w:rPr>
      <w:b/>
      <w:smallCaps/>
      <w:sz w:val="32"/>
    </w:r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EndnoteText">
    <w:name w:val="endnote text"/>
    <w:basedOn w:val="Normal"/>
    <w:semiHidden/>
    <w:pPr>
      <w:tabs>
        <w:tab w:val="left" w:pos="-720"/>
      </w:tabs>
      <w:suppressAutoHyphens/>
    </w:pPr>
    <w:rPr>
      <w:rFonts w:ascii="Times New Roman" w:hAnsi="Times New Roman"/>
      <w:sz w:val="20"/>
    </w:rPr>
  </w:style>
  <w:style w:type="character" w:styleId="EndnoteReference">
    <w:name w:val="endnote reference"/>
    <w:semiHidden/>
    <w:rPr>
      <w:rFonts w:ascii="CG Times" w:hAnsi="CG Times"/>
      <w:noProof w:val="0"/>
      <w:sz w:val="22"/>
      <w:vertAlign w:val="superscript"/>
      <w:lang w:val="en-US"/>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pPr>
      <w:suppressAutoHyphens/>
    </w:pPr>
    <w:rPr>
      <w:spacing w:val="-2"/>
      <w:sz w:val="24"/>
    </w:rPr>
  </w:style>
  <w:style w:type="character" w:styleId="Hyperlink">
    <w:name w:val="Hyperlink"/>
    <w:rPr>
      <w:color w:val="0000FF"/>
      <w:u w:val="single"/>
    </w:rPr>
  </w:style>
  <w:style w:type="paragraph" w:styleId="BalloonText">
    <w:name w:val="Balloon Text"/>
    <w:basedOn w:val="Normal"/>
    <w:semiHidden/>
    <w:rsid w:val="005130C3"/>
    <w:rPr>
      <w:rFonts w:ascii="Tahoma" w:hAnsi="Tahoma" w:cs="Tahoma"/>
      <w:sz w:val="16"/>
      <w:szCs w:val="16"/>
    </w:rPr>
  </w:style>
  <w:style w:type="character" w:customStyle="1" w:styleId="BodyTextChar">
    <w:name w:val="Body Text Char"/>
    <w:link w:val="BodyText"/>
    <w:rsid w:val="005F40FB"/>
    <w:rPr>
      <w:rFonts w:ascii="CG Times" w:hAnsi="CG Times"/>
      <w:spacing w:val="-2"/>
      <w:sz w:val="24"/>
    </w:rPr>
  </w:style>
  <w:style w:type="paragraph" w:styleId="ListParagraph">
    <w:name w:val="List Paragraph"/>
    <w:aliases w:val="Citation List,본문(내용),List Paragraph (numbered (a)),List Paragraph2,Text,References,سرد الفقرات,Bullets,Liste 1,Numbered List Paragraph,ReferencesCxSpLast,Medium Grid 1 - Accent 21,List Paragraph nowy,Paragraphe  revu,Paragraphe de liste1"/>
    <w:basedOn w:val="Normal"/>
    <w:link w:val="ListParagraphChar"/>
    <w:uiPriority w:val="34"/>
    <w:qFormat/>
    <w:rsid w:val="009865B1"/>
    <w:pPr>
      <w:spacing w:after="120" w:line="264" w:lineRule="auto"/>
      <w:ind w:left="720"/>
      <w:contextualSpacing/>
    </w:pPr>
    <w:rPr>
      <w:rFonts w:asciiTheme="minorHAnsi" w:eastAsiaTheme="minorEastAsia" w:hAnsiTheme="minorHAnsi" w:cstheme="minorBidi"/>
      <w:sz w:val="20"/>
      <w:lang w:val="en-GB"/>
    </w:rPr>
  </w:style>
  <w:style w:type="character" w:customStyle="1" w:styleId="ListParagraphChar">
    <w:name w:val="List Paragraph Char"/>
    <w:aliases w:val="Citation List Char,본문(내용) Char,List Paragraph (numbered (a)) Char,List Paragraph2 Char,Text Char,References Char,سرد الفقرات Char,Bullets Char,Liste 1 Char,Numbered List Paragraph Char,ReferencesCxSpLast Char,List Paragraph nowy Char"/>
    <w:basedOn w:val="DefaultParagraphFont"/>
    <w:link w:val="ListParagraph"/>
    <w:uiPriority w:val="34"/>
    <w:qFormat/>
    <w:rsid w:val="009865B1"/>
    <w:rPr>
      <w:rFonts w:asciiTheme="minorHAnsi" w:eastAsiaTheme="minorEastAsia" w:hAnsiTheme="minorHAnsi" w:cstheme="minorBidi"/>
      <w:lang w:val="en-GB"/>
    </w:rPr>
  </w:style>
  <w:style w:type="character" w:styleId="UnresolvedMention">
    <w:name w:val="Unresolved Mention"/>
    <w:basedOn w:val="DefaultParagraphFont"/>
    <w:uiPriority w:val="99"/>
    <w:semiHidden/>
    <w:unhideWhenUsed/>
    <w:rsid w:val="00AD6056"/>
    <w:rPr>
      <w:color w:val="605E5C"/>
      <w:shd w:val="clear" w:color="auto" w:fill="E1DFDD"/>
    </w:rPr>
  </w:style>
  <w:style w:type="character" w:styleId="CommentReference">
    <w:name w:val="annotation reference"/>
    <w:basedOn w:val="DefaultParagraphFont"/>
    <w:semiHidden/>
    <w:unhideWhenUsed/>
    <w:rsid w:val="00F26132"/>
    <w:rPr>
      <w:sz w:val="16"/>
      <w:szCs w:val="16"/>
    </w:rPr>
  </w:style>
  <w:style w:type="paragraph" w:styleId="CommentText">
    <w:name w:val="annotation text"/>
    <w:basedOn w:val="Normal"/>
    <w:link w:val="CommentTextChar"/>
    <w:unhideWhenUsed/>
    <w:rsid w:val="00F26132"/>
    <w:rPr>
      <w:sz w:val="20"/>
    </w:rPr>
  </w:style>
  <w:style w:type="character" w:customStyle="1" w:styleId="CommentTextChar">
    <w:name w:val="Comment Text Char"/>
    <w:basedOn w:val="DefaultParagraphFont"/>
    <w:link w:val="CommentText"/>
    <w:rsid w:val="00F26132"/>
    <w:rPr>
      <w:rFonts w:ascii="CG Times" w:hAnsi="CG Times"/>
    </w:rPr>
  </w:style>
  <w:style w:type="paragraph" w:styleId="CommentSubject">
    <w:name w:val="annotation subject"/>
    <w:basedOn w:val="CommentText"/>
    <w:next w:val="CommentText"/>
    <w:link w:val="CommentSubjectChar"/>
    <w:semiHidden/>
    <w:unhideWhenUsed/>
    <w:rsid w:val="00F26132"/>
    <w:rPr>
      <w:b/>
      <w:bCs/>
    </w:rPr>
  </w:style>
  <w:style w:type="character" w:customStyle="1" w:styleId="CommentSubjectChar">
    <w:name w:val="Comment Subject Char"/>
    <w:basedOn w:val="CommentTextChar"/>
    <w:link w:val="CommentSubject"/>
    <w:semiHidden/>
    <w:rsid w:val="00F26132"/>
    <w:rPr>
      <w:rFonts w:ascii="CG Times" w:hAnsi="CG Times"/>
      <w:b/>
      <w:bCs/>
    </w:rPr>
  </w:style>
  <w:style w:type="paragraph" w:styleId="Revision">
    <w:name w:val="Revision"/>
    <w:hidden/>
    <w:uiPriority w:val="99"/>
    <w:semiHidden/>
    <w:rsid w:val="00AC6856"/>
    <w:rPr>
      <w:rFonts w:ascii="CG Times" w:hAnsi="CG Times"/>
      <w:sz w:val="22"/>
    </w:rPr>
  </w:style>
  <w:style w:type="paragraph" w:styleId="NormalWeb">
    <w:name w:val="Normal (Web)"/>
    <w:basedOn w:val="Normal"/>
    <w:uiPriority w:val="99"/>
    <w:unhideWhenUsed/>
    <w:rsid w:val="00993D12"/>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993D12"/>
    <w:rPr>
      <w:b/>
      <w:bCs/>
    </w:rPr>
  </w:style>
  <w:style w:type="paragraph" w:customStyle="1" w:styleId="Default">
    <w:name w:val="Default"/>
    <w:rsid w:val="00E7375D"/>
    <w:pPr>
      <w:autoSpaceDE w:val="0"/>
      <w:autoSpaceDN w:val="0"/>
      <w:adjustRightInd w:val="0"/>
    </w:pPr>
    <w:rPr>
      <w:rFonts w:ascii="Roboto" w:hAnsi="Roboto" w:cs="Robo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889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p.isdbi@isdb.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23f1e015-8920-4bb7-a279-5015379871f4" origin="userSelected"/>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9F93742-263A-497D-8FE9-B2F8ECB7521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FB88C14-9115-4AE5-B46D-326BCBDB9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GPN</vt:lpstr>
    </vt:vector>
  </TitlesOfParts>
  <Company>The World Bank</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GPN</dc:title>
  <dc:creator>mehmet</dc:creator>
  <cp:keywords>procurement, GPN, IDB</cp:keywords>
  <cp:lastModifiedBy>Mehmet Eken</cp:lastModifiedBy>
  <cp:revision>3</cp:revision>
  <cp:lastPrinted>2009-03-05T06:40:00Z</cp:lastPrinted>
  <dcterms:created xsi:type="dcterms:W3CDTF">2025-08-21T12:26:00Z</dcterms:created>
  <dcterms:modified xsi:type="dcterms:W3CDTF">2025-09-04T08:23:00Z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2023-05-02T08:04:49Z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83dda9f1-fb1f-43fe-99c4-137a66823b3e</vt:lpwstr>
  </property>
  <property fmtid="{D5CDD505-2E9C-101B-9397-08002B2CF9AE}" pid="8" name="MSIP_Label_9ef4adf7-25a7-4f52-a61a-df7190f1d881_ContentBits">
    <vt:lpwstr>1</vt:lpwstr>
  </property>
  <property fmtid="{D5CDD505-2E9C-101B-9397-08002B2CF9AE}" pid="9" name="GrammarlyDocumentId">
    <vt:lpwstr>9f5e949f8ed1ac25b002043970577e051d12d274550ae4fbf071c677038c3c37</vt:lpwstr>
  </property>
  <property fmtid="{D5CDD505-2E9C-101B-9397-08002B2CF9AE}" pid="10" name="docIndexRef">
    <vt:lpwstr>4fc4dc5b-3000-4e7e-a766-15c62b27ee31</vt:lpwstr>
  </property>
  <property fmtid="{D5CDD505-2E9C-101B-9397-08002B2CF9AE}" pid="11" name="bjSaver">
    <vt:lpwstr>2y47z9CQ30YQtWyeMs0GHoOfBY8vxNFD</vt:lpwstr>
  </property>
  <property fmtid="{D5CDD505-2E9C-101B-9397-08002B2CF9AE}" pid="12" name="bjDocumentSecurityLabel">
    <vt:lpwstr>This item has no classification</vt:lpwstr>
  </property>
  <property fmtid="{D5CDD505-2E9C-101B-9397-08002B2CF9AE}" pid="13" name="bjClsUserRVM">
    <vt:lpwstr>[]</vt:lpwstr>
  </property>
</Properties>
</file>