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D78C" w14:textId="649C59AE" w:rsidR="008651B8" w:rsidRDefault="008651B8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402176">
        <w:rPr>
          <w:noProof/>
        </w:rPr>
        <w:drawing>
          <wp:inline distT="0" distB="0" distL="0" distR="0" wp14:anchorId="5D2963C4" wp14:editId="17E54433">
            <wp:extent cx="5731510" cy="1056640"/>
            <wp:effectExtent l="0" t="0" r="0" b="0"/>
            <wp:docPr id="6239214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A43F" w14:textId="43D38804" w:rsidR="00566FAB" w:rsidRPr="002931D4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931D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08DBC0C2" w14:textId="77777777" w:rsidR="00566FAB" w:rsidRPr="002931D4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931D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 w:rsidRPr="002931D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2931D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0E6BA3C4" w14:textId="77777777" w:rsidR="00CF1669" w:rsidRPr="002931D4" w:rsidRDefault="00CF1669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34195B2" w14:textId="77777777" w:rsidR="00CF1669" w:rsidRPr="002931D4" w:rsidRDefault="00CF1669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Country: Pakistan</w:t>
      </w:r>
    </w:p>
    <w:p w14:paraId="1EA64AA6" w14:textId="6AF9B5AB" w:rsidR="00566FAB" w:rsidRPr="002931D4" w:rsidRDefault="00DE0352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Name of Project</w:t>
      </w:r>
      <w:r w:rsidR="00CF1669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: Sindh Integrated Health and Women Empowerment Project</w:t>
      </w:r>
    </w:p>
    <w:p w14:paraId="6C8A9433" w14:textId="3B736882" w:rsidR="00566FAB" w:rsidRPr="002931D4" w:rsidRDefault="00DE0352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Sector</w:t>
      </w:r>
      <w:r w:rsidR="00CF1669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: Health </w:t>
      </w:r>
    </w:p>
    <w:p w14:paraId="1B6456D3" w14:textId="3F387F3C" w:rsidR="00566FAB" w:rsidRPr="002931D4" w:rsidRDefault="00DE0352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Services </w:t>
      </w:r>
      <w:r w:rsidR="00CF1669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for Skill Development</w:t>
      </w:r>
    </w:p>
    <w:p w14:paraId="73639E83" w14:textId="4F575B5E" w:rsidR="00566FAB" w:rsidRPr="002931D4" w:rsidRDefault="00566FAB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Times New Roman" w:hAnsi="Times New Roman" w:cs="Times New Roman"/>
          <w:spacing w:val="-2"/>
          <w:sz w:val="24"/>
          <w:szCs w:val="24"/>
        </w:rPr>
        <w:t>Mode of Financing:</w:t>
      </w:r>
      <w:r w:rsidR="00F235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9401E6">
        <w:rPr>
          <w:rFonts w:ascii="Times New Roman" w:eastAsia="Times New Roman" w:hAnsi="Times New Roman" w:cs="Times New Roman"/>
          <w:spacing w:val="-2"/>
          <w:sz w:val="24"/>
          <w:szCs w:val="24"/>
        </w:rPr>
        <w:t>IsDB</w:t>
      </w:r>
      <w:proofErr w:type="spellEnd"/>
      <w:r w:rsidR="009401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35DF">
        <w:rPr>
          <w:rFonts w:ascii="Times New Roman" w:eastAsia="Times New Roman" w:hAnsi="Times New Roman" w:cs="Times New Roman"/>
          <w:spacing w:val="-2"/>
          <w:sz w:val="24"/>
          <w:szCs w:val="24"/>
        </w:rPr>
        <w:t>Loan</w:t>
      </w:r>
    </w:p>
    <w:p w14:paraId="4FC4FAD4" w14:textId="693940FA" w:rsidR="00566FAB" w:rsidRPr="002931D4" w:rsidRDefault="00566FAB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Financing No. </w:t>
      </w:r>
      <w:r w:rsidR="00EC7F89" w:rsidRPr="002931D4">
        <w:rPr>
          <w:rFonts w:ascii="Times New Roman" w:eastAsia="Times New Roman" w:hAnsi="Times New Roman" w:cs="Times New Roman"/>
          <w:spacing w:val="-2"/>
          <w:sz w:val="24"/>
          <w:szCs w:val="24"/>
        </w:rPr>
        <w:t>PAK-</w:t>
      </w:r>
      <w:r w:rsidR="00CF1669" w:rsidRPr="002931D4">
        <w:rPr>
          <w:rFonts w:ascii="Times New Roman" w:eastAsia="Times New Roman" w:hAnsi="Times New Roman" w:cs="Times New Roman"/>
          <w:spacing w:val="-2"/>
          <w:sz w:val="24"/>
          <w:szCs w:val="24"/>
        </w:rPr>
        <w:t>1057</w:t>
      </w:r>
    </w:p>
    <w:p w14:paraId="52D77EF1" w14:textId="77777777" w:rsidR="00566FAB" w:rsidRPr="002931D4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02DBAEB" w14:textId="51B2008C" w:rsidR="00BA7A4A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CF1669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Health Department, Government of Sindh </w:t>
      </w:r>
      <w:r w:rsidRPr="002931D4">
        <w:rPr>
          <w:rFonts w:ascii="Times New Roman" w:eastAsia="Calibri" w:hAnsi="Times New Roman" w:cs="Times New Roman"/>
          <w:i/>
          <w:spacing w:val="-2"/>
          <w:sz w:val="24"/>
          <w:szCs w:val="24"/>
        </w:rPr>
        <w:t>has received</w:t>
      </w:r>
      <w:r w:rsidR="00CF1669" w:rsidRPr="002931D4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financing from the Islamic Development Bank toward the cost of the </w:t>
      </w:r>
      <w:r w:rsidR="00CF1669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Sindh Integrated Health and Women Empowerment Project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14:paraId="65689B44" w14:textId="77777777" w:rsidR="00BA7A4A" w:rsidRPr="002931D4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9196DFF" w14:textId="7AF0DA32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CF1669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Vocational and skill development trainings</w:t>
      </w:r>
      <w:r w:rsidRPr="002931D4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,</w:t>
      </w:r>
      <w:r w:rsidR="00CF1669" w:rsidRPr="002931D4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for 18 months</w:t>
      </w:r>
      <w:r w:rsidR="00DE0352" w:rsidRPr="002931D4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with</w:t>
      </w:r>
      <w:r w:rsidRPr="002931D4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="00A97AD7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>1854 staff-months</w:t>
      </w:r>
      <w:r w:rsidR="00BA7A4A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="00A97AD7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>tentatively from January 2026-June 2027</w:t>
      </w:r>
      <w:r w:rsidR="00BA7A4A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>, expected start date of assignment</w:t>
      </w:r>
      <w:r w:rsidR="00DE0352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>:</w:t>
      </w:r>
      <w:r w:rsidR="00A97AD7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15</w:t>
      </w:r>
      <w:r w:rsidR="00A97AD7" w:rsidRPr="002931D4">
        <w:rPr>
          <w:rFonts w:ascii="Times New Roman" w:hAnsi="Times New Roman" w:cs="Times New Roman"/>
          <w:i/>
          <w:iCs/>
          <w:spacing w:val="-2"/>
          <w:sz w:val="24"/>
          <w:szCs w:val="24"/>
          <w:vertAlign w:val="superscript"/>
        </w:rPr>
        <w:t>th</w:t>
      </w:r>
      <w:r w:rsidR="00A97AD7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January 2027</w:t>
      </w:r>
      <w:r w:rsidR="00BA7A4A" w:rsidRPr="002931D4">
        <w:rPr>
          <w:rFonts w:ascii="Times New Roman" w:hAnsi="Times New Roman" w:cs="Times New Roman"/>
          <w:i/>
          <w:iCs/>
          <w:spacing w:val="-2"/>
          <w:sz w:val="24"/>
          <w:szCs w:val="24"/>
        </w:rPr>
        <w:t>, etc. ensuring full consistency with the TOR attached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 </w:t>
      </w:r>
    </w:p>
    <w:p w14:paraId="5F9DB7DC" w14:textId="77777777" w:rsidR="00BA7A4A" w:rsidRPr="002931D4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050BAC" w14:textId="4E157BE7" w:rsidR="00566FAB" w:rsidRPr="002931D4" w:rsidRDefault="00BA7A4A" w:rsidP="00DE0352">
      <w:pPr>
        <w:suppressAutoHyphens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2931D4">
        <w:rPr>
          <w:rFonts w:ascii="Times New Roman" w:hAnsi="Times New Roman" w:cs="Times New Roman"/>
          <w:spacing w:val="-2"/>
          <w:sz w:val="24"/>
          <w:szCs w:val="24"/>
        </w:rPr>
        <w:t xml:space="preserve">The detailed Terms of Reference (TOR) for the assignment </w:t>
      </w:r>
      <w:r w:rsidR="0006136A" w:rsidRPr="0006136A">
        <w:rPr>
          <w:rFonts w:ascii="Times New Roman" w:hAnsi="Times New Roman" w:cs="Times New Roman"/>
          <w:iCs/>
          <w:spacing w:val="-2"/>
          <w:sz w:val="24"/>
          <w:szCs w:val="24"/>
        </w:rPr>
        <w:t>have already been uploaded on the official project website and can be accessed from</w:t>
      </w:r>
      <w:r w:rsidR="000613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hyperlink r:id="rId9" w:history="1">
        <w:r w:rsidR="0006136A" w:rsidRPr="00451D73">
          <w:rPr>
            <w:rStyle w:val="Hyperlink"/>
            <w:rFonts w:ascii="Times New Roman" w:hAnsi="Times New Roman" w:cs="Times New Roman"/>
            <w:i/>
            <w:spacing w:val="-2"/>
            <w:sz w:val="24"/>
            <w:szCs w:val="24"/>
          </w:rPr>
          <w:t>https://sihpp.gos.pk/tender.php</w:t>
        </w:r>
      </w:hyperlink>
      <w:r w:rsidR="000613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</w:p>
    <w:p w14:paraId="479DBA4C" w14:textId="3AD974D1" w:rsidR="00BA7A4A" w:rsidRPr="002931D4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DE0352" w:rsidRPr="002931D4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Sindh Integrated Health and Women Empowerment Project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now invites eligible </w:t>
      </w:r>
      <w:r w:rsidR="00BA7A4A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firms (“Consultants”) 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0900D645" w14:textId="77777777" w:rsidR="00BA7A4A" w:rsidRPr="002931D4" w:rsidRDefault="00BA7A4A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7F35BBD" w14:textId="1504438C" w:rsidR="00DE0352" w:rsidRPr="00FB5E68" w:rsidRDefault="00BA7A4A" w:rsidP="002931D4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1D4">
        <w:rPr>
          <w:rFonts w:ascii="Times New Roman" w:hAnsi="Times New Roman" w:cs="Times New Roman"/>
          <w:spacing w:val="-2"/>
          <w:sz w:val="24"/>
        </w:rPr>
        <w:t xml:space="preserve">The shortlisting criteria are: </w:t>
      </w:r>
      <w:r w:rsidR="000200B3">
        <w:rPr>
          <w:rFonts w:ascii="Times New Roman" w:hAnsi="Times New Roman" w:cs="Times New Roman"/>
          <w:spacing w:val="-2"/>
          <w:sz w:val="24"/>
        </w:rPr>
        <w:t xml:space="preserve"> </w:t>
      </w:r>
      <w:r w:rsidR="000200B3">
        <w:rPr>
          <w:rFonts w:ascii="Times New Roman" w:hAnsi="Times New Roman" w:cs="Times New Roman"/>
          <w:spacing w:val="-2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7149"/>
      </w:tblGrid>
      <w:tr w:rsidR="00FB5E68" w:rsidRPr="008B4624" w14:paraId="45E7594D" w14:textId="77777777" w:rsidTr="003A2074">
        <w:tc>
          <w:tcPr>
            <w:tcW w:w="1885" w:type="dxa"/>
          </w:tcPr>
          <w:p w14:paraId="7EAB02B6" w14:textId="77777777" w:rsidR="00FB5E68" w:rsidRPr="006C580B" w:rsidRDefault="00FB5E68" w:rsidP="006C580B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C580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Registration requirements</w:t>
            </w:r>
          </w:p>
        </w:tc>
        <w:tc>
          <w:tcPr>
            <w:tcW w:w="7465" w:type="dxa"/>
          </w:tcPr>
          <w:p w14:paraId="01940857" w14:textId="77777777" w:rsidR="00FB5E68" w:rsidRPr="008B4624" w:rsidRDefault="00FB5E68" w:rsidP="003A2074">
            <w:pPr>
              <w:pStyle w:val="NormalWeb"/>
              <w:jc w:val="both"/>
              <w:rPr>
                <w:rStyle w:val="Strong"/>
              </w:rPr>
            </w:pPr>
            <w:r w:rsidRPr="00B03CA4">
              <w:rPr>
                <w:rStyle w:val="Strong"/>
                <w:b w:val="0"/>
                <w:bCs w:val="0"/>
              </w:rPr>
              <w:t>The firm must be mandatorily registered with the Federal Board of Revenue (FBR). Registration with the Sindh Revenue Board (SRB) is not mandatory at the EOI stage; however, the selected firm must obtain SRB registration prior to contract award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2710ADC6" w14:textId="77777777" w:rsidR="00FB5E68" w:rsidRPr="008B4624" w:rsidRDefault="00FB5E68" w:rsidP="003A2074">
            <w:pPr>
              <w:pStyle w:val="NormalWeb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B4624">
              <w:rPr>
                <w:rStyle w:val="Strong"/>
                <w:i/>
                <w:iCs/>
              </w:rPr>
              <w:t>Registration with, STEVTA, and/or NAVTTC is preferred; however, firms currently in the process of obtaining or renewing registration with STEVTA and/or NAVTTC may also apply, provided they submit an undertaking or proof of application.</w:t>
            </w:r>
          </w:p>
        </w:tc>
      </w:tr>
      <w:tr w:rsidR="00FB5E68" w:rsidRPr="008B4624" w14:paraId="7C920CCB" w14:textId="77777777" w:rsidTr="003A2074">
        <w:tc>
          <w:tcPr>
            <w:tcW w:w="1885" w:type="dxa"/>
          </w:tcPr>
          <w:p w14:paraId="5759B22E" w14:textId="77777777" w:rsidR="00FB5E68" w:rsidRPr="008B4624" w:rsidRDefault="00FB5E68" w:rsidP="003A2074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General experience and years in business</w:t>
            </w:r>
          </w:p>
        </w:tc>
        <w:tc>
          <w:tcPr>
            <w:tcW w:w="7465" w:type="dxa"/>
          </w:tcPr>
          <w:p w14:paraId="271570B8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The firm should have at least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Five (05)</w:t>
            </w:r>
            <w:r w:rsidRPr="008B4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years of experience in community development and conducting training programs.</w:t>
            </w:r>
          </w:p>
        </w:tc>
      </w:tr>
      <w:tr w:rsidR="00FB5E68" w:rsidRPr="008B4624" w14:paraId="51E29C20" w14:textId="77777777" w:rsidTr="008914F1">
        <w:tc>
          <w:tcPr>
            <w:tcW w:w="1885" w:type="dxa"/>
            <w:vAlign w:val="center"/>
          </w:tcPr>
          <w:p w14:paraId="02FB949C" w14:textId="77777777" w:rsidR="00FB5E68" w:rsidRPr="008B4624" w:rsidRDefault="00FB5E68" w:rsidP="008914F1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Relevant experience </w:t>
            </w:r>
          </w:p>
        </w:tc>
        <w:tc>
          <w:tcPr>
            <w:tcW w:w="7465" w:type="dxa"/>
          </w:tcPr>
          <w:p w14:paraId="0880D7C7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The firm should preferably have a track record of at least 3 years in delivering skill development or vocational training programs specifically with Women in rural areas across Pakistan. </w:t>
            </w:r>
          </w:p>
        </w:tc>
      </w:tr>
      <w:tr w:rsidR="00FB5E68" w:rsidRPr="008B4624" w14:paraId="198B0247" w14:textId="77777777" w:rsidTr="003A2074">
        <w:tc>
          <w:tcPr>
            <w:tcW w:w="1885" w:type="dxa"/>
          </w:tcPr>
          <w:p w14:paraId="7D8C563F" w14:textId="77777777" w:rsidR="00FB5E68" w:rsidRPr="008B4624" w:rsidRDefault="00FB5E68" w:rsidP="003A207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Managerial and technical capability</w:t>
            </w:r>
          </w:p>
          <w:p w14:paraId="0BD5AF9E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465" w:type="dxa"/>
          </w:tcPr>
          <w:p w14:paraId="1FBEF646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The Consultancy firm should have managerial and technical capacity to operate across Sindh province, with a clear implementation plan to ensure outreach in all targeted project districts. </w:t>
            </w:r>
          </w:p>
          <w:p w14:paraId="7BFAA5E8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</w:pPr>
          </w:p>
          <w:p w14:paraId="59BBA440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(The list of key experts, including technical staff as outlined in the TORs, may be provided.</w:t>
            </w:r>
          </w:p>
          <w:p w14:paraId="1F765441" w14:textId="735B10F2" w:rsidR="00FB5E68" w:rsidRPr="006C580B" w:rsidRDefault="00FB5E68" w:rsidP="003A2074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Note: Only the capacity of firm shall be assessed on the provided information. However, qualification/ experience of provided experts shall not be evaluated at EOI shortlisting stage)</w:t>
            </w:r>
          </w:p>
        </w:tc>
      </w:tr>
      <w:tr w:rsidR="00FB5E68" w:rsidRPr="008B4624" w14:paraId="3FCA20BD" w14:textId="77777777" w:rsidTr="003A2074">
        <w:tc>
          <w:tcPr>
            <w:tcW w:w="1885" w:type="dxa"/>
          </w:tcPr>
          <w:p w14:paraId="04E32E45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Financial stability</w:t>
            </w:r>
          </w:p>
        </w:tc>
        <w:tc>
          <w:tcPr>
            <w:tcW w:w="7465" w:type="dxa"/>
          </w:tcPr>
          <w:p w14:paraId="1A72C3B1" w14:textId="77777777" w:rsidR="00FB5E68" w:rsidRPr="008B4624" w:rsidRDefault="00FB5E68" w:rsidP="003A20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4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Demonstrate financial stability with an average annual turnover of at least PKR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</w:t>
            </w:r>
            <w:r w:rsidRPr="008B4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million and the ability to meet contractual obligations, including audit reports for the past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three </w:t>
            </w:r>
            <w:r w:rsidRPr="008B46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years.</w:t>
            </w:r>
          </w:p>
        </w:tc>
      </w:tr>
    </w:tbl>
    <w:p w14:paraId="17E9C804" w14:textId="77777777" w:rsidR="00FB5E68" w:rsidRPr="002931D4" w:rsidRDefault="00FB5E68" w:rsidP="00FB5E68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D1A1C" w14:textId="43635C34" w:rsidR="00610EC0" w:rsidRPr="002931D4" w:rsidRDefault="00610EC0" w:rsidP="00610EC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931D4">
        <w:rPr>
          <w:rFonts w:ascii="Times New Roman" w:hAnsi="Times New Roman" w:cs="Times New Roman"/>
          <w:sz w:val="24"/>
          <w:szCs w:val="24"/>
        </w:rPr>
        <w:t xml:space="preserve">The attention of interested Consultants is drawn to 1.12.1 and 1.12.2 paragraphs of the Procurement Policy of the </w:t>
      </w:r>
      <w:r w:rsidRPr="002931D4">
        <w:rPr>
          <w:rFonts w:ascii="Times New Roman" w:hAnsi="Times New Roman" w:cs="Times New Roman"/>
          <w:i/>
          <w:iCs/>
          <w:sz w:val="24"/>
          <w:szCs w:val="24"/>
        </w:rPr>
        <w:t>Guidelines for the Procurement of Consultancy Services under Islamic Development Bank Project Financing</w:t>
      </w:r>
      <w:r w:rsidRPr="002931D4">
        <w:rPr>
          <w:rFonts w:ascii="Times New Roman" w:hAnsi="Times New Roman" w:cs="Times New Roman"/>
          <w:sz w:val="24"/>
          <w:szCs w:val="24"/>
        </w:rPr>
        <w:t xml:space="preserve"> (the “Procurement Guidelines”), setting forth </w:t>
      </w:r>
      <w:proofErr w:type="spellStart"/>
      <w:r w:rsidRPr="002931D4">
        <w:rPr>
          <w:rFonts w:ascii="Times New Roman" w:hAnsi="Times New Roman" w:cs="Times New Roman"/>
          <w:sz w:val="24"/>
          <w:szCs w:val="24"/>
        </w:rPr>
        <w:t>IsDB’s</w:t>
      </w:r>
      <w:proofErr w:type="spellEnd"/>
      <w:r w:rsidRPr="002931D4">
        <w:rPr>
          <w:rFonts w:ascii="Times New Roman" w:hAnsi="Times New Roman" w:cs="Times New Roman"/>
          <w:sz w:val="24"/>
          <w:szCs w:val="24"/>
        </w:rPr>
        <w:t xml:space="preserve"> policy on conflict of interest.</w:t>
      </w:r>
    </w:p>
    <w:p w14:paraId="3D202620" w14:textId="1C681FEE" w:rsidR="00566FAB" w:rsidRPr="002931D4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 w:rsidRPr="002931D4">
        <w:rPr>
          <w:rFonts w:ascii="Times New Roman" w:hAnsi="Times New Roman" w:cs="Times New Roman"/>
          <w:spacing w:val="-2"/>
          <w:sz w:val="24"/>
        </w:rPr>
        <w:t>associate with other firms to enhance their qualifications</w:t>
      </w:r>
      <w:r w:rsidR="00EA537C" w:rsidRPr="002931D4">
        <w:rPr>
          <w:rFonts w:ascii="Times New Roman" w:hAnsi="Times New Roman" w:cs="Times New Roman"/>
          <w:sz w:val="24"/>
          <w:szCs w:val="24"/>
        </w:rPr>
        <w:t>, but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2931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63738B" w14:textId="77777777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3544DC6" w14:textId="64BD8A27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DE0352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Quality and Cost Based Selection (QCBS)</w:t>
      </w:r>
      <w:r w:rsidR="00DE0352" w:rsidRPr="002931D4">
        <w:rPr>
          <w:rFonts w:ascii="Times New Roman" w:hAnsi="Times New Roman" w:cs="Times New Roman"/>
          <w:spacing w:val="-2"/>
          <w:sz w:val="24"/>
        </w:rPr>
        <w:t xml:space="preserve"> method</w:t>
      </w:r>
      <w:r w:rsidR="00EA537C" w:rsidRPr="002931D4">
        <w:rPr>
          <w:rFonts w:ascii="Times New Roman" w:hAnsi="Times New Roman" w:cs="Times New Roman"/>
          <w:spacing w:val="-2"/>
          <w:sz w:val="24"/>
        </w:rPr>
        <w:t xml:space="preserve"> set out in the Procurement Guidelines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74387A32" w14:textId="77777777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5B4C521" w14:textId="68CCC0EF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address below during office hours </w:t>
      </w:r>
      <w:r w:rsidR="00DA7314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i.e.,</w:t>
      </w:r>
      <w:r w:rsidRPr="002931D4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09:00 to 17:00 </w:t>
      </w:r>
      <w:r w:rsidR="00DA7314" w:rsidRPr="002931D4">
        <w:rPr>
          <w:rFonts w:ascii="Times New Roman" w:eastAsia="Calibri" w:hAnsi="Times New Roman" w:cs="Times New Roman"/>
          <w:i/>
          <w:spacing w:val="-2"/>
          <w:sz w:val="24"/>
          <w:szCs w:val="24"/>
        </w:rPr>
        <w:t>PST.</w:t>
      </w:r>
    </w:p>
    <w:p w14:paraId="72FB4B4B" w14:textId="77777777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D8460F3" w14:textId="3A9B5CE1" w:rsidR="00566FAB" w:rsidRPr="002931D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2931D4">
        <w:rPr>
          <w:rFonts w:ascii="Times New Roman" w:hAnsi="Times New Roman" w:cs="Times New Roman"/>
          <w:spacing w:val="-2"/>
          <w:sz w:val="24"/>
        </w:rPr>
        <w:t xml:space="preserve">(in person, or by mail, or by e-mail) 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392948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="00392948" w:rsidRPr="00392948">
        <w:rPr>
          <w:rFonts w:ascii="Times New Roman" w:eastAsia="Calibri" w:hAnsi="Times New Roman" w:cs="Times New Roman"/>
          <w:spacing w:val="-2"/>
          <w:sz w:val="24"/>
          <w:szCs w:val="24"/>
          <w:vertAlign w:val="superscript"/>
        </w:rPr>
        <w:t>st</w:t>
      </w:r>
      <w:r w:rsidR="003929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July 2025 on or before 3:00 PM</w:t>
      </w:r>
      <w:r w:rsidRPr="002931D4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4A8828E9" w14:textId="77777777" w:rsid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8BF9CA5" w14:textId="77777777" w:rsidR="000E0A52" w:rsidRPr="002931D4" w:rsidRDefault="000E0A52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7E9098C" w14:textId="77777777" w:rsidR="00DA7314" w:rsidRPr="002931D4" w:rsidRDefault="00234B32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2931D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        </w:t>
      </w:r>
    </w:p>
    <w:p w14:paraId="58ED8701" w14:textId="1D69B394" w:rsidR="00DA7314" w:rsidRPr="000E0A52" w:rsidRDefault="00DA7314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>Pro</w:t>
      </w:r>
      <w:r w:rsidR="00B72298" w:rsidRPr="000E0A52">
        <w:rPr>
          <w:rFonts w:ascii="Times New Roman" w:eastAsia="Calibri" w:hAnsi="Times New Roman" w:cs="Times New Roman"/>
          <w:iCs/>
          <w:spacing w:val="-2"/>
        </w:rPr>
        <w:t>gram</w:t>
      </w:r>
      <w:r w:rsidRPr="000E0A52">
        <w:rPr>
          <w:rFonts w:ascii="Times New Roman" w:eastAsia="Calibri" w:hAnsi="Times New Roman" w:cs="Times New Roman"/>
          <w:iCs/>
          <w:spacing w:val="-2"/>
        </w:rPr>
        <w:t xml:space="preserve"> Director</w:t>
      </w:r>
    </w:p>
    <w:p w14:paraId="03818A85" w14:textId="48FDACE6" w:rsidR="00DA7314" w:rsidRPr="000E0A52" w:rsidRDefault="00DA7314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>Sindh Integrated Health and Women Empowerment Project</w:t>
      </w:r>
    </w:p>
    <w:p w14:paraId="6C29F0FB" w14:textId="4A327FDD" w:rsidR="00DA7314" w:rsidRPr="000E0A52" w:rsidRDefault="002931D4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>Office No. 201, Plot # 18</w:t>
      </w:r>
      <w:r w:rsidR="006C580B">
        <w:rPr>
          <w:rFonts w:ascii="Times New Roman" w:eastAsia="Calibri" w:hAnsi="Times New Roman" w:cs="Times New Roman"/>
          <w:iCs/>
          <w:spacing w:val="-2"/>
        </w:rPr>
        <w:t>0-</w:t>
      </w:r>
      <w:r w:rsidRPr="000E0A52">
        <w:rPr>
          <w:rFonts w:ascii="Times New Roman" w:eastAsia="Calibri" w:hAnsi="Times New Roman" w:cs="Times New Roman"/>
          <w:iCs/>
          <w:spacing w:val="-2"/>
        </w:rPr>
        <w:t>C, Al Murtaza Commercial lane-2, Phase VIII</w:t>
      </w:r>
      <w:r w:rsidR="006C580B">
        <w:rPr>
          <w:rFonts w:ascii="Times New Roman" w:eastAsia="Calibri" w:hAnsi="Times New Roman" w:cs="Times New Roman"/>
          <w:iCs/>
          <w:spacing w:val="-2"/>
        </w:rPr>
        <w:t xml:space="preserve"> DHA</w:t>
      </w:r>
    </w:p>
    <w:p w14:paraId="26DB6D2A" w14:textId="240C61F7" w:rsidR="00566FAB" w:rsidRPr="000E0A52" w:rsidRDefault="002931D4" w:rsidP="002931D4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>Karachi, Pakistan</w:t>
      </w:r>
    </w:p>
    <w:p w14:paraId="30EAC12A" w14:textId="2DBF37FD" w:rsidR="002931D4" w:rsidRPr="000E0A52" w:rsidRDefault="002931D4" w:rsidP="002931D4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>Tel: 021-33406147</w:t>
      </w:r>
    </w:p>
    <w:p w14:paraId="09880ACD" w14:textId="77777777" w:rsidR="002931D4" w:rsidRPr="000E0A52" w:rsidRDefault="002931D4" w:rsidP="002931D4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>Fax: 021-33406145</w:t>
      </w:r>
    </w:p>
    <w:p w14:paraId="073C2C3F" w14:textId="77777777" w:rsidR="002931D4" w:rsidRPr="000E0A52" w:rsidRDefault="002931D4" w:rsidP="002931D4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</w:rPr>
      </w:pPr>
      <w:r w:rsidRPr="000E0A52">
        <w:rPr>
          <w:rFonts w:ascii="Times New Roman" w:eastAsia="Calibri" w:hAnsi="Times New Roman" w:cs="Times New Roman"/>
          <w:iCs/>
          <w:spacing w:val="-2"/>
        </w:rPr>
        <w:t xml:space="preserve">Email: </w:t>
      </w:r>
      <w:hyperlink r:id="rId10" w:history="1">
        <w:r w:rsidRPr="000E0A52">
          <w:rPr>
            <w:rStyle w:val="Hyperlink"/>
            <w:rFonts w:ascii="Times New Roman" w:eastAsia="Calibri" w:hAnsi="Times New Roman" w:cs="Times New Roman"/>
            <w:iCs/>
            <w:spacing w:val="-2"/>
          </w:rPr>
          <w:t>pd@sihpp.gos.pk</w:t>
        </w:r>
      </w:hyperlink>
      <w:r w:rsidRPr="000E0A52">
        <w:rPr>
          <w:rFonts w:ascii="Times New Roman" w:eastAsia="Calibri" w:hAnsi="Times New Roman" w:cs="Times New Roman"/>
          <w:iCs/>
          <w:spacing w:val="-2"/>
        </w:rPr>
        <w:t xml:space="preserve">, </w:t>
      </w:r>
      <w:hyperlink r:id="rId11" w:history="1">
        <w:r w:rsidRPr="000E0A52">
          <w:rPr>
            <w:rStyle w:val="Hyperlink"/>
            <w:rFonts w:ascii="Times New Roman" w:eastAsia="Calibri" w:hAnsi="Times New Roman" w:cs="Times New Roman"/>
            <w:iCs/>
            <w:spacing w:val="-2"/>
          </w:rPr>
          <w:t>pa1@sihpp.gos.pk</w:t>
        </w:r>
      </w:hyperlink>
      <w:r w:rsidRPr="000E0A52">
        <w:rPr>
          <w:rFonts w:ascii="Times New Roman" w:eastAsia="Calibri" w:hAnsi="Times New Roman" w:cs="Times New Roman"/>
          <w:iCs/>
          <w:spacing w:val="-2"/>
        </w:rPr>
        <w:t xml:space="preserve"> </w:t>
      </w:r>
    </w:p>
    <w:p w14:paraId="73CA3E5A" w14:textId="6919946C" w:rsidR="00566FAB" w:rsidRPr="000E0A52" w:rsidRDefault="00566FAB" w:rsidP="002931D4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0E0A52">
        <w:rPr>
          <w:rFonts w:ascii="Times New Roman" w:eastAsia="Times New Roman" w:hAnsi="Times New Roman" w:cs="Times New Roman"/>
          <w:spacing w:val="-2"/>
        </w:rPr>
        <w:t xml:space="preserve">Web site: </w:t>
      </w:r>
      <w:hyperlink r:id="rId12" w:history="1">
        <w:r w:rsidR="002931D4" w:rsidRPr="000E0A52">
          <w:rPr>
            <w:rStyle w:val="Hyperlink"/>
            <w:rFonts w:ascii="Times New Roman" w:eastAsia="Times New Roman" w:hAnsi="Times New Roman" w:cs="Times New Roman"/>
            <w:spacing w:val="-2"/>
          </w:rPr>
          <w:t>www.sihpp.gos.pk</w:t>
        </w:r>
      </w:hyperlink>
      <w:r w:rsidR="002931D4" w:rsidRPr="000E0A52">
        <w:rPr>
          <w:rFonts w:ascii="Times New Roman" w:eastAsia="Times New Roman" w:hAnsi="Times New Roman" w:cs="Times New Roman"/>
          <w:spacing w:val="-2"/>
        </w:rPr>
        <w:t xml:space="preserve"> </w:t>
      </w:r>
    </w:p>
    <w:p w14:paraId="30C6F141" w14:textId="77777777" w:rsidR="00566FAB" w:rsidRPr="002931D4" w:rsidRDefault="00566FAB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2931D4" w:rsidSect="008651B8">
      <w:headerReference w:type="even" r:id="rId13"/>
      <w:headerReference w:type="default" r:id="rId14"/>
      <w:headerReference w:type="first" r:id="rId15"/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5296" w14:textId="77777777" w:rsidR="008F1B6F" w:rsidRDefault="008F1B6F" w:rsidP="00610EC0">
      <w:pPr>
        <w:spacing w:after="0" w:line="240" w:lineRule="auto"/>
      </w:pPr>
      <w:r>
        <w:separator/>
      </w:r>
    </w:p>
  </w:endnote>
  <w:endnote w:type="continuationSeparator" w:id="0">
    <w:p w14:paraId="016D25D0" w14:textId="77777777" w:rsidR="008F1B6F" w:rsidRDefault="008F1B6F" w:rsidP="0061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015D" w14:textId="77777777" w:rsidR="008F1B6F" w:rsidRDefault="008F1B6F" w:rsidP="00610EC0">
      <w:pPr>
        <w:spacing w:after="0" w:line="240" w:lineRule="auto"/>
      </w:pPr>
      <w:r>
        <w:separator/>
      </w:r>
    </w:p>
  </w:footnote>
  <w:footnote w:type="continuationSeparator" w:id="0">
    <w:p w14:paraId="09BFE044" w14:textId="77777777" w:rsidR="008F1B6F" w:rsidRDefault="008F1B6F" w:rsidP="0061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B835" w14:textId="09D0FAB9" w:rsidR="00610EC0" w:rsidRDefault="00610E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F3278" wp14:editId="63A651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39162113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81C1D" w14:textId="271B832A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F3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B81C1D" w14:textId="271B832A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DB71" w14:textId="5D8E3761" w:rsidR="00610EC0" w:rsidRDefault="00610E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EF6293" wp14:editId="476D910A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67687031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87E29" w14:textId="0FCCAEA2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F62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BB87E29" w14:textId="0FCCAEA2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5B8D" w14:textId="2B2ED044" w:rsidR="00610EC0" w:rsidRDefault="00610E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F897EC" wp14:editId="00E713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54453167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6E138" w14:textId="755AF556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89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5E6E138" w14:textId="755AF556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63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200B3"/>
    <w:rsid w:val="0002164D"/>
    <w:rsid w:val="0006136A"/>
    <w:rsid w:val="000E0A52"/>
    <w:rsid w:val="00165357"/>
    <w:rsid w:val="001C4CF8"/>
    <w:rsid w:val="001E39E5"/>
    <w:rsid w:val="0020363E"/>
    <w:rsid w:val="00234B32"/>
    <w:rsid w:val="00236989"/>
    <w:rsid w:val="002931D4"/>
    <w:rsid w:val="0030298F"/>
    <w:rsid w:val="00392948"/>
    <w:rsid w:val="00397D80"/>
    <w:rsid w:val="003B2041"/>
    <w:rsid w:val="00492674"/>
    <w:rsid w:val="00566FAB"/>
    <w:rsid w:val="005E21C5"/>
    <w:rsid w:val="00610EC0"/>
    <w:rsid w:val="006C580B"/>
    <w:rsid w:val="008651B8"/>
    <w:rsid w:val="00880191"/>
    <w:rsid w:val="0088372B"/>
    <w:rsid w:val="008914F1"/>
    <w:rsid w:val="008E7C45"/>
    <w:rsid w:val="008F1B6F"/>
    <w:rsid w:val="009401E6"/>
    <w:rsid w:val="009535A6"/>
    <w:rsid w:val="00A37021"/>
    <w:rsid w:val="00A814C7"/>
    <w:rsid w:val="00A97AD7"/>
    <w:rsid w:val="00AD3A53"/>
    <w:rsid w:val="00B102C4"/>
    <w:rsid w:val="00B72298"/>
    <w:rsid w:val="00BA7A4A"/>
    <w:rsid w:val="00BE2D5F"/>
    <w:rsid w:val="00C54341"/>
    <w:rsid w:val="00CA7DB2"/>
    <w:rsid w:val="00CF1669"/>
    <w:rsid w:val="00D030D0"/>
    <w:rsid w:val="00D6104A"/>
    <w:rsid w:val="00DA7314"/>
    <w:rsid w:val="00DE0352"/>
    <w:rsid w:val="00E27B7D"/>
    <w:rsid w:val="00EA537C"/>
    <w:rsid w:val="00EC7F89"/>
    <w:rsid w:val="00F235DF"/>
    <w:rsid w:val="00F60D34"/>
    <w:rsid w:val="00F93FA4"/>
    <w:rsid w:val="00F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56749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65357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bCs/>
      <w:kern w:val="2"/>
      <w:sz w:val="24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_Paragraph Char,Multilevel para_II Char,ADB Normal Char,ADB paragraph numbering Char,List Paragraph1 Char,List Paragraph11 Char"/>
    <w:basedOn w:val="DefaultParagraphFont"/>
    <w:link w:val="ListParagraph"/>
    <w:uiPriority w:val="1"/>
    <w:locked/>
    <w:rsid w:val="00610EC0"/>
  </w:style>
  <w:style w:type="paragraph" w:styleId="ListParagraph">
    <w:name w:val="List Paragraph"/>
    <w:aliases w:val="Citation List,본문(내용),List Paragraph (numbered (a)),Colorful List - Accent 11,List_Paragraph,Multilevel para_II,ADB Normal,ADB paragraph numbering,List Paragraph1,List Paragraph11,ADB List Paragraph,7 List Paragraph,6 List Paragraph"/>
    <w:basedOn w:val="Normal"/>
    <w:link w:val="ListParagraphChar"/>
    <w:uiPriority w:val="1"/>
    <w:qFormat/>
    <w:rsid w:val="00610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C0"/>
  </w:style>
  <w:style w:type="table" w:styleId="TableGrid">
    <w:name w:val="Table Grid"/>
    <w:basedOn w:val="TableNormal"/>
    <w:uiPriority w:val="59"/>
    <w:qFormat/>
    <w:rsid w:val="00DE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65357"/>
    <w:rPr>
      <w:rFonts w:ascii="Times New Roman" w:eastAsiaTheme="majorEastAsia" w:hAnsi="Times New Roman" w:cs="Times New Roman"/>
      <w:b/>
      <w:bCs/>
      <w:kern w:val="2"/>
      <w:sz w:val="24"/>
      <w:szCs w:val="26"/>
      <w14:ligatures w14:val="standardContextual"/>
    </w:rPr>
  </w:style>
  <w:style w:type="paragraph" w:styleId="NormalWeb">
    <w:name w:val="Normal (Web)"/>
    <w:basedOn w:val="Normal"/>
    <w:uiPriority w:val="99"/>
    <w:unhideWhenUsed/>
    <w:rsid w:val="00DA731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31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1D4"/>
    <w:rPr>
      <w:color w:val="605E5C"/>
      <w:shd w:val="clear" w:color="auto" w:fill="E1DFDD"/>
    </w:rPr>
  </w:style>
  <w:style w:type="paragraph" w:customStyle="1" w:styleId="Default">
    <w:name w:val="Default"/>
    <w:rsid w:val="00B72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B5E68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hpp.gos.p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1@sihpp.gos.p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d@sihpp.gos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hpp.gos.pk/tender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20E1-A2EE-4C89-A914-1AD1CB0B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Zakaullah panhwar</cp:lastModifiedBy>
  <cp:revision>2</cp:revision>
  <cp:lastPrinted>2025-06-10T07:43:00Z</cp:lastPrinted>
  <dcterms:created xsi:type="dcterms:W3CDTF">2025-06-10T11:30:00Z</dcterms:created>
  <dcterms:modified xsi:type="dcterms:W3CDTF">2025-06-10T11:30:00Z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2677648764903bc59663c412f74dc4a8a9bc9cbc7d1abfda30d33a7fa0b08c70</vt:lpwstr>
  </property>
  <property fmtid="{D5CDD505-2E9C-101B-9397-08002B2CF9AE}" pid="3" name="ClassificationContentMarkingHeaderShapeIds">
    <vt:lpwstr>5c0faedf,52f27412,63f302a8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2024-05-01T06:50:57Z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f4773eb7-73ee-4cb4-bb5d-63d6a953b111</vt:lpwstr>
  </property>
  <property fmtid="{D5CDD505-2E9C-101B-9397-08002B2CF9AE}" pid="12" name="MSIP_Label_9ef4adf7-25a7-4f52-a61a-df7190f1d881_ContentBits">
    <vt:lpwstr>1</vt:lpwstr>
  </property>
</Properties>
</file>