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AA43F" w14:textId="7EC18437" w:rsidR="00566FAB" w:rsidRPr="00566FAB"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566FAB">
        <w:rPr>
          <w:rFonts w:ascii="Times New Roman" w:eastAsia="Times New Roman" w:hAnsi="Times New Roman" w:cs="Times New Roman"/>
          <w:b/>
          <w:bCs/>
          <w:smallCaps/>
          <w:sz w:val="24"/>
          <w:szCs w:val="24"/>
        </w:rPr>
        <w:t>REQUEST FOR EXPRESSIONS OF INTEREST</w:t>
      </w:r>
    </w:p>
    <w:p w14:paraId="08DBC0C2" w14:textId="77777777" w:rsidR="00566FAB" w:rsidRPr="00566FAB"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566FAB">
        <w:rPr>
          <w:rFonts w:ascii="Times New Roman" w:eastAsia="Times New Roman" w:hAnsi="Times New Roman" w:cs="Times New Roman"/>
          <w:b/>
          <w:bCs/>
          <w:smallCaps/>
          <w:sz w:val="24"/>
          <w:szCs w:val="24"/>
        </w:rPr>
        <w:t>(CONSULTANT SERVICES</w:t>
      </w:r>
      <w:r w:rsidR="00BA7A4A">
        <w:rPr>
          <w:rFonts w:ascii="Times New Roman" w:eastAsia="Times New Roman" w:hAnsi="Times New Roman" w:cs="Times New Roman"/>
          <w:b/>
          <w:bCs/>
          <w:smallCaps/>
          <w:sz w:val="24"/>
          <w:szCs w:val="24"/>
        </w:rPr>
        <w:t xml:space="preserve"> – SELECTION OF FIRMS</w:t>
      </w:r>
      <w:r w:rsidRPr="00566FAB">
        <w:rPr>
          <w:rFonts w:ascii="Times New Roman" w:eastAsia="Times New Roman" w:hAnsi="Times New Roman" w:cs="Times New Roman"/>
          <w:b/>
          <w:bCs/>
          <w:smallCaps/>
          <w:sz w:val="24"/>
          <w:szCs w:val="24"/>
        </w:rPr>
        <w:t>)</w:t>
      </w:r>
    </w:p>
    <w:p w14:paraId="49E68CF0" w14:textId="77777777" w:rsidR="00FE2DF7" w:rsidRDefault="00FE2DF7" w:rsidP="00FE2DF7">
      <w:pPr>
        <w:spacing w:after="0"/>
        <w:jc w:val="both"/>
        <w:rPr>
          <w:rFonts w:ascii="Arial" w:hAnsi="Arial" w:cs="Arial"/>
          <w:b/>
        </w:rPr>
      </w:pPr>
    </w:p>
    <w:p w14:paraId="2777A4F7" w14:textId="0D3652DC" w:rsidR="00FE2DF7" w:rsidRPr="00E62C96" w:rsidRDefault="00FE2DF7" w:rsidP="00E62C96">
      <w:pPr>
        <w:spacing w:after="0" w:line="240" w:lineRule="auto"/>
        <w:ind w:left="709"/>
        <w:jc w:val="both"/>
        <w:rPr>
          <w:rFonts w:ascii="Arial" w:eastAsia="Calibri" w:hAnsi="Arial" w:cs="Arial"/>
          <w:spacing w:val="-2"/>
        </w:rPr>
      </w:pPr>
      <w:r w:rsidRPr="00E62C96">
        <w:rPr>
          <w:rFonts w:ascii="Arial" w:eastAsia="Calibri" w:hAnsi="Arial" w:cs="Arial"/>
          <w:b/>
          <w:bCs/>
          <w:spacing w:val="-2"/>
        </w:rPr>
        <w:t>Country</w:t>
      </w:r>
      <w:r w:rsidRPr="00E62C96">
        <w:rPr>
          <w:rFonts w:ascii="Arial" w:eastAsia="Calibri" w:hAnsi="Arial" w:cs="Arial"/>
          <w:spacing w:val="-2"/>
        </w:rPr>
        <w:t>: Kyrgyz Republic</w:t>
      </w:r>
    </w:p>
    <w:p w14:paraId="34004E34" w14:textId="772AE06D" w:rsidR="00FE2DF7" w:rsidRPr="00E62C96" w:rsidRDefault="00FE2DF7" w:rsidP="00E62C96">
      <w:pPr>
        <w:spacing w:after="0" w:line="240" w:lineRule="auto"/>
        <w:ind w:left="709"/>
        <w:jc w:val="both"/>
        <w:rPr>
          <w:rFonts w:ascii="Arial" w:eastAsia="Calibri" w:hAnsi="Arial" w:cs="Arial"/>
          <w:spacing w:val="-2"/>
        </w:rPr>
      </w:pPr>
      <w:r w:rsidRPr="00E62C96">
        <w:rPr>
          <w:rFonts w:ascii="Arial" w:eastAsia="Calibri" w:hAnsi="Arial" w:cs="Arial"/>
          <w:b/>
          <w:bCs/>
          <w:spacing w:val="-2"/>
        </w:rPr>
        <w:t>Name of Project</w:t>
      </w:r>
      <w:r w:rsidRPr="00E62C96">
        <w:rPr>
          <w:rFonts w:ascii="Arial" w:eastAsia="Calibri" w:hAnsi="Arial" w:cs="Arial"/>
          <w:spacing w:val="-2"/>
        </w:rPr>
        <w:t xml:space="preserve">: </w:t>
      </w:r>
      <w:r w:rsidR="00E62C96">
        <w:rPr>
          <w:rFonts w:ascii="Arial" w:eastAsia="Calibri" w:hAnsi="Arial" w:cs="Arial"/>
          <w:spacing w:val="-2"/>
        </w:rPr>
        <w:t>T</w:t>
      </w:r>
      <w:r w:rsidRPr="00E62C96">
        <w:rPr>
          <w:rFonts w:ascii="Arial" w:eastAsia="Calibri" w:hAnsi="Arial" w:cs="Arial"/>
          <w:spacing w:val="-2"/>
        </w:rPr>
        <w:t>he Shariah-compliant Affordable Housing Financing Project</w:t>
      </w:r>
    </w:p>
    <w:p w14:paraId="0AC4FCC2" w14:textId="497A58B1" w:rsidR="00FE2DF7" w:rsidRPr="00E62C96" w:rsidRDefault="00FE2DF7" w:rsidP="00E62C96">
      <w:pPr>
        <w:spacing w:after="0" w:line="240" w:lineRule="auto"/>
        <w:ind w:left="709"/>
        <w:jc w:val="both"/>
        <w:rPr>
          <w:rFonts w:ascii="Arial" w:eastAsia="Calibri" w:hAnsi="Arial" w:cs="Arial"/>
          <w:spacing w:val="-2"/>
        </w:rPr>
      </w:pPr>
      <w:r w:rsidRPr="00E62C96">
        <w:rPr>
          <w:rFonts w:ascii="Arial" w:eastAsia="Calibri" w:hAnsi="Arial" w:cs="Arial"/>
          <w:b/>
          <w:bCs/>
          <w:spacing w:val="-2"/>
        </w:rPr>
        <w:t>Name of Sector</w:t>
      </w:r>
      <w:r w:rsidRPr="00E62C96">
        <w:rPr>
          <w:rFonts w:ascii="Arial" w:eastAsia="Calibri" w:hAnsi="Arial" w:cs="Arial"/>
          <w:spacing w:val="-2"/>
        </w:rPr>
        <w:t>: Housing and Urban Development</w:t>
      </w:r>
    </w:p>
    <w:p w14:paraId="4221461D" w14:textId="2C26FB24" w:rsidR="00FE2DF7" w:rsidRPr="00E62C96" w:rsidRDefault="00FE2DF7" w:rsidP="00E62C96">
      <w:pPr>
        <w:spacing w:after="0" w:line="240" w:lineRule="auto"/>
        <w:ind w:left="709"/>
        <w:jc w:val="both"/>
        <w:rPr>
          <w:rFonts w:ascii="Arial" w:eastAsia="Calibri" w:hAnsi="Arial" w:cs="Arial"/>
          <w:spacing w:val="-2"/>
        </w:rPr>
      </w:pPr>
      <w:r w:rsidRPr="00E62C96">
        <w:rPr>
          <w:rFonts w:ascii="Arial" w:eastAsia="Calibri" w:hAnsi="Arial" w:cs="Arial"/>
          <w:b/>
          <w:bCs/>
          <w:spacing w:val="-2"/>
        </w:rPr>
        <w:t>Consulting services</w:t>
      </w:r>
      <w:r w:rsidRPr="00E62C96">
        <w:rPr>
          <w:rFonts w:ascii="Arial" w:eastAsia="Calibri" w:hAnsi="Arial" w:cs="Arial"/>
          <w:spacing w:val="-2"/>
        </w:rPr>
        <w:t xml:space="preserve">: </w:t>
      </w:r>
      <w:r w:rsidR="00930045" w:rsidRPr="00930045">
        <w:rPr>
          <w:rFonts w:ascii="Arial" w:eastAsia="Calibri" w:hAnsi="Arial" w:cs="Arial"/>
          <w:spacing w:val="-2"/>
        </w:rPr>
        <w:t>Financial Audit of the Projec</w:t>
      </w:r>
      <w:r w:rsidR="00930045">
        <w:rPr>
          <w:rFonts w:ascii="Arial" w:eastAsia="Calibri" w:hAnsi="Arial" w:cs="Arial"/>
          <w:spacing w:val="-2"/>
        </w:rPr>
        <w:t>t</w:t>
      </w:r>
    </w:p>
    <w:p w14:paraId="118BA3C0" w14:textId="77777777" w:rsidR="00FE2DF7" w:rsidRPr="00E62C96" w:rsidRDefault="00FE2DF7" w:rsidP="00E62C96">
      <w:pPr>
        <w:spacing w:after="0" w:line="240" w:lineRule="auto"/>
        <w:ind w:left="709"/>
        <w:jc w:val="both"/>
        <w:rPr>
          <w:rFonts w:ascii="Arial" w:eastAsia="Calibri" w:hAnsi="Arial" w:cs="Arial"/>
          <w:spacing w:val="-2"/>
        </w:rPr>
      </w:pPr>
      <w:r w:rsidRPr="00E62C96">
        <w:rPr>
          <w:rFonts w:ascii="Arial" w:eastAsia="Calibri" w:hAnsi="Arial" w:cs="Arial"/>
          <w:b/>
          <w:bCs/>
          <w:spacing w:val="-2"/>
        </w:rPr>
        <w:t>Mode of Financing</w:t>
      </w:r>
      <w:r w:rsidRPr="00E62C96">
        <w:rPr>
          <w:rFonts w:ascii="Arial" w:eastAsia="Calibri" w:hAnsi="Arial" w:cs="Arial"/>
          <w:spacing w:val="-2"/>
        </w:rPr>
        <w:t>: Instalment Sale</w:t>
      </w:r>
    </w:p>
    <w:p w14:paraId="52D77EF1" w14:textId="0DC14372" w:rsidR="00566FAB" w:rsidRPr="00E62C96" w:rsidRDefault="00FE2DF7" w:rsidP="00E62C96">
      <w:pPr>
        <w:spacing w:after="0" w:line="240" w:lineRule="auto"/>
        <w:ind w:left="709"/>
        <w:jc w:val="both"/>
        <w:rPr>
          <w:rFonts w:ascii="Arial" w:eastAsia="Calibri" w:hAnsi="Arial" w:cs="Arial"/>
          <w:spacing w:val="-2"/>
        </w:rPr>
      </w:pPr>
      <w:r w:rsidRPr="00E62C96">
        <w:rPr>
          <w:rFonts w:ascii="Arial" w:eastAsia="Calibri" w:hAnsi="Arial" w:cs="Arial"/>
          <w:b/>
          <w:bCs/>
          <w:spacing w:val="-2"/>
        </w:rPr>
        <w:t>Financing No</w:t>
      </w:r>
      <w:r w:rsidRPr="00E62C96">
        <w:rPr>
          <w:rFonts w:ascii="Arial" w:eastAsia="Calibri" w:hAnsi="Arial" w:cs="Arial"/>
          <w:spacing w:val="-2"/>
        </w:rPr>
        <w:t>. KGZ-1028</w:t>
      </w:r>
    </w:p>
    <w:p w14:paraId="17690449" w14:textId="77777777" w:rsidR="00FE2DF7" w:rsidRPr="00E62C96" w:rsidRDefault="00FE2DF7" w:rsidP="00FE2DF7">
      <w:pPr>
        <w:spacing w:after="0" w:line="240" w:lineRule="auto"/>
        <w:jc w:val="both"/>
        <w:rPr>
          <w:rFonts w:ascii="Arial" w:eastAsia="Calibri" w:hAnsi="Arial" w:cs="Arial"/>
          <w:spacing w:val="-2"/>
        </w:rPr>
      </w:pPr>
    </w:p>
    <w:p w14:paraId="4C619E23" w14:textId="7B4519B5" w:rsidR="00FE2DF7" w:rsidRPr="00E62C96" w:rsidRDefault="00FE2DF7" w:rsidP="00E62C96">
      <w:pPr>
        <w:pStyle w:val="ListParagraph"/>
        <w:numPr>
          <w:ilvl w:val="0"/>
          <w:numId w:val="2"/>
        </w:numPr>
        <w:spacing w:after="0" w:line="259" w:lineRule="auto"/>
        <w:ind w:left="0" w:firstLine="283"/>
        <w:jc w:val="both"/>
        <w:rPr>
          <w:rFonts w:ascii="Arial" w:hAnsi="Arial" w:cs="Arial"/>
        </w:rPr>
      </w:pPr>
      <w:r w:rsidRPr="00E62C96">
        <w:rPr>
          <w:rFonts w:ascii="Arial" w:hAnsi="Arial" w:cs="Arial"/>
        </w:rPr>
        <w:t>The Kyrgyz Republic has received financing from the Islamic Development Bank (IsDB) toward the cost of the Shariah-Compliant Affordable Housing Finance Project and intends to apply part of the proceeds for consulting services to engage a</w:t>
      </w:r>
      <w:r w:rsidR="00930045">
        <w:rPr>
          <w:rFonts w:ascii="Arial" w:hAnsi="Arial" w:cs="Arial"/>
        </w:rPr>
        <w:t xml:space="preserve">n </w:t>
      </w:r>
      <w:r w:rsidR="00930045" w:rsidRPr="00930045">
        <w:rPr>
          <w:rFonts w:ascii="Arial" w:hAnsi="Arial" w:cs="Arial"/>
        </w:rPr>
        <w:t>independent audit firm</w:t>
      </w:r>
      <w:r w:rsidR="00930045">
        <w:rPr>
          <w:rFonts w:ascii="Arial" w:hAnsi="Arial" w:cs="Arial"/>
        </w:rPr>
        <w:t>.</w:t>
      </w:r>
    </w:p>
    <w:p w14:paraId="02A43774" w14:textId="77777777" w:rsidR="00FE2DF7" w:rsidRPr="00E62C96" w:rsidRDefault="00FE2DF7" w:rsidP="00FE2DF7">
      <w:pPr>
        <w:suppressAutoHyphens/>
        <w:spacing w:after="0" w:line="240" w:lineRule="auto"/>
        <w:jc w:val="both"/>
        <w:rPr>
          <w:rFonts w:ascii="Arial" w:eastAsia="Calibri" w:hAnsi="Arial" w:cs="Arial"/>
          <w:spacing w:val="-2"/>
        </w:rPr>
      </w:pPr>
    </w:p>
    <w:p w14:paraId="6C67F5E9" w14:textId="7F2E8ADA" w:rsidR="00FE2DF7" w:rsidRDefault="00930045" w:rsidP="00E62C96">
      <w:pPr>
        <w:pStyle w:val="ListParagraph"/>
        <w:numPr>
          <w:ilvl w:val="0"/>
          <w:numId w:val="2"/>
        </w:numPr>
        <w:spacing w:after="0" w:line="259" w:lineRule="auto"/>
        <w:ind w:left="0" w:firstLine="283"/>
        <w:jc w:val="both"/>
        <w:rPr>
          <w:rFonts w:ascii="Arial" w:hAnsi="Arial" w:cs="Arial"/>
        </w:rPr>
      </w:pPr>
      <w:r w:rsidRPr="00930045">
        <w:rPr>
          <w:rFonts w:ascii="Arial" w:hAnsi="Arial" w:cs="Arial"/>
        </w:rPr>
        <w:t>The services include the audit of the Project Financial Statements (PFS) covering all funds received and disbursed under the Project, including IsDB financing and beneficiary contributions. The auditor is expected to provide a professional opinion on whether the PFS present a true and fair view of the financial position of the Project and whether the expenditures were incurred in accordance with the Financing Agreement and IsDB procurement guidelines</w:t>
      </w:r>
      <w:r>
        <w:rPr>
          <w:rFonts w:ascii="Arial" w:hAnsi="Arial" w:cs="Arial"/>
        </w:rPr>
        <w:t>.</w:t>
      </w:r>
    </w:p>
    <w:p w14:paraId="7BA50657" w14:textId="77777777" w:rsidR="00930045" w:rsidRPr="00930045" w:rsidRDefault="00930045" w:rsidP="00930045">
      <w:pPr>
        <w:spacing w:after="0" w:line="259" w:lineRule="auto"/>
        <w:jc w:val="both"/>
        <w:rPr>
          <w:rFonts w:ascii="Arial" w:hAnsi="Arial" w:cs="Arial"/>
        </w:rPr>
      </w:pPr>
    </w:p>
    <w:p w14:paraId="068665DB" w14:textId="155D45C9" w:rsidR="00930045" w:rsidRDefault="00930045" w:rsidP="00930045">
      <w:pPr>
        <w:pStyle w:val="ListParagraph"/>
        <w:numPr>
          <w:ilvl w:val="0"/>
          <w:numId w:val="2"/>
        </w:numPr>
        <w:spacing w:after="0" w:line="259" w:lineRule="auto"/>
        <w:ind w:left="0" w:firstLine="283"/>
        <w:jc w:val="both"/>
        <w:rPr>
          <w:rFonts w:ascii="Arial" w:hAnsi="Arial" w:cs="Arial"/>
        </w:rPr>
      </w:pPr>
      <w:r w:rsidRPr="00930045">
        <w:rPr>
          <w:rFonts w:ascii="Arial" w:hAnsi="Arial" w:cs="Arial"/>
        </w:rPr>
        <w:t>The auditor will also assess compliance with the IsDB’s disbursement procedures, the use and balance of the Special Account (if applicable), the adequacy of internal controls, the procurement of works and services, and the eligibility of expenditures included in withdrawal applications and cost reports.</w:t>
      </w:r>
    </w:p>
    <w:p w14:paraId="23134613" w14:textId="77777777" w:rsidR="00930045" w:rsidRPr="00930045" w:rsidRDefault="00930045" w:rsidP="00930045">
      <w:pPr>
        <w:spacing w:after="0" w:line="259" w:lineRule="auto"/>
        <w:jc w:val="both"/>
        <w:rPr>
          <w:rFonts w:ascii="Arial" w:hAnsi="Arial" w:cs="Arial"/>
        </w:rPr>
      </w:pPr>
    </w:p>
    <w:p w14:paraId="6CFE343C" w14:textId="2CC20DF3" w:rsidR="00930045" w:rsidRDefault="00930045" w:rsidP="00930045">
      <w:pPr>
        <w:pStyle w:val="ListParagraph"/>
        <w:numPr>
          <w:ilvl w:val="0"/>
          <w:numId w:val="2"/>
        </w:numPr>
        <w:spacing w:after="0" w:line="259" w:lineRule="auto"/>
        <w:ind w:left="0" w:firstLine="283"/>
        <w:jc w:val="both"/>
        <w:rPr>
          <w:rFonts w:ascii="Arial" w:hAnsi="Arial" w:cs="Arial"/>
        </w:rPr>
      </w:pPr>
      <w:r w:rsidRPr="00930045">
        <w:rPr>
          <w:rFonts w:ascii="Arial" w:hAnsi="Arial" w:cs="Arial"/>
        </w:rPr>
        <w:t>The audit shall be conducted in accordance with International Standards on Auditing (ISA) issued by the International Auditing and Assurance Standards Board (IAASB) or equivalent standards such as those of INTOSAI. The audit will include verification of supporting documentation, reconciliation of records, review of the fixed asset register, and inspection of selected project-financed assets.</w:t>
      </w:r>
    </w:p>
    <w:p w14:paraId="28C27AFC" w14:textId="77777777" w:rsidR="00930045" w:rsidRPr="00930045" w:rsidRDefault="00930045" w:rsidP="00930045">
      <w:pPr>
        <w:spacing w:after="0" w:line="259" w:lineRule="auto"/>
        <w:jc w:val="both"/>
        <w:rPr>
          <w:rFonts w:ascii="Arial" w:hAnsi="Arial" w:cs="Arial"/>
        </w:rPr>
      </w:pPr>
    </w:p>
    <w:p w14:paraId="6F26CC0B" w14:textId="3447EDC3" w:rsidR="00930045" w:rsidRDefault="00930045" w:rsidP="00930045">
      <w:pPr>
        <w:pStyle w:val="ListParagraph"/>
        <w:numPr>
          <w:ilvl w:val="0"/>
          <w:numId w:val="2"/>
        </w:numPr>
        <w:spacing w:after="0" w:line="259" w:lineRule="auto"/>
        <w:ind w:left="0" w:firstLine="283"/>
        <w:jc w:val="both"/>
        <w:rPr>
          <w:rFonts w:ascii="Arial" w:hAnsi="Arial" w:cs="Arial"/>
        </w:rPr>
      </w:pPr>
      <w:r w:rsidRPr="00930045">
        <w:rPr>
          <w:rFonts w:ascii="Arial" w:hAnsi="Arial" w:cs="Arial"/>
        </w:rPr>
        <w:t>The scope also includes a management letter outlining internal control weaknesses, ineligible expenditures (if any), and recommendations for improvement. The final audit report and management letter must be submitted no later than six months after the end of the financial reporting period (i.e., by December 31, 2025).</w:t>
      </w:r>
    </w:p>
    <w:p w14:paraId="0636E5BF" w14:textId="77777777" w:rsidR="00930045" w:rsidRPr="00930045" w:rsidRDefault="00930045" w:rsidP="00930045">
      <w:pPr>
        <w:spacing w:after="0" w:line="259" w:lineRule="auto"/>
        <w:jc w:val="both"/>
        <w:rPr>
          <w:rFonts w:ascii="Arial" w:hAnsi="Arial" w:cs="Arial"/>
        </w:rPr>
      </w:pPr>
    </w:p>
    <w:p w14:paraId="3E6EB191" w14:textId="32FD8550" w:rsidR="00930045" w:rsidRDefault="00930045" w:rsidP="00930045">
      <w:pPr>
        <w:pStyle w:val="ListParagraph"/>
        <w:numPr>
          <w:ilvl w:val="0"/>
          <w:numId w:val="2"/>
        </w:numPr>
        <w:spacing w:after="0" w:line="259" w:lineRule="auto"/>
        <w:ind w:left="0" w:firstLine="283"/>
        <w:jc w:val="both"/>
        <w:rPr>
          <w:rFonts w:ascii="Arial" w:hAnsi="Arial" w:cs="Arial"/>
        </w:rPr>
      </w:pPr>
      <w:r w:rsidRPr="00930045">
        <w:rPr>
          <w:rFonts w:ascii="Arial" w:hAnsi="Arial" w:cs="Arial"/>
        </w:rPr>
        <w:t>The detailed Terms of Reference (ToR) for the assignment are available at the address below or can be requested by email.</w:t>
      </w:r>
    </w:p>
    <w:p w14:paraId="1EC79A04" w14:textId="77777777" w:rsidR="00930045" w:rsidRPr="00930045" w:rsidRDefault="00930045" w:rsidP="00930045">
      <w:pPr>
        <w:spacing w:after="0" w:line="259" w:lineRule="auto"/>
        <w:jc w:val="both"/>
        <w:rPr>
          <w:rFonts w:ascii="Arial" w:hAnsi="Arial" w:cs="Arial"/>
        </w:rPr>
      </w:pPr>
    </w:p>
    <w:p w14:paraId="379ECCFC" w14:textId="735EB898" w:rsidR="00930045" w:rsidRDefault="00930045" w:rsidP="00930045">
      <w:pPr>
        <w:pStyle w:val="ListParagraph"/>
        <w:numPr>
          <w:ilvl w:val="0"/>
          <w:numId w:val="2"/>
        </w:numPr>
        <w:spacing w:after="0" w:line="259" w:lineRule="auto"/>
        <w:ind w:left="0" w:firstLine="283"/>
        <w:jc w:val="both"/>
        <w:rPr>
          <w:rFonts w:ascii="Arial" w:hAnsi="Arial" w:cs="Arial"/>
        </w:rPr>
      </w:pPr>
      <w:r w:rsidRPr="00930045">
        <w:rPr>
          <w:rFonts w:ascii="Arial" w:hAnsi="Arial" w:cs="Arial"/>
        </w:rPr>
        <w:t>The State Mortgage Company of the Kyrgyz Republic now invites eligible audit firms (“Consultants”) to indicate their interest in providing the services. Interested firms must provide information demonstrating that they are qualified to perform the services (description of similar audit assignments, experience in donor-financed projects, key staff qualifications, legal registration, and memberships in recognized accounting bodies).</w:t>
      </w:r>
    </w:p>
    <w:p w14:paraId="367DB3D8" w14:textId="77777777" w:rsidR="00930045" w:rsidRPr="00930045" w:rsidRDefault="00930045" w:rsidP="00930045">
      <w:pPr>
        <w:spacing w:after="0" w:line="259" w:lineRule="auto"/>
        <w:jc w:val="both"/>
        <w:rPr>
          <w:rFonts w:ascii="Arial" w:hAnsi="Arial" w:cs="Arial"/>
        </w:rPr>
      </w:pPr>
    </w:p>
    <w:p w14:paraId="622ABA0F" w14:textId="4AF7D115" w:rsidR="00930045" w:rsidRDefault="00930045" w:rsidP="00930045">
      <w:pPr>
        <w:pStyle w:val="ListParagraph"/>
        <w:numPr>
          <w:ilvl w:val="0"/>
          <w:numId w:val="2"/>
        </w:numPr>
        <w:spacing w:after="0" w:line="259" w:lineRule="auto"/>
        <w:ind w:left="0" w:firstLine="283"/>
        <w:jc w:val="both"/>
        <w:rPr>
          <w:rFonts w:ascii="Arial" w:hAnsi="Arial" w:cs="Arial"/>
        </w:rPr>
      </w:pPr>
      <w:r w:rsidRPr="00930045">
        <w:rPr>
          <w:rFonts w:ascii="Arial" w:hAnsi="Arial" w:cs="Arial"/>
        </w:rPr>
        <w:t>The shortlisting criteria are:</w:t>
      </w:r>
      <w:r>
        <w:rPr>
          <w:rFonts w:ascii="Arial" w:hAnsi="Arial" w:cs="Arial"/>
        </w:rPr>
        <w:tab/>
      </w:r>
      <w:r w:rsidRPr="00930045">
        <w:rPr>
          <w:rFonts w:ascii="Arial" w:hAnsi="Arial" w:cs="Arial"/>
        </w:rPr>
        <w:br/>
        <w:t>i. Demonstrated experience in auditing financial statements of large-scale donor-financed projects;</w:t>
      </w:r>
      <w:r w:rsidRPr="00930045">
        <w:rPr>
          <w:rFonts w:ascii="Arial" w:hAnsi="Arial" w:cs="Arial"/>
        </w:rPr>
        <w:br/>
      </w:r>
      <w:r w:rsidRPr="00930045">
        <w:rPr>
          <w:rFonts w:ascii="Arial" w:hAnsi="Arial" w:cs="Arial"/>
        </w:rPr>
        <w:lastRenderedPageBreak/>
        <w:t>ii. Familiarity with IsDB or other MDB-funded project audit standards and procedures;</w:t>
      </w:r>
      <w:r w:rsidRPr="00930045">
        <w:rPr>
          <w:rFonts w:ascii="Arial" w:hAnsi="Arial" w:cs="Arial"/>
        </w:rPr>
        <w:br/>
        <w:t>iii. Audit teams with qualifications in international accounting/auditing standards (e.g., ISA, IFAC);</w:t>
      </w:r>
      <w:r w:rsidRPr="00930045">
        <w:rPr>
          <w:rFonts w:ascii="Arial" w:hAnsi="Arial" w:cs="Arial"/>
        </w:rPr>
        <w:br/>
        <w:t>iv. Experience in Central Asia or countries with similar governance and financial systems.</w:t>
      </w:r>
    </w:p>
    <w:p w14:paraId="68EE91F5" w14:textId="77777777" w:rsidR="00930045" w:rsidRPr="00930045" w:rsidRDefault="00930045" w:rsidP="00930045">
      <w:pPr>
        <w:spacing w:after="0" w:line="259" w:lineRule="auto"/>
        <w:jc w:val="both"/>
        <w:rPr>
          <w:rFonts w:ascii="Arial" w:hAnsi="Arial" w:cs="Arial"/>
        </w:rPr>
      </w:pPr>
    </w:p>
    <w:p w14:paraId="0EB73FA4" w14:textId="433A9E94" w:rsidR="00930045" w:rsidRDefault="00930045" w:rsidP="00930045">
      <w:pPr>
        <w:pStyle w:val="ListParagraph"/>
        <w:numPr>
          <w:ilvl w:val="0"/>
          <w:numId w:val="2"/>
        </w:numPr>
        <w:spacing w:after="0" w:line="259" w:lineRule="auto"/>
        <w:ind w:left="0" w:firstLine="283"/>
        <w:jc w:val="both"/>
        <w:rPr>
          <w:rFonts w:ascii="Arial" w:hAnsi="Arial" w:cs="Arial"/>
        </w:rPr>
      </w:pPr>
      <w:r w:rsidRPr="00930045">
        <w:rPr>
          <w:rFonts w:ascii="Arial" w:hAnsi="Arial" w:cs="Arial"/>
        </w:rPr>
        <w:t>Key Experts will not be evaluated at the shortlisting stage.</w:t>
      </w:r>
    </w:p>
    <w:p w14:paraId="36B90BC5" w14:textId="77777777" w:rsidR="00930045" w:rsidRPr="00930045" w:rsidRDefault="00930045" w:rsidP="00930045">
      <w:pPr>
        <w:spacing w:after="0" w:line="259" w:lineRule="auto"/>
        <w:jc w:val="both"/>
        <w:rPr>
          <w:rFonts w:ascii="Arial" w:hAnsi="Arial" w:cs="Arial"/>
        </w:rPr>
      </w:pPr>
    </w:p>
    <w:p w14:paraId="1494EBA0" w14:textId="3945439F" w:rsidR="00930045" w:rsidRDefault="00930045" w:rsidP="00930045">
      <w:pPr>
        <w:pStyle w:val="ListParagraph"/>
        <w:numPr>
          <w:ilvl w:val="0"/>
          <w:numId w:val="2"/>
        </w:numPr>
        <w:spacing w:after="0" w:line="259" w:lineRule="auto"/>
        <w:ind w:left="0" w:firstLine="283"/>
        <w:jc w:val="both"/>
        <w:rPr>
          <w:rFonts w:ascii="Arial" w:hAnsi="Arial" w:cs="Arial"/>
        </w:rPr>
      </w:pPr>
      <w:r w:rsidRPr="00930045">
        <w:rPr>
          <w:rFonts w:ascii="Arial" w:hAnsi="Arial" w:cs="Arial"/>
        </w:rPr>
        <w:t xml:space="preserve">The attention of interested Consultants is drawn to Paragraphs 1.12.1 and 1.12.2 of the Guidelines for Procurement of Consultant Services under Islamic Development Bank Project Financing (April 2019, revised in February 2023), setting forth IsDB’s policy on conflict of interest (available at </w:t>
      </w:r>
      <w:hyperlink r:id="rId7" w:tgtFrame="_new" w:history="1">
        <w:r w:rsidRPr="00930045">
          <w:t>https://www.isdb.org/project-procurement/documents</w:t>
        </w:r>
      </w:hyperlink>
      <w:r w:rsidRPr="00930045">
        <w:rPr>
          <w:rFonts w:ascii="Arial" w:hAnsi="Arial" w:cs="Arial"/>
        </w:rPr>
        <w:t>).</w:t>
      </w:r>
    </w:p>
    <w:p w14:paraId="1DF0640A" w14:textId="77777777" w:rsidR="00930045" w:rsidRPr="00930045" w:rsidRDefault="00930045" w:rsidP="00930045">
      <w:pPr>
        <w:spacing w:after="0" w:line="259" w:lineRule="auto"/>
        <w:jc w:val="both"/>
        <w:rPr>
          <w:rFonts w:ascii="Arial" w:hAnsi="Arial" w:cs="Arial"/>
        </w:rPr>
      </w:pPr>
    </w:p>
    <w:p w14:paraId="3020045C" w14:textId="136D1C68" w:rsidR="00930045" w:rsidRDefault="00930045" w:rsidP="00930045">
      <w:pPr>
        <w:pStyle w:val="ListParagraph"/>
        <w:numPr>
          <w:ilvl w:val="0"/>
          <w:numId w:val="2"/>
        </w:numPr>
        <w:spacing w:after="0" w:line="259" w:lineRule="auto"/>
        <w:ind w:left="0" w:firstLine="283"/>
        <w:jc w:val="both"/>
        <w:rPr>
          <w:rFonts w:ascii="Arial" w:hAnsi="Arial" w:cs="Arial"/>
        </w:rPr>
      </w:pPr>
      <w:r w:rsidRPr="00930045">
        <w:rPr>
          <w:rFonts w:ascii="Arial" w:hAnsi="Arial" w:cs="Arial"/>
        </w:rPr>
        <w:t>Consultants may associate with other firms to enhance their qualifications. In the case of a joint venture, all partners shall be jointly and severally liable for the entire contract, if selected.</w:t>
      </w:r>
    </w:p>
    <w:p w14:paraId="4F060500" w14:textId="77777777" w:rsidR="00930045" w:rsidRPr="00930045" w:rsidRDefault="00930045" w:rsidP="00930045">
      <w:pPr>
        <w:spacing w:after="0" w:line="259" w:lineRule="auto"/>
        <w:jc w:val="both"/>
        <w:rPr>
          <w:rFonts w:ascii="Arial" w:hAnsi="Arial" w:cs="Arial"/>
        </w:rPr>
      </w:pPr>
    </w:p>
    <w:p w14:paraId="57540FD8" w14:textId="07B6B21C" w:rsidR="00930045" w:rsidRDefault="00930045" w:rsidP="00930045">
      <w:pPr>
        <w:pStyle w:val="ListParagraph"/>
        <w:numPr>
          <w:ilvl w:val="0"/>
          <w:numId w:val="2"/>
        </w:numPr>
        <w:spacing w:after="0" w:line="259" w:lineRule="auto"/>
        <w:ind w:left="0" w:firstLine="283"/>
        <w:jc w:val="both"/>
        <w:rPr>
          <w:rFonts w:ascii="Arial" w:hAnsi="Arial" w:cs="Arial"/>
        </w:rPr>
      </w:pPr>
      <w:r w:rsidRPr="00930045">
        <w:rPr>
          <w:rFonts w:ascii="Arial" w:hAnsi="Arial" w:cs="Arial"/>
        </w:rPr>
        <w:t>A consultant will be selected in accordance with the Least-Cost Selection (LCS) method through shortlist firms from IsDB Member Countries set out in the Procurement Guidelines.</w:t>
      </w:r>
    </w:p>
    <w:p w14:paraId="24E017BC" w14:textId="77777777" w:rsidR="00930045" w:rsidRPr="00930045" w:rsidRDefault="00930045" w:rsidP="00930045">
      <w:pPr>
        <w:spacing w:after="0" w:line="259" w:lineRule="auto"/>
        <w:jc w:val="both"/>
        <w:rPr>
          <w:rFonts w:ascii="Arial" w:hAnsi="Arial" w:cs="Arial"/>
        </w:rPr>
      </w:pPr>
    </w:p>
    <w:p w14:paraId="4EF0A3D0" w14:textId="296ADBF4" w:rsidR="00930045" w:rsidRDefault="00930045" w:rsidP="00930045">
      <w:pPr>
        <w:pStyle w:val="ListParagraph"/>
        <w:numPr>
          <w:ilvl w:val="0"/>
          <w:numId w:val="2"/>
        </w:numPr>
        <w:spacing w:after="0" w:line="259" w:lineRule="auto"/>
        <w:ind w:left="0" w:firstLine="283"/>
        <w:jc w:val="both"/>
        <w:rPr>
          <w:rFonts w:ascii="Arial" w:hAnsi="Arial" w:cs="Arial"/>
        </w:rPr>
      </w:pPr>
      <w:r w:rsidRPr="00930045">
        <w:rPr>
          <w:rFonts w:ascii="Arial" w:hAnsi="Arial" w:cs="Arial"/>
        </w:rPr>
        <w:t>Interested consultants may obtain further information at the address below during office hours 09:00 to 18:00 hours (Bishkek time).</w:t>
      </w:r>
    </w:p>
    <w:p w14:paraId="32C3AFBD" w14:textId="77777777" w:rsidR="00930045" w:rsidRPr="00930045" w:rsidRDefault="00930045" w:rsidP="00930045">
      <w:pPr>
        <w:spacing w:after="0" w:line="259" w:lineRule="auto"/>
        <w:jc w:val="both"/>
        <w:rPr>
          <w:rFonts w:ascii="Arial" w:hAnsi="Arial" w:cs="Arial"/>
        </w:rPr>
      </w:pPr>
    </w:p>
    <w:p w14:paraId="00C9544F" w14:textId="21A5558F" w:rsidR="00930045" w:rsidRPr="00930045" w:rsidRDefault="00930045" w:rsidP="00930045">
      <w:pPr>
        <w:pStyle w:val="ListParagraph"/>
        <w:numPr>
          <w:ilvl w:val="0"/>
          <w:numId w:val="2"/>
        </w:numPr>
        <w:spacing w:after="0" w:line="259" w:lineRule="auto"/>
        <w:ind w:left="0" w:firstLine="283"/>
        <w:jc w:val="both"/>
        <w:rPr>
          <w:rFonts w:ascii="Arial" w:hAnsi="Arial" w:cs="Arial"/>
        </w:rPr>
      </w:pPr>
      <w:r w:rsidRPr="00930045">
        <w:rPr>
          <w:rFonts w:ascii="Arial" w:hAnsi="Arial" w:cs="Arial"/>
        </w:rPr>
        <w:t xml:space="preserve">Expressions of interest must be delivered in a written form to the address below (in person, by courier such as DHL, or by e-mail) by </w:t>
      </w:r>
      <w:r w:rsidR="00020F20">
        <w:rPr>
          <w:rFonts w:ascii="Arial" w:hAnsi="Arial" w:cs="Arial"/>
        </w:rPr>
        <w:t>4</w:t>
      </w:r>
      <w:r w:rsidR="00020F20" w:rsidRPr="00020F20">
        <w:rPr>
          <w:rFonts w:ascii="Arial" w:hAnsi="Arial" w:cs="Arial"/>
          <w:vertAlign w:val="superscript"/>
        </w:rPr>
        <w:t>th</w:t>
      </w:r>
      <w:r w:rsidR="00020F20">
        <w:rPr>
          <w:rFonts w:ascii="Arial" w:hAnsi="Arial" w:cs="Arial"/>
        </w:rPr>
        <w:t xml:space="preserve"> of July, 2025</w:t>
      </w:r>
      <w:r w:rsidRPr="00930045">
        <w:rPr>
          <w:rFonts w:ascii="Arial" w:hAnsi="Arial" w:cs="Arial"/>
        </w:rPr>
        <w:t>.</w:t>
      </w:r>
    </w:p>
    <w:p w14:paraId="4A8828E9" w14:textId="77777777" w:rsidR="00566FAB" w:rsidRPr="00E62C96" w:rsidRDefault="00566FAB" w:rsidP="00234B32">
      <w:pPr>
        <w:suppressAutoHyphens/>
        <w:spacing w:after="0" w:line="240" w:lineRule="auto"/>
        <w:jc w:val="both"/>
        <w:rPr>
          <w:rFonts w:ascii="Arial" w:eastAsia="Calibri" w:hAnsi="Arial" w:cs="Arial"/>
          <w:spacing w:val="-2"/>
        </w:rPr>
      </w:pPr>
    </w:p>
    <w:p w14:paraId="208967CC" w14:textId="77777777" w:rsidR="00E62C96" w:rsidRPr="00E62C96" w:rsidRDefault="00E62C96" w:rsidP="00E62C96">
      <w:pPr>
        <w:spacing w:after="120" w:line="240" w:lineRule="auto"/>
        <w:rPr>
          <w:rFonts w:ascii="Arial" w:eastAsia="Calibri" w:hAnsi="Arial" w:cs="Arial"/>
          <w:b/>
          <w:bCs/>
          <w:iCs/>
          <w:spacing w:val="-2"/>
        </w:rPr>
      </w:pPr>
      <w:r w:rsidRPr="00E62C96">
        <w:rPr>
          <w:rFonts w:ascii="Arial" w:eastAsia="Calibri" w:hAnsi="Arial" w:cs="Arial"/>
          <w:b/>
          <w:bCs/>
          <w:iCs/>
          <w:spacing w:val="-2"/>
        </w:rPr>
        <w:t>State Mortgage Company</w:t>
      </w:r>
    </w:p>
    <w:p w14:paraId="525FB65B" w14:textId="3B709668" w:rsidR="00E62C96" w:rsidRPr="00EE010A" w:rsidRDefault="00E62C96" w:rsidP="00E62C96">
      <w:pPr>
        <w:spacing w:after="120" w:line="240" w:lineRule="auto"/>
        <w:rPr>
          <w:rFonts w:ascii="Arial" w:eastAsia="Calibri" w:hAnsi="Arial" w:cs="Arial"/>
          <w:iCs/>
          <w:spacing w:val="-2"/>
        </w:rPr>
      </w:pPr>
      <w:r w:rsidRPr="00E62C96">
        <w:rPr>
          <w:rFonts w:ascii="Arial" w:eastAsia="Calibri" w:hAnsi="Arial" w:cs="Arial"/>
          <w:iCs/>
          <w:spacing w:val="-2"/>
        </w:rPr>
        <w:t xml:space="preserve">Attention: </w:t>
      </w:r>
      <w:r w:rsidR="001272D8">
        <w:rPr>
          <w:rFonts w:ascii="Arial" w:eastAsia="Calibri" w:hAnsi="Arial" w:cs="Arial"/>
          <w:iCs/>
          <w:spacing w:val="-2"/>
        </w:rPr>
        <w:t>Malik</w:t>
      </w:r>
      <w:r w:rsidR="00EE010A" w:rsidRPr="00020F20">
        <w:rPr>
          <w:rFonts w:ascii="Arial" w:eastAsia="Calibri" w:hAnsi="Arial" w:cs="Arial"/>
          <w:iCs/>
          <w:spacing w:val="-2"/>
        </w:rPr>
        <w:t xml:space="preserve"> </w:t>
      </w:r>
      <w:r w:rsidR="00EE010A">
        <w:rPr>
          <w:rFonts w:ascii="Arial" w:eastAsia="Calibri" w:hAnsi="Arial" w:cs="Arial"/>
          <w:iCs/>
          <w:spacing w:val="-2"/>
        </w:rPr>
        <w:t>Dz</w:t>
      </w:r>
      <w:r w:rsidR="004E7C10">
        <w:rPr>
          <w:rFonts w:ascii="Arial" w:eastAsia="Calibri" w:hAnsi="Arial" w:cs="Arial"/>
          <w:iCs/>
          <w:spacing w:val="-2"/>
        </w:rPr>
        <w:t>h</w:t>
      </w:r>
      <w:r w:rsidR="00EE010A">
        <w:rPr>
          <w:rFonts w:ascii="Arial" w:eastAsia="Calibri" w:hAnsi="Arial" w:cs="Arial"/>
          <w:iCs/>
          <w:spacing w:val="-2"/>
        </w:rPr>
        <w:t>aichibaev</w:t>
      </w:r>
    </w:p>
    <w:p w14:paraId="3CE39235" w14:textId="6FEFB77D" w:rsidR="00E62C96" w:rsidRPr="00E62C96" w:rsidRDefault="00E62C96" w:rsidP="00E62C96">
      <w:pPr>
        <w:spacing w:after="120" w:line="240" w:lineRule="auto"/>
        <w:rPr>
          <w:rFonts w:ascii="Arial" w:eastAsia="Calibri" w:hAnsi="Arial" w:cs="Arial"/>
          <w:iCs/>
          <w:spacing w:val="-2"/>
        </w:rPr>
      </w:pPr>
      <w:r w:rsidRPr="00EE010A">
        <w:rPr>
          <w:rFonts w:ascii="Arial" w:eastAsia="Calibri" w:hAnsi="Arial" w:cs="Arial"/>
          <w:iCs/>
          <w:spacing w:val="-2"/>
        </w:rPr>
        <w:t>1</w:t>
      </w:r>
      <w:r w:rsidRPr="00E62C96">
        <w:rPr>
          <w:rFonts w:ascii="Arial" w:eastAsia="Calibri" w:hAnsi="Arial" w:cs="Arial"/>
          <w:iCs/>
          <w:spacing w:val="-2"/>
        </w:rPr>
        <w:t>, Chingiz Aitmatov Street, Bishkek, 7200</w:t>
      </w:r>
      <w:r w:rsidRPr="00EE010A">
        <w:rPr>
          <w:rFonts w:ascii="Arial" w:eastAsia="Calibri" w:hAnsi="Arial" w:cs="Arial"/>
          <w:iCs/>
          <w:spacing w:val="-2"/>
        </w:rPr>
        <w:t>02</w:t>
      </w:r>
      <w:r w:rsidRPr="00E62C96">
        <w:rPr>
          <w:rFonts w:ascii="Arial" w:eastAsia="Calibri" w:hAnsi="Arial" w:cs="Arial"/>
          <w:iCs/>
          <w:spacing w:val="-2"/>
        </w:rPr>
        <w:t>, Kyrgyz Republic</w:t>
      </w:r>
    </w:p>
    <w:p w14:paraId="016CCA3C" w14:textId="3CD0489E" w:rsidR="00E62C96" w:rsidRPr="00020F20" w:rsidRDefault="00E62C96" w:rsidP="00E62C96">
      <w:pPr>
        <w:spacing w:after="120" w:line="240" w:lineRule="auto"/>
        <w:rPr>
          <w:rFonts w:ascii="Arial" w:eastAsia="Calibri" w:hAnsi="Arial" w:cs="Arial"/>
          <w:iCs/>
          <w:spacing w:val="-2"/>
        </w:rPr>
      </w:pPr>
      <w:r w:rsidRPr="00E62C96">
        <w:rPr>
          <w:rFonts w:ascii="Arial" w:eastAsia="Calibri" w:hAnsi="Arial" w:cs="Arial"/>
          <w:iCs/>
          <w:spacing w:val="-2"/>
        </w:rPr>
        <w:t xml:space="preserve">Tel: </w:t>
      </w:r>
      <w:r w:rsidRPr="00EE010A">
        <w:rPr>
          <w:rFonts w:ascii="Arial" w:eastAsia="Calibri" w:hAnsi="Arial" w:cs="Arial"/>
          <w:iCs/>
          <w:spacing w:val="-2"/>
        </w:rPr>
        <w:t>+996 </w:t>
      </w:r>
      <w:r w:rsidR="00EE010A" w:rsidRPr="00EE010A">
        <w:rPr>
          <w:rFonts w:ascii="Arial" w:eastAsia="Calibri" w:hAnsi="Arial" w:cs="Arial"/>
          <w:iCs/>
          <w:spacing w:val="-2"/>
        </w:rPr>
        <w:t xml:space="preserve"> (502)40</w:t>
      </w:r>
      <w:r w:rsidR="00EE010A" w:rsidRPr="00020F20">
        <w:rPr>
          <w:rFonts w:ascii="Arial" w:eastAsia="Calibri" w:hAnsi="Arial" w:cs="Arial"/>
          <w:iCs/>
          <w:spacing w:val="-2"/>
        </w:rPr>
        <w:t>2262</w:t>
      </w:r>
    </w:p>
    <w:p w14:paraId="4596FE25" w14:textId="35D1C17F" w:rsidR="00E62C96" w:rsidRPr="00E62C96" w:rsidRDefault="00E62C96" w:rsidP="00E62C96">
      <w:pPr>
        <w:spacing w:after="120" w:line="240" w:lineRule="auto"/>
        <w:rPr>
          <w:rFonts w:ascii="Arial" w:eastAsia="Calibri" w:hAnsi="Arial" w:cs="Arial"/>
          <w:iCs/>
          <w:spacing w:val="-2"/>
        </w:rPr>
      </w:pPr>
      <w:r w:rsidRPr="00E62C96">
        <w:rPr>
          <w:rFonts w:ascii="Arial" w:eastAsia="Calibri" w:hAnsi="Arial" w:cs="Arial"/>
          <w:iCs/>
          <w:spacing w:val="-2"/>
        </w:rPr>
        <w:t xml:space="preserve">Email: </w:t>
      </w:r>
      <w:r>
        <w:rPr>
          <w:rFonts w:ascii="Arial" w:eastAsia="Calibri" w:hAnsi="Arial" w:cs="Arial"/>
          <w:iCs/>
          <w:spacing w:val="-2"/>
        </w:rPr>
        <w:t>info@gik.kg</w:t>
      </w:r>
    </w:p>
    <w:p w14:paraId="30C6F141" w14:textId="6A9A8BC7" w:rsidR="00566FAB" w:rsidRPr="00EE010A" w:rsidRDefault="00E62C96" w:rsidP="00E62C96">
      <w:pPr>
        <w:spacing w:after="120" w:line="240" w:lineRule="auto"/>
        <w:rPr>
          <w:rFonts w:ascii="Arial" w:eastAsia="Calibri" w:hAnsi="Arial" w:cs="Arial"/>
        </w:rPr>
      </w:pPr>
      <w:r w:rsidRPr="00E62C96">
        <w:rPr>
          <w:rFonts w:ascii="Arial" w:eastAsia="Calibri" w:hAnsi="Arial" w:cs="Arial"/>
          <w:iCs/>
          <w:spacing w:val="-2"/>
        </w:rPr>
        <w:t xml:space="preserve">Website: </w:t>
      </w:r>
      <w:r>
        <w:rPr>
          <w:rFonts w:ascii="Arial" w:eastAsia="Calibri" w:hAnsi="Arial" w:cs="Arial"/>
          <w:iCs/>
          <w:spacing w:val="-2"/>
        </w:rPr>
        <w:t>www.gik.kg</w:t>
      </w:r>
    </w:p>
    <w:sectPr w:rsidR="00566FAB" w:rsidRPr="00EE010A">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00723" w14:textId="77777777" w:rsidR="00D9782E" w:rsidRDefault="00D9782E" w:rsidP="00610EC0">
      <w:pPr>
        <w:spacing w:after="0" w:line="240" w:lineRule="auto"/>
      </w:pPr>
      <w:r>
        <w:separator/>
      </w:r>
    </w:p>
  </w:endnote>
  <w:endnote w:type="continuationSeparator" w:id="0">
    <w:p w14:paraId="67A6D5F2" w14:textId="77777777" w:rsidR="00D9782E" w:rsidRDefault="00D9782E" w:rsidP="00610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1274C" w14:textId="77777777" w:rsidR="00D9782E" w:rsidRDefault="00D9782E" w:rsidP="00610EC0">
      <w:pPr>
        <w:spacing w:after="0" w:line="240" w:lineRule="auto"/>
      </w:pPr>
      <w:r>
        <w:separator/>
      </w:r>
    </w:p>
  </w:footnote>
  <w:footnote w:type="continuationSeparator" w:id="0">
    <w:p w14:paraId="20EAE3F0" w14:textId="77777777" w:rsidR="00D9782E" w:rsidRDefault="00D9782E" w:rsidP="00610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DB835" w14:textId="09D0FAB9" w:rsidR="00610EC0" w:rsidRDefault="00610EC0">
    <w:pPr>
      <w:pStyle w:val="Header"/>
    </w:pPr>
    <w:r>
      <w:rPr>
        <w:noProof/>
      </w:rPr>
      <mc:AlternateContent>
        <mc:Choice Requires="wps">
          <w:drawing>
            <wp:anchor distT="0" distB="0" distL="0" distR="0" simplePos="0" relativeHeight="251659264" behindDoc="0" locked="0" layoutInCell="1" allowOverlap="1" wp14:anchorId="312F3278" wp14:editId="63A65145">
              <wp:simplePos x="635" y="635"/>
              <wp:positionH relativeFrom="page">
                <wp:align>left</wp:align>
              </wp:positionH>
              <wp:positionV relativeFrom="page">
                <wp:align>top</wp:align>
              </wp:positionV>
              <wp:extent cx="443865" cy="443865"/>
              <wp:effectExtent l="0" t="0" r="17780" b="12065"/>
              <wp:wrapNone/>
              <wp:docPr id="1391621138"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B81C1D" w14:textId="271B832A"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2F3278"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" filled="f" stroked="f">
              <v:textbox style="mso-fit-shape-to-text:t" inset="20pt,15pt,0,0">
                <w:txbxContent>
                  <w:p w14:paraId="79B81C1D" w14:textId="271B832A"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1DB71" w14:textId="5D8E3761" w:rsidR="00610EC0" w:rsidRDefault="00610EC0">
    <w:pPr>
      <w:pStyle w:val="Header"/>
    </w:pPr>
    <w:r>
      <w:rPr>
        <w:noProof/>
      </w:rPr>
      <mc:AlternateContent>
        <mc:Choice Requires="wps">
          <w:drawing>
            <wp:anchor distT="0" distB="0" distL="0" distR="0" simplePos="0" relativeHeight="251660288" behindDoc="0" locked="0" layoutInCell="1" allowOverlap="1" wp14:anchorId="33EF6293" wp14:editId="476D910A">
              <wp:simplePos x="914400" y="457200"/>
              <wp:positionH relativeFrom="page">
                <wp:align>left</wp:align>
              </wp:positionH>
              <wp:positionV relativeFrom="page">
                <wp:align>top</wp:align>
              </wp:positionV>
              <wp:extent cx="443865" cy="443865"/>
              <wp:effectExtent l="0" t="0" r="17780" b="12065"/>
              <wp:wrapNone/>
              <wp:docPr id="1676870312"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B87E29" w14:textId="0FCCAEA2"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3EF6293" id="_x0000_t202" coordsize="21600,21600" o:spt="202" path="m,l,21600r21600,l21600,xe">
              <v:stroke joinstyle="miter"/>
              <v:path gradientshapeok="t" o:connecttype="rect"/>
            </v:shapetype>
            <v:shape id="Text Box 3" o:spid="_x0000_s1027"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" filled="f" stroked="f">
              <v:textbox style="mso-fit-shape-to-text:t" inset="20pt,15pt,0,0">
                <w:txbxContent>
                  <w:p w14:paraId="1BB87E29" w14:textId="0FCCAEA2"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05B8D" w14:textId="2B2ED044" w:rsidR="00610EC0" w:rsidRDefault="00610EC0">
    <w:pPr>
      <w:pStyle w:val="Header"/>
    </w:pPr>
    <w:r>
      <w:rPr>
        <w:noProof/>
      </w:rPr>
      <mc:AlternateContent>
        <mc:Choice Requires="wps">
          <w:drawing>
            <wp:anchor distT="0" distB="0" distL="0" distR="0" simplePos="0" relativeHeight="251658240" behindDoc="0" locked="0" layoutInCell="1" allowOverlap="1" wp14:anchorId="3DF897EC" wp14:editId="00E713BD">
              <wp:simplePos x="635" y="635"/>
              <wp:positionH relativeFrom="page">
                <wp:align>left</wp:align>
              </wp:positionH>
              <wp:positionV relativeFrom="page">
                <wp:align>top</wp:align>
              </wp:positionV>
              <wp:extent cx="443865" cy="443865"/>
              <wp:effectExtent l="0" t="0" r="17780" b="12065"/>
              <wp:wrapNone/>
              <wp:docPr id="1544531679"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E6E138" w14:textId="755AF556"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F897EC" id="_x0000_t202" coordsize="21600,21600" o:spt="202" path="m,l,21600r21600,l21600,xe">
              <v:stroke joinstyle="miter"/>
              <v:path gradientshapeok="t" o:connecttype="rect"/>
            </v:shapetype>
            <v:shape id="Text Box 1" o:spid="_x0000_s1028"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" filled="f" stroked="f">
              <v:textbox style="mso-fit-shape-to-text:t" inset="20pt,15pt,0,0">
                <w:txbxContent>
                  <w:p w14:paraId="35E6E138" w14:textId="755AF556"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026F9"/>
    <w:multiLevelType w:val="hybridMultilevel"/>
    <w:tmpl w:val="AEC69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5D1786"/>
    <w:multiLevelType w:val="hybridMultilevel"/>
    <w:tmpl w:val="A8729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A477B"/>
    <w:multiLevelType w:val="hybridMultilevel"/>
    <w:tmpl w:val="047C5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D32C3"/>
    <w:multiLevelType w:val="hybridMultilevel"/>
    <w:tmpl w:val="56EAB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580AF6"/>
    <w:multiLevelType w:val="hybridMultilevel"/>
    <w:tmpl w:val="50C6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52387C"/>
    <w:multiLevelType w:val="hybridMultilevel"/>
    <w:tmpl w:val="E40C2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AB81D1A"/>
    <w:multiLevelType w:val="hybridMultilevel"/>
    <w:tmpl w:val="E40C2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7376395"/>
    <w:multiLevelType w:val="hybridMultilevel"/>
    <w:tmpl w:val="954280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4314176"/>
    <w:multiLevelType w:val="hybridMultilevel"/>
    <w:tmpl w:val="E40C2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97F62B2"/>
    <w:multiLevelType w:val="multilevel"/>
    <w:tmpl w:val="060C5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FF6A41"/>
    <w:multiLevelType w:val="hybridMultilevel"/>
    <w:tmpl w:val="E40C2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C2575A6"/>
    <w:multiLevelType w:val="hybridMultilevel"/>
    <w:tmpl w:val="5458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46364">
    <w:abstractNumId w:val="1"/>
  </w:num>
  <w:num w:numId="2" w16cid:durableId="1805149330">
    <w:abstractNumId w:val="2"/>
  </w:num>
  <w:num w:numId="3" w16cid:durableId="689988787">
    <w:abstractNumId w:val="8"/>
  </w:num>
  <w:num w:numId="4" w16cid:durableId="1925647582">
    <w:abstractNumId w:val="7"/>
  </w:num>
  <w:num w:numId="5" w16cid:durableId="1487043697">
    <w:abstractNumId w:val="11"/>
  </w:num>
  <w:num w:numId="6" w16cid:durableId="934050412">
    <w:abstractNumId w:val="6"/>
  </w:num>
  <w:num w:numId="7" w16cid:durableId="21127299">
    <w:abstractNumId w:val="10"/>
  </w:num>
  <w:num w:numId="8" w16cid:durableId="1944649957">
    <w:abstractNumId w:val="3"/>
  </w:num>
  <w:num w:numId="9" w16cid:durableId="688605603">
    <w:abstractNumId w:val="0"/>
  </w:num>
  <w:num w:numId="10" w16cid:durableId="1083918472">
    <w:abstractNumId w:val="4"/>
  </w:num>
  <w:num w:numId="11" w16cid:durableId="1321153338">
    <w:abstractNumId w:val="5"/>
  </w:num>
  <w:num w:numId="12" w16cid:durableId="659382480">
    <w:abstractNumId w:val="12"/>
  </w:num>
  <w:num w:numId="13" w16cid:durableId="6096990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4D"/>
    <w:rsid w:val="00020F20"/>
    <w:rsid w:val="0002164D"/>
    <w:rsid w:val="000C39C8"/>
    <w:rsid w:val="001272D8"/>
    <w:rsid w:val="001E39E5"/>
    <w:rsid w:val="002046FC"/>
    <w:rsid w:val="00234B32"/>
    <w:rsid w:val="00236989"/>
    <w:rsid w:val="004E7C10"/>
    <w:rsid w:val="005321F9"/>
    <w:rsid w:val="00566FAB"/>
    <w:rsid w:val="005E21C5"/>
    <w:rsid w:val="00610EC0"/>
    <w:rsid w:val="00785032"/>
    <w:rsid w:val="008E7C45"/>
    <w:rsid w:val="00930045"/>
    <w:rsid w:val="00940150"/>
    <w:rsid w:val="00961376"/>
    <w:rsid w:val="00985E15"/>
    <w:rsid w:val="00A37021"/>
    <w:rsid w:val="00AD3A53"/>
    <w:rsid w:val="00BA7A4A"/>
    <w:rsid w:val="00CB2D59"/>
    <w:rsid w:val="00D6104A"/>
    <w:rsid w:val="00D9782E"/>
    <w:rsid w:val="00E62C96"/>
    <w:rsid w:val="00EA537C"/>
    <w:rsid w:val="00EE010A"/>
    <w:rsid w:val="00F9114B"/>
    <w:rsid w:val="00F93FA4"/>
    <w:rsid w:val="00FE2D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56749"/>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A4A"/>
    <w:rPr>
      <w:rFonts w:ascii="Tahoma" w:hAnsi="Tahoma" w:cs="Tahoma"/>
      <w:sz w:val="16"/>
      <w:szCs w:val="16"/>
    </w:rPr>
  </w:style>
  <w:style w:type="character" w:customStyle="1" w:styleId="ListParagraphChar">
    <w:name w:val="List Paragraph Char"/>
    <w:aliases w:val="Citation List Char,본문(내용) Char,List Paragraph (numbered (a)) Char,Colorful List - Accent 11 Char,List_Paragraph Char,Multilevel para_II Char,ADB Normal Char,ADB paragraph numbering Char,List Paragraph1 Char,List Paragraph11 Char"/>
    <w:basedOn w:val="DefaultParagraphFont"/>
    <w:link w:val="ListParagraph"/>
    <w:uiPriority w:val="1"/>
    <w:locked/>
    <w:rsid w:val="00610EC0"/>
  </w:style>
  <w:style w:type="paragraph" w:styleId="ListParagraph">
    <w:name w:val="List Paragraph"/>
    <w:aliases w:val="Citation List,본문(내용),List Paragraph (numbered (a)),Colorful List - Accent 11,List_Paragraph,Multilevel para_II,ADB Normal,ADB paragraph numbering,List Paragraph1,List Paragraph11,ADB List Paragraph,7 List Paragraph,6 List Paragraph"/>
    <w:basedOn w:val="Normal"/>
    <w:link w:val="ListParagraphChar"/>
    <w:uiPriority w:val="34"/>
    <w:qFormat/>
    <w:rsid w:val="00610EC0"/>
    <w:pPr>
      <w:ind w:left="720"/>
      <w:contextualSpacing/>
    </w:pPr>
  </w:style>
  <w:style w:type="paragraph" w:styleId="Header">
    <w:name w:val="header"/>
    <w:basedOn w:val="Normal"/>
    <w:link w:val="HeaderChar"/>
    <w:uiPriority w:val="99"/>
    <w:unhideWhenUsed/>
    <w:rsid w:val="00610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EC0"/>
  </w:style>
  <w:style w:type="character" w:styleId="Hyperlink">
    <w:name w:val="Hyperlink"/>
    <w:basedOn w:val="DefaultParagraphFont"/>
    <w:uiPriority w:val="99"/>
    <w:unhideWhenUsed/>
    <w:rsid w:val="00E62C96"/>
    <w:rPr>
      <w:color w:val="0000FF"/>
      <w:u w:val="single"/>
    </w:rPr>
  </w:style>
  <w:style w:type="character" w:styleId="UnresolvedMention">
    <w:name w:val="Unresolved Mention"/>
    <w:basedOn w:val="DefaultParagraphFont"/>
    <w:uiPriority w:val="99"/>
    <w:semiHidden/>
    <w:unhideWhenUsed/>
    <w:rsid w:val="00930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63713">
      <w:bodyDiv w:val="1"/>
      <w:marLeft w:val="0"/>
      <w:marRight w:val="0"/>
      <w:marTop w:val="0"/>
      <w:marBottom w:val="0"/>
      <w:divBdr>
        <w:top w:val="none" w:sz="0" w:space="0" w:color="auto"/>
        <w:left w:val="none" w:sz="0" w:space="0" w:color="auto"/>
        <w:bottom w:val="none" w:sz="0" w:space="0" w:color="auto"/>
        <w:right w:val="none" w:sz="0" w:space="0" w:color="auto"/>
      </w:divBdr>
    </w:div>
    <w:div w:id="288753858">
      <w:bodyDiv w:val="1"/>
      <w:marLeft w:val="0"/>
      <w:marRight w:val="0"/>
      <w:marTop w:val="0"/>
      <w:marBottom w:val="0"/>
      <w:divBdr>
        <w:top w:val="none" w:sz="0" w:space="0" w:color="auto"/>
        <w:left w:val="none" w:sz="0" w:space="0" w:color="auto"/>
        <w:bottom w:val="none" w:sz="0" w:space="0" w:color="auto"/>
        <w:right w:val="none" w:sz="0" w:space="0" w:color="auto"/>
      </w:divBdr>
    </w:div>
    <w:div w:id="789788990">
      <w:bodyDiv w:val="1"/>
      <w:marLeft w:val="0"/>
      <w:marRight w:val="0"/>
      <w:marTop w:val="0"/>
      <w:marBottom w:val="0"/>
      <w:divBdr>
        <w:top w:val="none" w:sz="0" w:space="0" w:color="auto"/>
        <w:left w:val="none" w:sz="0" w:space="0" w:color="auto"/>
        <w:bottom w:val="none" w:sz="0" w:space="0" w:color="auto"/>
        <w:right w:val="none" w:sz="0" w:space="0" w:color="auto"/>
      </w:divBdr>
    </w:div>
    <w:div w:id="878276582">
      <w:bodyDiv w:val="1"/>
      <w:marLeft w:val="0"/>
      <w:marRight w:val="0"/>
      <w:marTop w:val="0"/>
      <w:marBottom w:val="0"/>
      <w:divBdr>
        <w:top w:val="none" w:sz="0" w:space="0" w:color="auto"/>
        <w:left w:val="none" w:sz="0" w:space="0" w:color="auto"/>
        <w:bottom w:val="none" w:sz="0" w:space="0" w:color="auto"/>
        <w:right w:val="none" w:sz="0" w:space="0" w:color="auto"/>
      </w:divBdr>
    </w:div>
    <w:div w:id="1544292468">
      <w:bodyDiv w:val="1"/>
      <w:marLeft w:val="0"/>
      <w:marRight w:val="0"/>
      <w:marTop w:val="0"/>
      <w:marBottom w:val="0"/>
      <w:divBdr>
        <w:top w:val="none" w:sz="0" w:space="0" w:color="auto"/>
        <w:left w:val="none" w:sz="0" w:space="0" w:color="auto"/>
        <w:bottom w:val="none" w:sz="0" w:space="0" w:color="auto"/>
        <w:right w:val="none" w:sz="0" w:space="0" w:color="auto"/>
      </w:divBdr>
    </w:div>
    <w:div w:id="156756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sdb.org/project-procurement/docum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Mehdi Asghari</dc:creator>
  <cp:lastModifiedBy>Tahseen Ali</cp:lastModifiedBy>
  <cp:revision>8</cp:revision>
  <cp:lastPrinted>2019-03-25T05:15:00Z</cp:lastPrinted>
  <dcterms:created xsi:type="dcterms:W3CDTF">2025-05-13T05:51:00Z</dcterms:created>
  <dcterms:modified xsi:type="dcterms:W3CDTF">2025-06-18T11:06:00Z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2677648764903bc59663c412f74dc4a8a9bc9cbc7d1abfda30d33a7fa0b08c70</vt:lpwstr>
  </property>
  <property fmtid="{D5CDD505-2E9C-101B-9397-08002B2CF9AE}" pid="3" name="ClassificationContentMarkingHeaderShapeIds">
    <vt:lpwstr>5c0faedf,52f27412,63f302a8</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2024-05-01T06:50:57Z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f4773eb7-73ee-4cb4-bb5d-63d6a953b111</vt:lpwstr>
  </property>
  <property fmtid="{D5CDD505-2E9C-101B-9397-08002B2CF9AE}" pid="12" name="MSIP_Label_9ef4adf7-25a7-4f52-a61a-df7190f1d881_ContentBits">
    <vt:lpwstr>1</vt:lpwstr>
  </property>
</Properties>
</file>