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A974" w14:textId="59EC8C87"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0D8EB3CA" w14:textId="5E868027" w:rsid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</w:t>
      </w:r>
      <w:r w:rsidR="00E632B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INTERNATIONAL F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IRM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15D45F4C" w14:textId="77777777" w:rsidR="009417FA" w:rsidRDefault="009417FA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14DE7622" w14:textId="77777777" w:rsidR="009878DA" w:rsidRPr="00566FAB" w:rsidRDefault="009878DA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tbl>
      <w:tblPr>
        <w:tblStyle w:val="TableGrid"/>
        <w:tblW w:w="928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5829"/>
      </w:tblGrid>
      <w:tr w:rsidR="00B40D1C" w14:paraId="6B593F59" w14:textId="77777777" w:rsidTr="00B40D1C">
        <w:tc>
          <w:tcPr>
            <w:tcW w:w="3452" w:type="dxa"/>
          </w:tcPr>
          <w:p w14:paraId="0F88313A" w14:textId="707BC998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bookmarkStart w:id="0" w:name="_Hlk181088340"/>
            <w:r w:rsidRPr="00B40D1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Country:</w:t>
            </w:r>
          </w:p>
        </w:tc>
        <w:tc>
          <w:tcPr>
            <w:tcW w:w="5829" w:type="dxa"/>
          </w:tcPr>
          <w:p w14:paraId="76D52E2C" w14:textId="373DFBB8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40D1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Turkmenistan</w:t>
            </w:r>
          </w:p>
        </w:tc>
      </w:tr>
      <w:tr w:rsidR="00B40D1C" w14:paraId="46D48427" w14:textId="77777777" w:rsidTr="00B40D1C">
        <w:tc>
          <w:tcPr>
            <w:tcW w:w="3452" w:type="dxa"/>
          </w:tcPr>
          <w:p w14:paraId="59E032CA" w14:textId="6C3C46C0" w:rsidR="00B40D1C" w:rsidRPr="00B40D1C" w:rsidRDefault="00B40D1C" w:rsidP="00B40D1C">
            <w:pPr>
              <w:suppressAutoHyphens/>
              <w:ind w:right="25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D1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Project: </w:t>
            </w:r>
          </w:p>
        </w:tc>
        <w:tc>
          <w:tcPr>
            <w:tcW w:w="5829" w:type="dxa"/>
          </w:tcPr>
          <w:p w14:paraId="09095A29" w14:textId="22BD0448" w:rsidR="00B40D1C" w:rsidRPr="00B40D1C" w:rsidRDefault="00F720FD" w:rsidP="00B40D1C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720FD">
              <w:rPr>
                <w:rFonts w:ascii="Times New Roman" w:hAnsi="Times New Roman"/>
                <w:b/>
                <w:bCs/>
                <w:spacing w:val="-2"/>
              </w:rPr>
              <w:t>Improving Quality of Oncology Service and Construction of Cancer Treatment Centers</w:t>
            </w:r>
          </w:p>
        </w:tc>
      </w:tr>
      <w:tr w:rsidR="00B40D1C" w14:paraId="32FD26A1" w14:textId="77777777" w:rsidTr="00B40D1C">
        <w:tc>
          <w:tcPr>
            <w:tcW w:w="3452" w:type="dxa"/>
          </w:tcPr>
          <w:p w14:paraId="61DE9AEA" w14:textId="2D8C26E4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D1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Sector:</w:t>
            </w:r>
          </w:p>
        </w:tc>
        <w:tc>
          <w:tcPr>
            <w:tcW w:w="5829" w:type="dxa"/>
          </w:tcPr>
          <w:p w14:paraId="33E9FF8A" w14:textId="6656437E" w:rsidR="00B40D1C" w:rsidRPr="00B40D1C" w:rsidRDefault="00F720FD" w:rsidP="00425D2D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720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Health</w:t>
            </w:r>
            <w:r w:rsidR="00425D2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care </w:t>
            </w:r>
          </w:p>
        </w:tc>
      </w:tr>
      <w:tr w:rsidR="00B40D1C" w14:paraId="76A26EB3" w14:textId="77777777" w:rsidTr="00B40D1C">
        <w:tc>
          <w:tcPr>
            <w:tcW w:w="3452" w:type="dxa"/>
          </w:tcPr>
          <w:p w14:paraId="34BFABA1" w14:textId="09438481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D1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Consulting Services:</w:t>
            </w:r>
          </w:p>
        </w:tc>
        <w:tc>
          <w:tcPr>
            <w:tcW w:w="5829" w:type="dxa"/>
          </w:tcPr>
          <w:p w14:paraId="382821B8" w14:textId="1E0F2809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Project Management </w:t>
            </w:r>
            <w:r w:rsidR="005A025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Supervision 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Consultant</w:t>
            </w:r>
          </w:p>
        </w:tc>
      </w:tr>
      <w:tr w:rsidR="00B40D1C" w14:paraId="3622E17A" w14:textId="77777777" w:rsidTr="00B40D1C">
        <w:tc>
          <w:tcPr>
            <w:tcW w:w="3452" w:type="dxa"/>
          </w:tcPr>
          <w:p w14:paraId="507DC795" w14:textId="67E8D7A4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D1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Mode of Financing:</w:t>
            </w:r>
          </w:p>
        </w:tc>
        <w:tc>
          <w:tcPr>
            <w:tcW w:w="5829" w:type="dxa"/>
          </w:tcPr>
          <w:p w14:paraId="045E7108" w14:textId="5FB814AE" w:rsidR="00B40D1C" w:rsidRPr="00B40D1C" w:rsidRDefault="00F720FD" w:rsidP="00676842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720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="00B847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nstal</w:t>
            </w:r>
            <w:r w:rsidR="00676842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ment Sale, Loan, Grant </w:t>
            </w:r>
          </w:p>
        </w:tc>
      </w:tr>
      <w:tr w:rsidR="00B40D1C" w14:paraId="5087AC34" w14:textId="77777777" w:rsidTr="00B40D1C">
        <w:tc>
          <w:tcPr>
            <w:tcW w:w="3452" w:type="dxa"/>
          </w:tcPr>
          <w:p w14:paraId="7330C72E" w14:textId="4A87484A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40D1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Financing No.</w:t>
            </w:r>
          </w:p>
        </w:tc>
        <w:tc>
          <w:tcPr>
            <w:tcW w:w="5829" w:type="dxa"/>
          </w:tcPr>
          <w:p w14:paraId="315622F4" w14:textId="46C5F533" w:rsidR="00B40D1C" w:rsidRPr="00B40D1C" w:rsidRDefault="00B40D1C" w:rsidP="001E39E5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40D1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TKM-101</w:t>
            </w:r>
            <w:r w:rsidR="00F720F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5</w:t>
            </w:r>
          </w:p>
        </w:tc>
      </w:tr>
      <w:bookmarkEnd w:id="0"/>
    </w:tbl>
    <w:p w14:paraId="7E6778A5" w14:textId="77777777" w:rsidR="009878DA" w:rsidRDefault="009878DA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</w:pPr>
    </w:p>
    <w:p w14:paraId="432F62B2" w14:textId="77777777" w:rsidR="00566FAB" w:rsidRPr="008E7C45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BEA198A" w14:textId="7CEBCBA8" w:rsidR="00BA7A4A" w:rsidRPr="003E4141" w:rsidRDefault="00566FAB" w:rsidP="00762387">
      <w:pPr>
        <w:pStyle w:val="ListParagraph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0946DF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Turkmenistan </w:t>
      </w:r>
      <w:r w:rsidR="001B1733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="000946DF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in the amount of US$ 1</w:t>
      </w:r>
      <w:r w:rsidR="00F720FD">
        <w:rPr>
          <w:rFonts w:ascii="Times New Roman" w:eastAsia="Calibri" w:hAnsi="Times New Roman" w:cs="Times New Roman"/>
          <w:spacing w:val="-2"/>
          <w:sz w:val="24"/>
          <w:szCs w:val="24"/>
        </w:rPr>
        <w:t>56</w:t>
      </w:r>
      <w:r w:rsidR="000946DF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F720FD">
        <w:rPr>
          <w:rFonts w:ascii="Times New Roman" w:eastAsia="Calibri" w:hAnsi="Times New Roman" w:cs="Times New Roman"/>
          <w:spacing w:val="-2"/>
          <w:sz w:val="24"/>
          <w:szCs w:val="24"/>
        </w:rPr>
        <w:t>3</w:t>
      </w:r>
      <w:r w:rsidR="000946DF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million equivalent from</w:t>
      </w:r>
      <w:r w:rsidR="000946DF" w:rsidRPr="003E4141">
        <w:rPr>
          <w:rFonts w:ascii="Times New Roman" w:hAnsi="Times New Roman"/>
          <w:spacing w:val="-2"/>
          <w:sz w:val="24"/>
        </w:rPr>
        <w:t xml:space="preserve"> the Islamic Development Bank </w:t>
      </w: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toward the cost of the</w:t>
      </w:r>
      <w:r w:rsidR="000946DF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720FD">
        <w:rPr>
          <w:rFonts w:ascii="Times New Roman" w:hAnsi="Times New Roman"/>
          <w:spacing w:val="-2"/>
        </w:rPr>
        <w:t>Improving Quality of Oncology Service and Construction of Cancer Treatment Centers</w:t>
      </w: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</w:t>
      </w:r>
      <w:r w:rsidR="000863C4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engagement of </w:t>
      </w: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consult</w:t>
      </w:r>
      <w:r w:rsidR="000863C4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ing</w:t>
      </w: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863C4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firms</w:t>
      </w: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 </w:t>
      </w:r>
    </w:p>
    <w:p w14:paraId="2EE27290" w14:textId="77777777" w:rsidR="00BA7A4A" w:rsidRPr="003E4141" w:rsidRDefault="00BA7A4A" w:rsidP="000179BB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7A46303" w14:textId="77777777" w:rsidR="00945E61" w:rsidRDefault="00566FAB" w:rsidP="00587D08">
      <w:pPr>
        <w:pStyle w:val="ListParagraph"/>
        <w:suppressAutoHyphens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DA7F5C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</w:t>
      </w:r>
      <w:r w:rsidR="00D304BF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provid</w:t>
      </w:r>
      <w:r w:rsidR="00DA7F5C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 consultancy </w:t>
      </w:r>
      <w:r w:rsidR="00AA63DB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support </w:t>
      </w:r>
      <w:r w:rsidR="00587D0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</w:t>
      </w:r>
      <w:r w:rsidR="00A311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F720FD">
        <w:rPr>
          <w:rFonts w:ascii="Times New Roman" w:hAnsi="Times New Roman"/>
          <w:spacing w:val="-2"/>
        </w:rPr>
        <w:t>Ministry of Health and Medical Industry of Turkmenistan</w:t>
      </w:r>
      <w:r w:rsidR="00A311A0">
        <w:rPr>
          <w:rFonts w:ascii="Times New Roman" w:hAnsi="Times New Roman"/>
          <w:spacing w:val="-2"/>
        </w:rPr>
        <w:t xml:space="preserve"> </w:t>
      </w:r>
      <w:r w:rsidR="00D62EFD">
        <w:rPr>
          <w:rFonts w:ascii="Times New Roman" w:hAnsi="Times New Roman"/>
          <w:spacing w:val="-2"/>
        </w:rPr>
        <w:t>(E</w:t>
      </w:r>
      <w:r w:rsidR="008C2517">
        <w:rPr>
          <w:rFonts w:ascii="Times New Roman" w:hAnsi="Times New Roman"/>
          <w:spacing w:val="-2"/>
        </w:rPr>
        <w:t xml:space="preserve">xecuting </w:t>
      </w:r>
      <w:r w:rsidR="00D62EFD">
        <w:rPr>
          <w:rFonts w:ascii="Times New Roman" w:hAnsi="Times New Roman"/>
          <w:spacing w:val="-2"/>
        </w:rPr>
        <w:t>A</w:t>
      </w:r>
      <w:r w:rsidR="008C2517">
        <w:rPr>
          <w:rFonts w:ascii="Times New Roman" w:hAnsi="Times New Roman"/>
          <w:spacing w:val="-2"/>
        </w:rPr>
        <w:t>gency</w:t>
      </w:r>
      <w:r w:rsidR="00D62EFD">
        <w:rPr>
          <w:rFonts w:ascii="Times New Roman" w:hAnsi="Times New Roman"/>
          <w:spacing w:val="-2"/>
        </w:rPr>
        <w:t>)</w:t>
      </w:r>
      <w:r w:rsidR="001B1733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87D08" w:rsidRPr="00587D0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manage the project, </w:t>
      </w:r>
      <w:r w:rsidR="00587D08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="00587D08" w:rsidRPr="00587D08">
        <w:rPr>
          <w:rFonts w:ascii="Times New Roman" w:eastAsia="Calibri" w:hAnsi="Times New Roman" w:cs="Times New Roman"/>
          <w:spacing w:val="-2"/>
          <w:sz w:val="24"/>
          <w:szCs w:val="24"/>
        </w:rPr>
        <w:t>reparation and finalization of detailed engineering design and specifications</w:t>
      </w:r>
      <w:r w:rsidR="00587D08">
        <w:rPr>
          <w:rFonts w:ascii="Times New Roman" w:eastAsia="Calibri" w:hAnsi="Times New Roman" w:cs="Times New Roman"/>
          <w:spacing w:val="-2"/>
          <w:sz w:val="24"/>
          <w:szCs w:val="24"/>
        </w:rPr>
        <w:t>, p</w:t>
      </w:r>
      <w:r w:rsidR="00587D08" w:rsidRPr="00587D0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reparation of bidding documents and reports for selection of Contractors, </w:t>
      </w:r>
      <w:r w:rsidR="00587D08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587D08" w:rsidRPr="00587D08">
        <w:rPr>
          <w:rFonts w:ascii="Times New Roman" w:eastAsia="Calibri" w:hAnsi="Times New Roman" w:cs="Times New Roman"/>
          <w:spacing w:val="-2"/>
          <w:sz w:val="24"/>
          <w:szCs w:val="24"/>
        </w:rPr>
        <w:t>upervision activities during the construction phase,</w:t>
      </w:r>
      <w:r w:rsidR="00587D0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</w:t>
      </w:r>
      <w:r w:rsidR="00587D08" w:rsidRPr="00587D08">
        <w:rPr>
          <w:rFonts w:ascii="Times New Roman" w:eastAsia="Calibri" w:hAnsi="Times New Roman" w:cs="Times New Roman"/>
          <w:spacing w:val="-2"/>
          <w:sz w:val="24"/>
          <w:szCs w:val="24"/>
        </w:rPr>
        <w:t>reparation of p</w:t>
      </w:r>
      <w:r w:rsidR="00587D0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eriodic progress reports and </w:t>
      </w:r>
      <w:r w:rsidR="0023681B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="00587D08" w:rsidRPr="00587D08">
        <w:rPr>
          <w:rFonts w:ascii="Times New Roman" w:eastAsia="Calibri" w:hAnsi="Times New Roman" w:cs="Times New Roman"/>
          <w:spacing w:val="-2"/>
          <w:sz w:val="24"/>
          <w:szCs w:val="24"/>
        </w:rPr>
        <w:t>onitoring and evaluation of the outputs, outcomes, and impact indicators.</w:t>
      </w:r>
      <w:r w:rsidR="00587D0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774A4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Project implementation will be divided into two phases i.e. preparation and procurement and supervision of the </w:t>
      </w:r>
      <w:r w:rsidR="00F720FD">
        <w:rPr>
          <w:rFonts w:ascii="Times New Roman" w:eastAsia="Calibri" w:hAnsi="Times New Roman" w:cs="Times New Roman"/>
          <w:spacing w:val="-2"/>
          <w:sz w:val="24"/>
          <w:szCs w:val="24"/>
        </w:rPr>
        <w:t>Hospital construction</w:t>
      </w:r>
      <w:r w:rsidR="00C774A4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works</w:t>
      </w:r>
      <w:r w:rsidR="00BC3A9A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expected start of assignment </w:t>
      </w:r>
      <w:r w:rsidR="00FF0FE7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third</w:t>
      </w:r>
      <w:r w:rsidR="00BC3A9A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quarter of 202</w:t>
      </w:r>
      <w:r w:rsidR="00F720FD">
        <w:rPr>
          <w:rFonts w:ascii="Times New Roman" w:eastAsia="Calibri" w:hAnsi="Times New Roman" w:cs="Times New Roman"/>
          <w:spacing w:val="-2"/>
          <w:sz w:val="24"/>
          <w:szCs w:val="24"/>
        </w:rPr>
        <w:t>5</w:t>
      </w:r>
      <w:r w:rsidR="00BC3A9A"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  <w:r w:rsidR="00D91BB7" w:rsidRPr="001A1256">
        <w:rPr>
          <w:rFonts w:ascii="Times New Roman" w:eastAsia="Calibri" w:hAnsi="Times New Roman" w:cs="Times New Roman"/>
          <w:spacing w:val="-2"/>
          <w:sz w:val="24"/>
          <w:szCs w:val="24"/>
        </w:rPr>
        <w:t>The first procurement phase will be eighteen (18) months and the second supervision phase will be thirty-six (36) months, including twelve (12) months of guarantee period.</w:t>
      </w:r>
    </w:p>
    <w:p w14:paraId="4F2B21D9" w14:textId="76B923EE" w:rsidR="00DA7F5C" w:rsidRPr="003E4141" w:rsidRDefault="00036CB9" w:rsidP="00587D08">
      <w:pPr>
        <w:pStyle w:val="ListParagraph"/>
        <w:suppressAutoHyphens/>
        <w:jc w:val="both"/>
      </w:pPr>
      <w:r w:rsidRPr="00F720FD">
        <w:rPr>
          <w:rFonts w:ascii="Times New Roman" w:eastAsia="Calibri" w:hAnsi="Times New Roman" w:cs="Times New Roman"/>
          <w:i/>
          <w:iCs/>
          <w:color w:val="FF0000"/>
          <w:spacing w:val="-2"/>
          <w:sz w:val="24"/>
          <w:szCs w:val="24"/>
        </w:rPr>
        <w:t xml:space="preserve"> </w:t>
      </w:r>
      <w:r w:rsidR="00D91BB7" w:rsidRPr="00F720FD">
        <w:rPr>
          <w:rFonts w:ascii="Times New Roman" w:eastAsia="Calibri" w:hAnsi="Times New Roman" w:cs="Times New Roman"/>
          <w:i/>
          <w:iCs/>
          <w:color w:val="FF0000"/>
          <w:spacing w:val="-2"/>
          <w:sz w:val="24"/>
          <w:szCs w:val="24"/>
        </w:rPr>
        <w:t xml:space="preserve">  </w:t>
      </w:r>
      <w:r w:rsidR="00C774A4" w:rsidRPr="00F720FD">
        <w:rPr>
          <w:rFonts w:ascii="Times New Roman" w:eastAsia="Calibri" w:hAnsi="Times New Roman" w:cs="Times New Roman"/>
          <w:i/>
          <w:iCs/>
          <w:color w:val="FF0000"/>
          <w:spacing w:val="-2"/>
          <w:sz w:val="24"/>
          <w:szCs w:val="24"/>
        </w:rPr>
        <w:t xml:space="preserve"> </w:t>
      </w:r>
    </w:p>
    <w:p w14:paraId="27A90755" w14:textId="52B76E31" w:rsidR="001B1733" w:rsidRPr="003E4141" w:rsidRDefault="00370EC2" w:rsidP="00370E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The detailed Terms of Referenc</w:t>
      </w:r>
      <w:r w:rsidR="00111A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 (TORs) for the assignment are </w:t>
      </w:r>
      <w:r w:rsidRPr="003E4141">
        <w:rPr>
          <w:rFonts w:ascii="Times New Roman" w:eastAsia="Calibri" w:hAnsi="Times New Roman" w:cs="Times New Roman"/>
          <w:spacing w:val="-2"/>
          <w:sz w:val="24"/>
          <w:szCs w:val="24"/>
        </w:rPr>
        <w:t>attached to this request for expressions of interest.</w:t>
      </w:r>
    </w:p>
    <w:p w14:paraId="1A8B20D2" w14:textId="77777777" w:rsidR="001B1733" w:rsidRPr="001B1733" w:rsidRDefault="001B1733" w:rsidP="001B1733">
      <w:pPr>
        <w:pStyle w:val="ListParagrap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9E73E7D" w14:textId="509497E4" w:rsidR="00BA7A4A" w:rsidRDefault="008C2517" w:rsidP="007623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F720FD">
        <w:rPr>
          <w:rFonts w:ascii="Times New Roman" w:hAnsi="Times New Roman"/>
          <w:spacing w:val="-2"/>
        </w:rPr>
        <w:t>Ministry of Health and Medical Industry of Turkmenistan</w:t>
      </w:r>
      <w:r w:rsidR="00896C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</w:t>
      </w:r>
      <w:r w:rsidR="00F720FD">
        <w:rPr>
          <w:rFonts w:ascii="Times New Roman" w:eastAsia="Calibri" w:hAnsi="Times New Roman" w:cs="Times New Roman"/>
          <w:spacing w:val="-2"/>
          <w:sz w:val="24"/>
          <w:szCs w:val="24"/>
        </w:rPr>
        <w:t>MoH</w:t>
      </w:r>
      <w:r w:rsidR="00896CE0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="00BB32A2" w:rsidRPr="00762387">
        <w:rPr>
          <w:lang w:val="en-GB"/>
        </w:rPr>
        <w:t xml:space="preserve"> </w:t>
      </w:r>
      <w:r w:rsidR="00566FAB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now invites eligible </w:t>
      </w:r>
      <w:r w:rsidR="00BA7A4A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>consulting firms (“Consultants”)</w:t>
      </w:r>
      <w:r w:rsidR="00916F5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566FAB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="00566FAB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</w:t>
      </w:r>
      <w:r w:rsidR="0071654D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="006830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ospital design, </w:t>
      </w:r>
      <w:r w:rsidR="0071654D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6830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echnical specification of medical </w:t>
      </w:r>
      <w:r w:rsidR="00A9689E">
        <w:rPr>
          <w:rFonts w:ascii="Times New Roman" w:eastAsia="Calibri" w:hAnsi="Times New Roman" w:cs="Times New Roman"/>
          <w:spacing w:val="-2"/>
          <w:sz w:val="24"/>
          <w:szCs w:val="24"/>
        </w:rPr>
        <w:t>equipment</w:t>
      </w:r>
      <w:r w:rsidR="006830C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 w:rsidR="00566FAB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brochures, description of similar assignments, experience in similar conditions, availability of appropriate skills among staff, etc.). </w:t>
      </w:r>
    </w:p>
    <w:p w14:paraId="3114CFEA" w14:textId="77777777" w:rsidR="003079DD" w:rsidRPr="003079DD" w:rsidRDefault="003079DD" w:rsidP="003079DD">
      <w:pPr>
        <w:pStyle w:val="ListParagrap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EE4D7E9" w14:textId="42D6D207" w:rsidR="00C21F39" w:rsidRPr="006D73AC" w:rsidRDefault="003079DD" w:rsidP="008073FA">
      <w:pPr>
        <w:pStyle w:val="ListParagraph"/>
        <w:numPr>
          <w:ilvl w:val="0"/>
          <w:numId w:val="2"/>
        </w:numPr>
        <w:spacing w:after="0"/>
        <w:jc w:val="both"/>
        <w:rPr>
          <w:rStyle w:val="FontStyle37"/>
          <w:rFonts w:eastAsia="Calibri"/>
          <w:spacing w:val="-2"/>
          <w:sz w:val="24"/>
          <w:szCs w:val="24"/>
        </w:rPr>
      </w:pPr>
      <w:r w:rsidRPr="00762387">
        <w:rPr>
          <w:rFonts w:ascii="Times New Roman" w:hAnsi="Times New Roman"/>
          <w:spacing w:val="-2"/>
          <w:sz w:val="24"/>
        </w:rPr>
        <w:t xml:space="preserve">The shortlisting criteria are to </w:t>
      </w:r>
      <w:r w:rsidRPr="00762387">
        <w:rPr>
          <w:rStyle w:val="FontStyle37"/>
          <w:sz w:val="24"/>
          <w:szCs w:val="24"/>
        </w:rPr>
        <w:t xml:space="preserve">have an extensive experience in similar type </w:t>
      </w:r>
      <w:r>
        <w:rPr>
          <w:rStyle w:val="FontStyle37"/>
          <w:sz w:val="24"/>
          <w:szCs w:val="24"/>
        </w:rPr>
        <w:t xml:space="preserve">of projects </w:t>
      </w:r>
      <w:r w:rsidRPr="00762387">
        <w:rPr>
          <w:rStyle w:val="FontStyle37"/>
          <w:sz w:val="24"/>
          <w:szCs w:val="24"/>
        </w:rPr>
        <w:t>and size of the projects financed by the</w:t>
      </w:r>
      <w:r>
        <w:rPr>
          <w:rStyle w:val="FontStyle37"/>
          <w:sz w:val="24"/>
          <w:szCs w:val="24"/>
        </w:rPr>
        <w:t xml:space="preserve"> Turkmenistan Government,</w:t>
      </w:r>
      <w:r w:rsidRPr="00762387">
        <w:rPr>
          <w:rStyle w:val="FontStyle37"/>
          <w:sz w:val="24"/>
          <w:szCs w:val="24"/>
        </w:rPr>
        <w:t xml:space="preserve"> IsDB or other IFIs</w:t>
      </w:r>
      <w:r>
        <w:rPr>
          <w:rStyle w:val="FontStyle37"/>
          <w:sz w:val="24"/>
          <w:szCs w:val="24"/>
          <w:lang w:val="tk-TM"/>
        </w:rPr>
        <w:t xml:space="preserve"> (I</w:t>
      </w:r>
      <w:r w:rsidRPr="001654A9">
        <w:rPr>
          <w:rStyle w:val="FontStyle37"/>
          <w:sz w:val="24"/>
          <w:szCs w:val="24"/>
          <w:lang w:val="tk-TM"/>
        </w:rPr>
        <w:t xml:space="preserve">nternational </w:t>
      </w:r>
      <w:r>
        <w:rPr>
          <w:rStyle w:val="FontStyle37"/>
          <w:sz w:val="24"/>
          <w:szCs w:val="24"/>
          <w:lang w:val="tk-TM"/>
        </w:rPr>
        <w:t>F</w:t>
      </w:r>
      <w:r w:rsidRPr="001654A9">
        <w:rPr>
          <w:rStyle w:val="FontStyle37"/>
          <w:sz w:val="24"/>
          <w:szCs w:val="24"/>
          <w:lang w:val="tk-TM"/>
        </w:rPr>
        <w:t xml:space="preserve">inancial </w:t>
      </w:r>
      <w:r>
        <w:rPr>
          <w:rStyle w:val="FontStyle37"/>
          <w:sz w:val="24"/>
          <w:szCs w:val="24"/>
          <w:lang w:val="tk-TM"/>
        </w:rPr>
        <w:t>I</w:t>
      </w:r>
      <w:r w:rsidRPr="001654A9">
        <w:rPr>
          <w:rStyle w:val="FontStyle37"/>
          <w:sz w:val="24"/>
          <w:szCs w:val="24"/>
          <w:lang w:val="tk-TM"/>
        </w:rPr>
        <w:t>nstitution</w:t>
      </w:r>
      <w:r>
        <w:rPr>
          <w:rStyle w:val="FontStyle37"/>
          <w:sz w:val="24"/>
          <w:szCs w:val="24"/>
          <w:lang w:val="tk-TM"/>
        </w:rPr>
        <w:t>)</w:t>
      </w:r>
      <w:r w:rsidRPr="00762387">
        <w:rPr>
          <w:rStyle w:val="FontStyle37"/>
          <w:sz w:val="24"/>
          <w:szCs w:val="24"/>
        </w:rPr>
        <w:t>, with proven knowledge of any MDB</w:t>
      </w:r>
      <w:r>
        <w:rPr>
          <w:rStyle w:val="FontStyle37"/>
          <w:sz w:val="24"/>
          <w:szCs w:val="24"/>
        </w:rPr>
        <w:t xml:space="preserve"> (</w:t>
      </w:r>
      <w:r w:rsidRPr="00916F5D">
        <w:rPr>
          <w:rStyle w:val="FontStyle37"/>
          <w:sz w:val="24"/>
          <w:szCs w:val="24"/>
        </w:rPr>
        <w:t>Multi‐Lateral Development Bank</w:t>
      </w:r>
      <w:r>
        <w:rPr>
          <w:rStyle w:val="FontStyle37"/>
          <w:sz w:val="24"/>
          <w:szCs w:val="24"/>
        </w:rPr>
        <w:t>)</w:t>
      </w:r>
      <w:r w:rsidRPr="00762387">
        <w:rPr>
          <w:rStyle w:val="FontStyle37"/>
          <w:sz w:val="24"/>
          <w:szCs w:val="24"/>
        </w:rPr>
        <w:t xml:space="preserve"> procurement process preferably IsDB conditions of contract and </w:t>
      </w:r>
      <w:r w:rsidRPr="00762387">
        <w:rPr>
          <w:rStyle w:val="FontStyle37"/>
          <w:sz w:val="24"/>
          <w:szCs w:val="24"/>
        </w:rPr>
        <w:lastRenderedPageBreak/>
        <w:t>procurement. In addition, the consulting firm should be</w:t>
      </w:r>
      <w:r w:rsidR="002B1CEB">
        <w:rPr>
          <w:rStyle w:val="FontStyle37"/>
          <w:sz w:val="24"/>
          <w:szCs w:val="24"/>
        </w:rPr>
        <w:t xml:space="preserve"> </w:t>
      </w:r>
      <w:r w:rsidR="002B1CEB" w:rsidRPr="002B1CEB">
        <w:rPr>
          <w:rStyle w:val="FontStyle37"/>
          <w:sz w:val="24"/>
          <w:szCs w:val="24"/>
        </w:rPr>
        <w:t>licensed for medical activity and had experience in Turkmenistan</w:t>
      </w:r>
      <w:r w:rsidR="002B1CEB">
        <w:rPr>
          <w:rStyle w:val="FontStyle37"/>
          <w:sz w:val="24"/>
          <w:szCs w:val="24"/>
        </w:rPr>
        <w:t>, be</w:t>
      </w:r>
      <w:r w:rsidRPr="00762387">
        <w:rPr>
          <w:rStyle w:val="FontStyle37"/>
          <w:sz w:val="24"/>
          <w:szCs w:val="24"/>
        </w:rPr>
        <w:t xml:space="preserve"> aware of local legislation in the field of design and construction. </w:t>
      </w:r>
      <w:r w:rsidR="006D73AC">
        <w:rPr>
          <w:rStyle w:val="FontStyle37"/>
          <w:sz w:val="24"/>
          <w:szCs w:val="24"/>
        </w:rPr>
        <w:t>Following criteria will be considered for shortlisting</w:t>
      </w:r>
    </w:p>
    <w:p w14:paraId="13977711" w14:textId="77777777" w:rsidR="006D73AC" w:rsidRPr="006D73AC" w:rsidRDefault="006D73AC" w:rsidP="006D73AC">
      <w:pPr>
        <w:pStyle w:val="ListParagraph"/>
        <w:rPr>
          <w:rStyle w:val="FontStyle37"/>
          <w:rFonts w:eastAsia="Calibri"/>
          <w:spacing w:val="-2"/>
          <w:sz w:val="24"/>
          <w:szCs w:val="24"/>
        </w:rPr>
      </w:pPr>
    </w:p>
    <w:p w14:paraId="5B600A03" w14:textId="77777777" w:rsidR="006D73AC" w:rsidRPr="006D73AC" w:rsidRDefault="006D73AC" w:rsidP="006D73AC">
      <w:pPr>
        <w:pStyle w:val="ListParagraph"/>
        <w:numPr>
          <w:ilvl w:val="0"/>
          <w:numId w:val="4"/>
        </w:numPr>
        <w:spacing w:after="0"/>
        <w:jc w:val="both"/>
        <w:rPr>
          <w:rStyle w:val="FontStyle37"/>
          <w:rFonts w:eastAsia="Calibri"/>
          <w:spacing w:val="-2"/>
          <w:sz w:val="24"/>
          <w:szCs w:val="24"/>
        </w:rPr>
      </w:pPr>
      <w:r w:rsidRPr="006D73AC">
        <w:rPr>
          <w:rStyle w:val="FontStyle37"/>
          <w:rFonts w:eastAsia="Calibri"/>
          <w:spacing w:val="-2"/>
          <w:sz w:val="24"/>
          <w:szCs w:val="24"/>
        </w:rPr>
        <w:t>Number of similar assignments in past 10 years</w:t>
      </w:r>
    </w:p>
    <w:p w14:paraId="0E6CFCF2" w14:textId="0D74ABCB" w:rsidR="006D73AC" w:rsidRPr="006D73AC" w:rsidRDefault="006D73AC" w:rsidP="006D73AC">
      <w:pPr>
        <w:pStyle w:val="ListParagraph"/>
        <w:numPr>
          <w:ilvl w:val="0"/>
          <w:numId w:val="4"/>
        </w:numPr>
        <w:spacing w:after="0"/>
        <w:jc w:val="both"/>
        <w:rPr>
          <w:rStyle w:val="FontStyle37"/>
          <w:rFonts w:eastAsia="Calibri"/>
          <w:spacing w:val="-2"/>
          <w:sz w:val="24"/>
          <w:szCs w:val="24"/>
        </w:rPr>
      </w:pPr>
      <w:r w:rsidRPr="006D73AC">
        <w:rPr>
          <w:rStyle w:val="FontStyle37"/>
          <w:rFonts w:eastAsia="Calibri"/>
          <w:spacing w:val="-2"/>
          <w:sz w:val="24"/>
          <w:szCs w:val="24"/>
        </w:rPr>
        <w:t>Value thresholds for similar projects</w:t>
      </w:r>
    </w:p>
    <w:p w14:paraId="063079F4" w14:textId="6F2FF1A1" w:rsidR="006D73AC" w:rsidRPr="006D73AC" w:rsidRDefault="006D73AC" w:rsidP="006D73AC">
      <w:pPr>
        <w:pStyle w:val="ListParagraph"/>
        <w:numPr>
          <w:ilvl w:val="0"/>
          <w:numId w:val="4"/>
        </w:numPr>
        <w:spacing w:after="0"/>
        <w:jc w:val="both"/>
        <w:rPr>
          <w:rStyle w:val="FontStyle37"/>
          <w:rFonts w:eastAsia="Calibri"/>
          <w:spacing w:val="-2"/>
          <w:sz w:val="24"/>
          <w:szCs w:val="24"/>
        </w:rPr>
      </w:pPr>
      <w:r w:rsidRPr="006D73AC">
        <w:rPr>
          <w:rStyle w:val="FontStyle37"/>
          <w:rFonts w:eastAsia="Calibri"/>
          <w:spacing w:val="-2"/>
          <w:sz w:val="24"/>
          <w:szCs w:val="24"/>
        </w:rPr>
        <w:t>Geographical experience in Central Asia or under similar legal/regulatory conditions</w:t>
      </w:r>
    </w:p>
    <w:p w14:paraId="6F93C91E" w14:textId="1D55B1AA" w:rsidR="006D73AC" w:rsidRPr="00FE621E" w:rsidRDefault="006D73AC" w:rsidP="006D73AC">
      <w:pPr>
        <w:pStyle w:val="ListParagraph"/>
        <w:numPr>
          <w:ilvl w:val="0"/>
          <w:numId w:val="4"/>
        </w:numPr>
        <w:spacing w:after="0"/>
        <w:jc w:val="both"/>
        <w:rPr>
          <w:rStyle w:val="FontStyle37"/>
          <w:rFonts w:eastAsia="Calibri"/>
          <w:spacing w:val="-2"/>
          <w:sz w:val="24"/>
          <w:szCs w:val="24"/>
        </w:rPr>
      </w:pPr>
      <w:r w:rsidRPr="006D73AC">
        <w:rPr>
          <w:rStyle w:val="FontStyle37"/>
          <w:rFonts w:eastAsia="Calibri"/>
          <w:spacing w:val="-2"/>
          <w:sz w:val="24"/>
          <w:szCs w:val="24"/>
        </w:rPr>
        <w:t>Knowledge of IsDB-specific guidelines</w:t>
      </w:r>
    </w:p>
    <w:p w14:paraId="5C3C02C7" w14:textId="77777777" w:rsidR="00C21F39" w:rsidRPr="00FE621E" w:rsidRDefault="00C21F39" w:rsidP="00FE621E">
      <w:pPr>
        <w:pStyle w:val="ListParagraph"/>
        <w:rPr>
          <w:rFonts w:ascii="Times New Roman" w:hAnsi="Times New Roman"/>
          <w:spacing w:val="-2"/>
          <w:sz w:val="24"/>
        </w:rPr>
      </w:pPr>
    </w:p>
    <w:p w14:paraId="6D56AC17" w14:textId="02E38EAB" w:rsidR="003079DD" w:rsidRPr="00762387" w:rsidRDefault="003079DD" w:rsidP="008073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62387">
        <w:rPr>
          <w:rFonts w:ascii="Times New Roman" w:hAnsi="Times New Roman"/>
          <w:spacing w:val="-2"/>
          <w:sz w:val="24"/>
        </w:rPr>
        <w:t>Key Experts will not be evaluated at the shortlisting stage.</w:t>
      </w:r>
    </w:p>
    <w:p w14:paraId="2673BA51" w14:textId="77777777" w:rsidR="00BA7A4A" w:rsidRPr="008E7C45" w:rsidRDefault="00BA7A4A" w:rsidP="000179BB">
      <w:pPr>
        <w:suppressAutoHyphens/>
        <w:spacing w:after="0"/>
        <w:jc w:val="both"/>
        <w:rPr>
          <w:rFonts w:ascii="Times New Roman" w:hAnsi="Times New Roman"/>
          <w:spacing w:val="-2"/>
          <w:sz w:val="24"/>
        </w:rPr>
      </w:pPr>
    </w:p>
    <w:p w14:paraId="40BF6D79" w14:textId="5FC2E53C" w:rsidR="00566FAB" w:rsidRPr="00762387" w:rsidRDefault="00BA7A4A" w:rsidP="008073FA">
      <w:pPr>
        <w:pStyle w:val="ListParagraph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pacing w:val="-2"/>
          <w:sz w:val="24"/>
        </w:rPr>
      </w:pPr>
      <w:r w:rsidRPr="00762387">
        <w:rPr>
          <w:rFonts w:ascii="Times New Roman" w:hAnsi="Times New Roman"/>
          <w:spacing w:val="-2"/>
          <w:sz w:val="24"/>
        </w:rPr>
        <w:t xml:space="preserve">The attention of interested Consultants is drawn to </w:t>
      </w:r>
      <w:r w:rsidR="00C33E6E" w:rsidRPr="00AE56D3">
        <w:rPr>
          <w:rFonts w:asciiTheme="majorBidi" w:hAnsiTheme="majorBidi" w:cstheme="majorBidi"/>
        </w:rPr>
        <w:t xml:space="preserve">1.12.1 and 1.12.2 paragraphs of the Procurement Policy of the </w:t>
      </w:r>
      <w:r w:rsidR="00C33E6E" w:rsidRPr="00AE56D3">
        <w:rPr>
          <w:rFonts w:asciiTheme="majorBidi" w:hAnsiTheme="majorBidi" w:cstheme="majorBidi"/>
          <w:i/>
          <w:iCs/>
        </w:rPr>
        <w:t>Guidelines for the Procurement of Consultancy Services under Islamic Development Bank Project Financing,</w:t>
      </w:r>
      <w:r w:rsidR="00C33E6E" w:rsidRPr="00AE56D3">
        <w:rPr>
          <w:rFonts w:asciiTheme="majorBidi" w:hAnsiTheme="majorBidi" w:cstheme="majorBidi"/>
        </w:rPr>
        <w:t xml:space="preserve"> April 2019, revised as of February 2023</w:t>
      </w:r>
      <w:r w:rsidR="00C33E6E" w:rsidRPr="00762387">
        <w:rPr>
          <w:rFonts w:ascii="Times New Roman" w:hAnsi="Times New Roman"/>
          <w:spacing w:val="-2"/>
          <w:sz w:val="24"/>
        </w:rPr>
        <w:t xml:space="preserve"> </w:t>
      </w:r>
      <w:r w:rsidR="00EA537C" w:rsidRPr="00762387">
        <w:rPr>
          <w:rFonts w:ascii="Times New Roman" w:hAnsi="Times New Roman"/>
          <w:spacing w:val="-2"/>
          <w:sz w:val="24"/>
        </w:rPr>
        <w:t>(the “Procurement Guidelines”)</w:t>
      </w:r>
      <w:r w:rsidRPr="00762387">
        <w:rPr>
          <w:rFonts w:ascii="Times New Roman" w:hAnsi="Times New Roman"/>
          <w:spacing w:val="-2"/>
          <w:sz w:val="24"/>
        </w:rPr>
        <w:t>, setting forth IsDB’s policy on conflict of interest</w:t>
      </w:r>
      <w:r w:rsidR="00E042ED" w:rsidRPr="00762387">
        <w:rPr>
          <w:rFonts w:ascii="Times New Roman" w:hAnsi="Times New Roman"/>
          <w:spacing w:val="-2"/>
          <w:sz w:val="24"/>
        </w:rPr>
        <w:t xml:space="preserve">, which is available on the Bank’s website at </w:t>
      </w:r>
      <w:hyperlink r:id="rId7" w:history="1">
        <w:r w:rsidR="00E042ED" w:rsidRPr="00762387">
          <w:rPr>
            <w:rStyle w:val="Hyperlink"/>
            <w:rFonts w:ascii="Times New Roman" w:hAnsi="Times New Roman"/>
            <w:spacing w:val="-2"/>
            <w:sz w:val="24"/>
          </w:rPr>
          <w:t>http://www.isdb.org</w:t>
        </w:r>
      </w:hyperlink>
      <w:r w:rsidR="00E042ED" w:rsidRPr="00762387">
        <w:rPr>
          <w:rFonts w:ascii="Times New Roman" w:hAnsi="Times New Roman"/>
          <w:spacing w:val="-2"/>
          <w:sz w:val="24"/>
        </w:rPr>
        <w:t xml:space="preserve"> </w:t>
      </w:r>
    </w:p>
    <w:p w14:paraId="0AD78FB4" w14:textId="77777777"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AB0B094" w14:textId="5DB2D7CD" w:rsidR="00566FAB" w:rsidRPr="00762387" w:rsidRDefault="00566FAB" w:rsidP="008073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 w:rsidRPr="00762387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762387">
        <w:rPr>
          <w:rFonts w:ascii="Times New Roman" w:hAnsi="Times New Roman"/>
          <w:sz w:val="24"/>
          <w:szCs w:val="24"/>
        </w:rPr>
        <w:t>, but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7623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72DC7B" w14:textId="77777777" w:rsidR="00566FAB" w:rsidRPr="00566FAB" w:rsidRDefault="00566FAB" w:rsidP="000179BB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8135CC" w14:textId="719D8CC6" w:rsidR="00566FAB" w:rsidRPr="00762387" w:rsidRDefault="00566FAB" w:rsidP="008073FA">
      <w:pPr>
        <w:pStyle w:val="ListParagraph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</w:t>
      </w:r>
      <w:r w:rsidR="0043587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firm </w:t>
      </w: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>will be selected in accordance with the</w:t>
      </w:r>
      <w:r w:rsidR="004A3C96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Quality-and Cost-Based Selection (Q</w:t>
      </w:r>
      <w:r w:rsidR="002B0DEF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>CBS</w:t>
      </w:r>
      <w:r w:rsidR="004A3C96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762387">
        <w:rPr>
          <w:rFonts w:ascii="Times New Roman" w:hAnsi="Times New Roman"/>
          <w:spacing w:val="-2"/>
          <w:sz w:val="24"/>
        </w:rPr>
        <w:t>method set out in the Procurement Guidelines</w:t>
      </w: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3F9A828" w14:textId="77777777" w:rsidR="00566FAB" w:rsidRPr="008E7C45" w:rsidRDefault="00566FAB" w:rsidP="000179BB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BB4C039" w14:textId="5ACFE668" w:rsidR="00566FAB" w:rsidRPr="00762387" w:rsidRDefault="00566FAB" w:rsidP="008073FA">
      <w:pPr>
        <w:pStyle w:val="ListParagraph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the address below during office </w:t>
      </w:r>
      <w:r w:rsidR="00200B63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hours </w:t>
      </w:r>
      <w:r w:rsidR="00200B63" w:rsidRPr="00762387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09:00</w:t>
      </w:r>
      <w:r w:rsidRPr="00762387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to 1</w:t>
      </w:r>
      <w:r w:rsidR="00200B63" w:rsidRPr="00762387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8</w:t>
      </w:r>
      <w:r w:rsidRPr="00762387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:00 hours</w:t>
      </w: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(local time).</w:t>
      </w:r>
    </w:p>
    <w:p w14:paraId="103F45AB" w14:textId="77777777" w:rsidR="00566FAB" w:rsidRPr="008E7C45" w:rsidRDefault="00566FAB" w:rsidP="000179BB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F8AAE03" w14:textId="11472981" w:rsidR="00DA3E62" w:rsidRPr="00DA3E62" w:rsidRDefault="00566FAB" w:rsidP="008073FA">
      <w:pPr>
        <w:pStyle w:val="ListParagraph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</w:t>
      </w:r>
      <w:r w:rsidR="00945E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English (hard copy or electronic) </w:t>
      </w: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must be delivered </w:t>
      </w:r>
      <w:r w:rsidR="00EA537C"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7623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762387">
        <w:rPr>
          <w:rFonts w:ascii="Times New Roman" w:hAnsi="Times New Roman"/>
          <w:spacing w:val="-2"/>
          <w:sz w:val="24"/>
        </w:rPr>
        <w:t xml:space="preserve">(in person, or by mail, or by e-mail) </w:t>
      </w:r>
      <w:r w:rsidR="00945E61">
        <w:rPr>
          <w:rFonts w:ascii="Times New Roman" w:hAnsi="Times New Roman"/>
          <w:spacing w:val="-2"/>
          <w:sz w:val="24"/>
        </w:rPr>
        <w:t xml:space="preserve">not later </w:t>
      </w:r>
      <w:r w:rsidR="00945E61" w:rsidRPr="00EA5833">
        <w:rPr>
          <w:rFonts w:ascii="Times New Roman" w:hAnsi="Times New Roman"/>
          <w:spacing w:val="-2"/>
          <w:sz w:val="24"/>
        </w:rPr>
        <w:t xml:space="preserve">than </w:t>
      </w:r>
      <w:r w:rsidR="00EA5833" w:rsidRPr="00EA5833">
        <w:rPr>
          <w:rFonts w:ascii="Times New Roman" w:hAnsi="Times New Roman"/>
          <w:spacing w:val="-2"/>
          <w:sz w:val="24"/>
        </w:rPr>
        <w:t>11.06</w:t>
      </w:r>
      <w:r w:rsidR="00EA5833" w:rsidRPr="001604F6">
        <w:rPr>
          <w:rFonts w:ascii="Times New Roman" w:hAnsi="Times New Roman"/>
          <w:spacing w:val="-2"/>
          <w:sz w:val="24"/>
        </w:rPr>
        <w:t>.</w:t>
      </w:r>
      <w:r w:rsidR="00945E61" w:rsidRPr="001604F6">
        <w:rPr>
          <w:rFonts w:ascii="Times New Roman" w:hAnsi="Times New Roman"/>
          <w:spacing w:val="-2"/>
          <w:sz w:val="24"/>
        </w:rPr>
        <w:t>2025.</w:t>
      </w:r>
    </w:p>
    <w:p w14:paraId="36B2DF42" w14:textId="094B1BC1" w:rsidR="008073FA" w:rsidRPr="00DA3E62" w:rsidRDefault="008073FA" w:rsidP="008F263B">
      <w:pPr>
        <w:pStyle w:val="ListParagraph"/>
        <w:ind w:left="216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B6D4E58" w14:textId="71204F2F" w:rsidR="00566FAB" w:rsidRPr="00DA3E62" w:rsidRDefault="00DA3E62" w:rsidP="00DA3E62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A3E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03C8FD6A" w14:textId="77777777" w:rsidR="006830C2" w:rsidRPr="00B96F14" w:rsidRDefault="006830C2" w:rsidP="004B06A8">
      <w:pPr>
        <w:pStyle w:val="Heading3"/>
        <w:rPr>
          <w:rFonts w:ascii="Times New Roman" w:hAnsi="Times New Roman"/>
          <w:sz w:val="24"/>
        </w:rPr>
      </w:pPr>
      <w:bookmarkStart w:id="1" w:name="_Hlk181088282"/>
      <w:r>
        <w:t>Ministry of Health and Medical Industry of Turkmenistan</w:t>
      </w:r>
    </w:p>
    <w:p w14:paraId="50AE910A" w14:textId="77777777" w:rsidR="006830C2" w:rsidRPr="00B96F14" w:rsidRDefault="006830C2" w:rsidP="004B06A8">
      <w:pPr>
        <w:pStyle w:val="Heading3"/>
      </w:pPr>
      <w:proofErr w:type="spellStart"/>
      <w:proofErr w:type="gramStart"/>
      <w:r>
        <w:t>S.Sahetmammedow</w:t>
      </w:r>
      <w:proofErr w:type="spellEnd"/>
      <w:proofErr w:type="gramEnd"/>
      <w:r>
        <w:t xml:space="preserve"> </w:t>
      </w:r>
    </w:p>
    <w:p w14:paraId="53FF1C0D" w14:textId="77777777" w:rsidR="006830C2" w:rsidRPr="00771CCE" w:rsidRDefault="006830C2" w:rsidP="004B06A8">
      <w:pPr>
        <w:pStyle w:val="Heading3"/>
      </w:pPr>
      <w:r w:rsidRPr="00771CCE">
        <w:t xml:space="preserve">20, </w:t>
      </w:r>
      <w:proofErr w:type="spellStart"/>
      <w:r w:rsidRPr="00771CCE">
        <w:t>Archabil</w:t>
      </w:r>
      <w:proofErr w:type="spellEnd"/>
      <w:r w:rsidRPr="00771CCE">
        <w:t xml:space="preserve"> Avenue, Ashgabat, 744000, Turkmenistan </w:t>
      </w:r>
    </w:p>
    <w:p w14:paraId="7CE3FC61" w14:textId="00D8FE17" w:rsidR="006830C2" w:rsidRDefault="006830C2" w:rsidP="004B06A8">
      <w:pPr>
        <w:pStyle w:val="Heading3"/>
      </w:pPr>
      <w:r w:rsidRPr="00771CCE">
        <w:t>+993 (12) 40-0</w:t>
      </w:r>
      <w:r w:rsidR="00A33F45">
        <w:t>4</w:t>
      </w:r>
      <w:r w:rsidRPr="00771CCE">
        <w:t>-7</w:t>
      </w:r>
      <w:r w:rsidR="00A33F45">
        <w:t xml:space="preserve">9 </w:t>
      </w:r>
    </w:p>
    <w:p w14:paraId="6ECC1E6F" w14:textId="1D24E308" w:rsidR="006830C2" w:rsidRPr="00B96F14" w:rsidRDefault="006830C2" w:rsidP="004B06A8">
      <w:pPr>
        <w:pStyle w:val="Heading3"/>
      </w:pPr>
      <w:hyperlink r:id="rId8" w:history="1">
        <w:r w:rsidRPr="00E446BF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pmuoncology@gmail.com</w:t>
        </w:r>
      </w:hyperlink>
      <w:r w:rsidR="00A33F45">
        <w:rPr>
          <w:rStyle w:val="Hyperlink"/>
          <w:rFonts w:ascii="Helvetica" w:hAnsi="Helvetica"/>
          <w:sz w:val="21"/>
          <w:szCs w:val="21"/>
          <w:shd w:val="clear" w:color="auto" w:fill="FFFFFF"/>
        </w:rPr>
        <w:t>,</w:t>
      </w:r>
      <w:r w:rsidR="00A33F45">
        <w:rPr>
          <w:rStyle w:val="Hyperlink"/>
          <w:rFonts w:ascii="Helvetica" w:hAnsi="Helvetica"/>
          <w:sz w:val="21"/>
          <w:szCs w:val="21"/>
          <w:u w:val="none"/>
          <w:shd w:val="clear" w:color="auto" w:fill="FFFFFF"/>
        </w:rPr>
        <w:t xml:space="preserve"> </w:t>
      </w:r>
      <w:r w:rsidR="00B1521E">
        <w:rPr>
          <w:rStyle w:val="Hyperlink"/>
          <w:rFonts w:ascii="Helvetica" w:hAnsi="Helvetica"/>
          <w:sz w:val="21"/>
          <w:szCs w:val="21"/>
          <w:u w:val="none"/>
          <w:shd w:val="clear" w:color="auto" w:fill="FFFFFF"/>
        </w:rPr>
        <w:t xml:space="preserve"> </w:t>
      </w:r>
      <w:r w:rsidR="00B1521E" w:rsidRPr="00B1521E">
        <w:rPr>
          <w:rStyle w:val="Hyperlink"/>
          <w:rFonts w:ascii="Helvetica" w:hAnsi="Helvetica"/>
          <w:sz w:val="21"/>
          <w:szCs w:val="21"/>
          <w:shd w:val="clear" w:color="auto" w:fill="FFFFFF"/>
        </w:rPr>
        <w:t>tsgmby@saglykhm.gov.tm;</w:t>
      </w:r>
      <w:r w:rsidR="00B1521E">
        <w:rPr>
          <w:rStyle w:val="Hyperlink"/>
          <w:rFonts w:ascii="Helvetica" w:hAnsi="Helvetica"/>
          <w:sz w:val="21"/>
          <w:szCs w:val="21"/>
          <w:u w:val="none"/>
          <w:shd w:val="clear" w:color="auto" w:fill="FFFFFF"/>
        </w:rPr>
        <w:t xml:space="preserve"> </w:t>
      </w:r>
      <w:r w:rsidR="00A33F45">
        <w:rPr>
          <w:rStyle w:val="Hyperlink"/>
          <w:rFonts w:ascii="Helvetica" w:hAnsi="Helvetica"/>
          <w:sz w:val="21"/>
          <w:szCs w:val="21"/>
          <w:shd w:val="clear" w:color="auto" w:fill="FFFFFF"/>
        </w:rPr>
        <w:t>bhhb2@saglykhm.gov.tm</w:t>
      </w:r>
      <w:r w:rsidRPr="00B96F14">
        <w:tab/>
      </w:r>
    </w:p>
    <w:p w14:paraId="239A32AF" w14:textId="27B870A0" w:rsidR="00000BAC" w:rsidRPr="00000BAC" w:rsidRDefault="006830C2" w:rsidP="004B06A8">
      <w:pPr>
        <w:pStyle w:val="Heading3"/>
        <w:rPr>
          <w:rFonts w:ascii="Times New Roman" w:eastAsia="Calibri" w:hAnsi="Times New Roman"/>
          <w:bCs/>
          <w:iCs/>
          <w:szCs w:val="24"/>
        </w:rPr>
      </w:pPr>
      <w:r w:rsidRPr="00771CCE">
        <w:t>https://www.saglykhm.gov.tm/en</w:t>
      </w:r>
      <w:bookmarkEnd w:id="1"/>
    </w:p>
    <w:p w14:paraId="21B0B27A" w14:textId="77777777" w:rsidR="00566FAB" w:rsidRPr="00566FAB" w:rsidRDefault="00566FAB" w:rsidP="00566FA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6FAB" w:rsidRPr="00566FAB" w:rsidSect="009417FA">
      <w:headerReference w:type="even" r:id="rId9"/>
      <w:headerReference w:type="default" r:id="rId10"/>
      <w:headerReference w:type="firs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CC500" w14:textId="77777777" w:rsidR="006E42CF" w:rsidRDefault="006E42CF" w:rsidP="00C61C01">
      <w:pPr>
        <w:spacing w:after="0" w:line="240" w:lineRule="auto"/>
      </w:pPr>
      <w:r>
        <w:separator/>
      </w:r>
    </w:p>
  </w:endnote>
  <w:endnote w:type="continuationSeparator" w:id="0">
    <w:p w14:paraId="36A2F6A0" w14:textId="77777777" w:rsidR="006E42CF" w:rsidRDefault="006E42CF" w:rsidP="00C6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24DDD" w14:textId="77777777" w:rsidR="006E42CF" w:rsidRDefault="006E42CF" w:rsidP="00C61C01">
      <w:pPr>
        <w:spacing w:after="0" w:line="240" w:lineRule="auto"/>
      </w:pPr>
      <w:r>
        <w:separator/>
      </w:r>
    </w:p>
  </w:footnote>
  <w:footnote w:type="continuationSeparator" w:id="0">
    <w:p w14:paraId="79B4EB03" w14:textId="77777777" w:rsidR="006E42CF" w:rsidRDefault="006E42CF" w:rsidP="00C6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4C6C" w14:textId="11224F45" w:rsidR="00C61C01" w:rsidRDefault="00C61C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47C136" wp14:editId="5FB3E8F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212917315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7C11F" w14:textId="16189D27" w:rsidR="00C61C01" w:rsidRPr="00C61C01" w:rsidRDefault="00C61C01" w:rsidP="00C61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1C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7C1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5ED7C11F" w14:textId="16189D27" w:rsidR="00C61C01" w:rsidRPr="00C61C01" w:rsidRDefault="00C61C01" w:rsidP="00C61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1C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F4B9" w14:textId="575971F2" w:rsidR="00C61C01" w:rsidRDefault="00C61C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752C08" wp14:editId="60C2F3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908343155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22CD0" w14:textId="127E2A9D" w:rsidR="00C61C01" w:rsidRPr="00C61C01" w:rsidRDefault="00C61C01" w:rsidP="00C61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1C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52C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74022CD0" w14:textId="127E2A9D" w:rsidR="00C61C01" w:rsidRPr="00C61C01" w:rsidRDefault="00C61C01" w:rsidP="00C61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1C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984D" w14:textId="5A724EC4" w:rsidR="00C61C01" w:rsidRDefault="00C61C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4495A2" wp14:editId="2071CB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288574624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6F067" w14:textId="4E915FEE" w:rsidR="00C61C01" w:rsidRPr="00C61C01" w:rsidRDefault="00C61C01" w:rsidP="00C61C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1C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495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1996F067" w14:textId="4E915FEE" w:rsidR="00C61C01" w:rsidRPr="00C61C01" w:rsidRDefault="00C61C01" w:rsidP="00C61C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1C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23D"/>
    <w:multiLevelType w:val="hybridMultilevel"/>
    <w:tmpl w:val="2B76C41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357D"/>
    <w:multiLevelType w:val="hybridMultilevel"/>
    <w:tmpl w:val="7F4037B4"/>
    <w:lvl w:ilvl="0" w:tplc="92961412">
      <w:start w:val="1"/>
      <w:numFmt w:val="lowerRoman"/>
      <w:lvlText w:val="(%1)"/>
      <w:lvlJc w:val="left"/>
      <w:pPr>
        <w:ind w:left="1440" w:hanging="72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97897"/>
    <w:multiLevelType w:val="hybridMultilevel"/>
    <w:tmpl w:val="D3E6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B5147"/>
    <w:multiLevelType w:val="hybridMultilevel"/>
    <w:tmpl w:val="A758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4865"/>
    <w:multiLevelType w:val="hybridMultilevel"/>
    <w:tmpl w:val="9FDC4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029828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510979">
    <w:abstractNumId w:val="1"/>
  </w:num>
  <w:num w:numId="2" w16cid:durableId="1490318446">
    <w:abstractNumId w:val="3"/>
  </w:num>
  <w:num w:numId="3" w16cid:durableId="1138761511">
    <w:abstractNumId w:val="2"/>
  </w:num>
  <w:num w:numId="4" w16cid:durableId="196817771">
    <w:abstractNumId w:val="5"/>
  </w:num>
  <w:num w:numId="5" w16cid:durableId="1862625366">
    <w:abstractNumId w:val="0"/>
  </w:num>
  <w:num w:numId="6" w16cid:durableId="103357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D"/>
    <w:rsid w:val="00000BAC"/>
    <w:rsid w:val="00000C2B"/>
    <w:rsid w:val="00014CBA"/>
    <w:rsid w:val="000179BB"/>
    <w:rsid w:val="0002164D"/>
    <w:rsid w:val="00036CB9"/>
    <w:rsid w:val="000863C4"/>
    <w:rsid w:val="000946DF"/>
    <w:rsid w:val="000E131B"/>
    <w:rsid w:val="00111AD4"/>
    <w:rsid w:val="001604F6"/>
    <w:rsid w:val="001654A9"/>
    <w:rsid w:val="00176CDF"/>
    <w:rsid w:val="001A00F3"/>
    <w:rsid w:val="001A1256"/>
    <w:rsid w:val="001B1733"/>
    <w:rsid w:val="001B7074"/>
    <w:rsid w:val="001C5F39"/>
    <w:rsid w:val="001E39E5"/>
    <w:rsid w:val="001F7F8B"/>
    <w:rsid w:val="00200B63"/>
    <w:rsid w:val="00234B32"/>
    <w:rsid w:val="0023681B"/>
    <w:rsid w:val="00236989"/>
    <w:rsid w:val="002B0DEF"/>
    <w:rsid w:val="002B1CEB"/>
    <w:rsid w:val="00302AC8"/>
    <w:rsid w:val="003079DD"/>
    <w:rsid w:val="00370EC2"/>
    <w:rsid w:val="003B06ED"/>
    <w:rsid w:val="003D4ADE"/>
    <w:rsid w:val="003E4141"/>
    <w:rsid w:val="003E6448"/>
    <w:rsid w:val="003F7278"/>
    <w:rsid w:val="00425D2D"/>
    <w:rsid w:val="004315B3"/>
    <w:rsid w:val="00435872"/>
    <w:rsid w:val="004A3663"/>
    <w:rsid w:val="004A3C96"/>
    <w:rsid w:val="004B06A8"/>
    <w:rsid w:val="00542BA8"/>
    <w:rsid w:val="00553138"/>
    <w:rsid w:val="00566FAB"/>
    <w:rsid w:val="00587D08"/>
    <w:rsid w:val="005A025B"/>
    <w:rsid w:val="005E21C5"/>
    <w:rsid w:val="005E5D07"/>
    <w:rsid w:val="005F2678"/>
    <w:rsid w:val="005F28ED"/>
    <w:rsid w:val="005F6324"/>
    <w:rsid w:val="0065404A"/>
    <w:rsid w:val="00676842"/>
    <w:rsid w:val="006830C2"/>
    <w:rsid w:val="006C6777"/>
    <w:rsid w:val="006D73AC"/>
    <w:rsid w:val="006E184F"/>
    <w:rsid w:val="006E42CF"/>
    <w:rsid w:val="0071654D"/>
    <w:rsid w:val="00762387"/>
    <w:rsid w:val="007A7144"/>
    <w:rsid w:val="007D1A17"/>
    <w:rsid w:val="007D49B9"/>
    <w:rsid w:val="008073FA"/>
    <w:rsid w:val="00896CE0"/>
    <w:rsid w:val="008C2517"/>
    <w:rsid w:val="008E7C45"/>
    <w:rsid w:val="008F263B"/>
    <w:rsid w:val="00916F5D"/>
    <w:rsid w:val="0093220C"/>
    <w:rsid w:val="00937AB5"/>
    <w:rsid w:val="009417FA"/>
    <w:rsid w:val="00945E61"/>
    <w:rsid w:val="009878DA"/>
    <w:rsid w:val="009B1991"/>
    <w:rsid w:val="009B54F8"/>
    <w:rsid w:val="009F5E48"/>
    <w:rsid w:val="00A079CC"/>
    <w:rsid w:val="00A311A0"/>
    <w:rsid w:val="00A33F45"/>
    <w:rsid w:val="00A37021"/>
    <w:rsid w:val="00A53D10"/>
    <w:rsid w:val="00A67E73"/>
    <w:rsid w:val="00A720BE"/>
    <w:rsid w:val="00A949CB"/>
    <w:rsid w:val="00A9689E"/>
    <w:rsid w:val="00AA5636"/>
    <w:rsid w:val="00AA63DB"/>
    <w:rsid w:val="00AD1B19"/>
    <w:rsid w:val="00AD35BC"/>
    <w:rsid w:val="00AD3A53"/>
    <w:rsid w:val="00B06FF0"/>
    <w:rsid w:val="00B1521E"/>
    <w:rsid w:val="00B40D1C"/>
    <w:rsid w:val="00B84766"/>
    <w:rsid w:val="00B86596"/>
    <w:rsid w:val="00BA7A4A"/>
    <w:rsid w:val="00BB32A2"/>
    <w:rsid w:val="00BC3A9A"/>
    <w:rsid w:val="00C21F39"/>
    <w:rsid w:val="00C33E6E"/>
    <w:rsid w:val="00C57C2E"/>
    <w:rsid w:val="00C61C01"/>
    <w:rsid w:val="00C7573C"/>
    <w:rsid w:val="00C774A4"/>
    <w:rsid w:val="00CC235F"/>
    <w:rsid w:val="00CD58D8"/>
    <w:rsid w:val="00D171AB"/>
    <w:rsid w:val="00D304BF"/>
    <w:rsid w:val="00D577FF"/>
    <w:rsid w:val="00D6104A"/>
    <w:rsid w:val="00D62EFD"/>
    <w:rsid w:val="00D84D82"/>
    <w:rsid w:val="00D91BB7"/>
    <w:rsid w:val="00DA3E62"/>
    <w:rsid w:val="00DA7F5C"/>
    <w:rsid w:val="00DB6F04"/>
    <w:rsid w:val="00DC44FB"/>
    <w:rsid w:val="00DD2536"/>
    <w:rsid w:val="00E042ED"/>
    <w:rsid w:val="00E17539"/>
    <w:rsid w:val="00E632B4"/>
    <w:rsid w:val="00E64A8D"/>
    <w:rsid w:val="00E65C33"/>
    <w:rsid w:val="00E70464"/>
    <w:rsid w:val="00E73904"/>
    <w:rsid w:val="00EA537C"/>
    <w:rsid w:val="00EA5833"/>
    <w:rsid w:val="00F11C11"/>
    <w:rsid w:val="00F20723"/>
    <w:rsid w:val="00F720FD"/>
    <w:rsid w:val="00FC0051"/>
    <w:rsid w:val="00FE41C8"/>
    <w:rsid w:val="00FE621E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C8"/>
  <w15:docId w15:val="{FCE51F20-8E03-47DA-A7AA-4FD3273B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00BAC"/>
    <w:pPr>
      <w:keepNext/>
      <w:keepLines/>
      <w:tabs>
        <w:tab w:val="left" w:pos="-720"/>
      </w:tabs>
      <w:suppressAutoHyphens/>
      <w:spacing w:after="0" w:line="240" w:lineRule="auto"/>
      <w:outlineLvl w:val="2"/>
    </w:pPr>
    <w:rPr>
      <w:rFonts w:ascii="CG Times" w:eastAsia="Times New Roman" w:hAnsi="CG 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A7F5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FontStyle37">
    <w:name w:val="Font Style37"/>
    <w:uiPriority w:val="99"/>
    <w:rsid w:val="00B86596"/>
    <w:rPr>
      <w:rFonts w:ascii="Times New Roman" w:hAnsi="Times New Roman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000BAC"/>
    <w:rPr>
      <w:rFonts w:ascii="CG Times" w:eastAsia="Times New Roman" w:hAnsi="CG Times" w:cs="Times New Roman"/>
      <w:b/>
      <w:szCs w:val="20"/>
    </w:rPr>
  </w:style>
  <w:style w:type="paragraph" w:styleId="BodyText">
    <w:name w:val="Body Text"/>
    <w:basedOn w:val="Normal"/>
    <w:link w:val="BodyTextChar"/>
    <w:rsid w:val="00000BAC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00BAC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042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2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387"/>
    <w:pPr>
      <w:ind w:left="720"/>
      <w:contextualSpacing/>
    </w:pPr>
  </w:style>
  <w:style w:type="paragraph" w:styleId="NormalIndent">
    <w:name w:val="Normal Indent"/>
    <w:basedOn w:val="Normal"/>
    <w:rsid w:val="006830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01"/>
  </w:style>
  <w:style w:type="paragraph" w:styleId="Revision">
    <w:name w:val="Revision"/>
    <w:hidden/>
    <w:uiPriority w:val="99"/>
    <w:semiHidden/>
    <w:rsid w:val="005F28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1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uoncolog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d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Tahseen Ali</cp:lastModifiedBy>
  <cp:revision>4</cp:revision>
  <cp:lastPrinted>2019-03-25T05:15:00Z</cp:lastPrinted>
  <dcterms:created xsi:type="dcterms:W3CDTF">2025-05-28T11:21:00Z</dcterms:created>
  <dcterms:modified xsi:type="dcterms:W3CDTF">2025-05-29T05:55:00Z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4cce16a0,cb0dc43,71bf0173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2025-05-07T09:09:45Z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95647bcf-b9aa-43c9-b4f0-f5c108c6b749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