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3866188B"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w:t>
      </w:r>
      <w:r w:rsidR="00075329">
        <w:rPr>
          <w:rFonts w:ascii="Times New Roman" w:eastAsia="Times New Roman" w:hAnsi="Times New Roman" w:cs="Times New Roman"/>
          <w:b/>
          <w:bCs/>
          <w:smallCaps/>
          <w:sz w:val="24"/>
          <w:szCs w:val="24"/>
        </w:rPr>
        <w:t>INDIVIDUAL CONSULTANT</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1D4ED234"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00075329">
        <w:rPr>
          <w:rFonts w:ascii="Times New Roman" w:eastAsia="Calibri" w:hAnsi="Times New Roman" w:cs="Times New Roman"/>
          <w:spacing w:val="-2"/>
          <w:sz w:val="24"/>
          <w:szCs w:val="24"/>
        </w:rPr>
        <w:t>PAKISTAN</w:t>
      </w:r>
    </w:p>
    <w:p w14:paraId="5A8D67E8" w14:textId="22E36DD6"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PROJECT NAME:</w:t>
      </w:r>
      <w:r w:rsidR="0038037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ISLAMIC FINANCE TECHNICAL COLLABORATION</w:t>
      </w:r>
    </w:p>
    <w:p w14:paraId="7DD819E7" w14:textId="6EED9535"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00075329">
        <w:rPr>
          <w:rFonts w:ascii="Times New Roman" w:eastAsia="Calibri" w:hAnsi="Times New Roman" w:cs="Times New Roman"/>
          <w:spacing w:val="-2"/>
          <w:sz w:val="24"/>
          <w:szCs w:val="24"/>
        </w:rPr>
        <w:t xml:space="preserve">ISLAMIC FINANCE / </w:t>
      </w:r>
      <w:r w:rsidR="000C5563">
        <w:rPr>
          <w:rFonts w:ascii="Times New Roman" w:eastAsia="Calibri" w:hAnsi="Times New Roman" w:cs="Times New Roman"/>
          <w:spacing w:val="-2"/>
          <w:sz w:val="24"/>
          <w:szCs w:val="24"/>
        </w:rPr>
        <w:t>DIGITAL FINANCE</w:t>
      </w:r>
      <w:r w:rsidR="00075329">
        <w:rPr>
          <w:rFonts w:ascii="Times New Roman" w:eastAsia="Calibri" w:hAnsi="Times New Roman" w:cs="Times New Roman"/>
          <w:spacing w:val="-2"/>
          <w:sz w:val="24"/>
          <w:szCs w:val="24"/>
        </w:rPr>
        <w:t xml:space="preserve"> / NON-BANKING SECTOR</w:t>
      </w:r>
    </w:p>
    <w:p w14:paraId="66669EF6" w14:textId="2FE8FD7B"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000C5563" w:rsidRPr="000C5563">
        <w:rPr>
          <w:rFonts w:ascii="Times New Roman" w:eastAsia="Calibri" w:hAnsi="Times New Roman" w:cs="Times New Roman"/>
          <w:i/>
          <w:iCs/>
          <w:spacing w:val="-2"/>
          <w:sz w:val="24"/>
          <w:szCs w:val="24"/>
        </w:rPr>
        <w:t>to develop acceptable Shariah-compliant structures of various forms of digital financing products in the context of Pakistan. The study shall also cover detailed illustration of product models based on proposed Shariah structures. Further, the study is also expected to provide financial viability and legal compatibility for each of the proposed product models</w:t>
      </w:r>
      <w:r w:rsidR="000C5563">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31587FC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MODE OF FINANCING:</w:t>
      </w:r>
      <w:r w:rsidR="00380379">
        <w:rPr>
          <w:rFonts w:ascii="Times New Roman" w:eastAsia="Times New Roman" w:hAnsi="Times New Roman" w:cs="Times New Roman"/>
          <w:spacing w:val="-2"/>
          <w:sz w:val="24"/>
          <w:szCs w:val="24"/>
        </w:rPr>
        <w:t xml:space="preserve"> </w:t>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3681860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FINANCING NO. </w:t>
      </w:r>
      <w:r w:rsidR="00075329">
        <w:rPr>
          <w:rFonts w:ascii="Times New Roman" w:eastAsia="Times New Roman" w:hAnsi="Times New Roman" w:cs="Times New Roman"/>
          <w:spacing w:val="-2"/>
          <w:sz w:val="24"/>
          <w:szCs w:val="24"/>
        </w:rPr>
        <w:t>PAK1062</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35BCDE3B" w14:textId="77777777" w:rsidR="00075329" w:rsidRDefault="008B5164" w:rsidP="00075329">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The Islamic Development Bank Institute (IsDBI) </w:t>
      </w:r>
      <w:r w:rsidR="00075329">
        <w:rPr>
          <w:rFonts w:ascii="Times New Roman" w:eastAsia="Calibri" w:hAnsi="Times New Roman" w:cs="Times New Roman"/>
          <w:spacing w:val="-2"/>
          <w:sz w:val="24"/>
          <w:szCs w:val="24"/>
        </w:rPr>
        <w:t>has partnered with the Securities and Exchange Commission of Pakistan (SECP) and has</w:t>
      </w:r>
      <w:r w:rsidR="00075329" w:rsidRPr="00075329">
        <w:rPr>
          <w:rFonts w:ascii="Times New Roman" w:eastAsia="Calibri" w:hAnsi="Times New Roman" w:cs="Times New Roman"/>
          <w:spacing w:val="-2"/>
          <w:sz w:val="24"/>
          <w:szCs w:val="24"/>
        </w:rPr>
        <w:t xml:space="preserve"> provide</w:t>
      </w:r>
      <w:r w:rsidR="00075329">
        <w:rPr>
          <w:rFonts w:ascii="Times New Roman" w:eastAsia="Calibri" w:hAnsi="Times New Roman" w:cs="Times New Roman"/>
          <w:spacing w:val="-2"/>
          <w:sz w:val="24"/>
          <w:szCs w:val="24"/>
        </w:rPr>
        <w:t>d</w:t>
      </w:r>
      <w:r w:rsidR="00075329" w:rsidRPr="00075329">
        <w:rPr>
          <w:rFonts w:ascii="Times New Roman" w:eastAsia="Calibri" w:hAnsi="Times New Roman" w:cs="Times New Roman"/>
          <w:spacing w:val="-2"/>
          <w:sz w:val="24"/>
          <w:szCs w:val="24"/>
        </w:rPr>
        <w:t xml:space="preserve"> </w:t>
      </w:r>
      <w:r w:rsidR="00075329">
        <w:rPr>
          <w:rFonts w:ascii="Times New Roman" w:eastAsia="Calibri" w:hAnsi="Times New Roman" w:cs="Times New Roman"/>
          <w:spacing w:val="-2"/>
          <w:sz w:val="24"/>
          <w:szCs w:val="24"/>
        </w:rPr>
        <w:t>SECP with an Islamic finance technical assistance grant (TA)</w:t>
      </w:r>
      <w:r w:rsidR="00075329" w:rsidRPr="00075329">
        <w:rPr>
          <w:rFonts w:ascii="Times New Roman" w:eastAsia="Calibri" w:hAnsi="Times New Roman" w:cs="Times New Roman"/>
          <w:spacing w:val="-2"/>
          <w:sz w:val="24"/>
          <w:szCs w:val="24"/>
        </w:rPr>
        <w:t xml:space="preserve"> for</w:t>
      </w:r>
      <w:r w:rsidR="0007532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boost</w:t>
      </w:r>
      <w:r w:rsidR="00075329">
        <w:rPr>
          <w:rFonts w:ascii="Times New Roman" w:eastAsia="Calibri" w:hAnsi="Times New Roman" w:cs="Times New Roman"/>
          <w:spacing w:val="-2"/>
          <w:sz w:val="24"/>
          <w:szCs w:val="24"/>
        </w:rPr>
        <w:t>ing</w:t>
      </w:r>
      <w:r w:rsidR="00075329" w:rsidRPr="00075329">
        <w:rPr>
          <w:rFonts w:ascii="Times New Roman" w:eastAsia="Calibri" w:hAnsi="Times New Roman" w:cs="Times New Roman"/>
          <w:spacing w:val="-2"/>
          <w:sz w:val="24"/>
          <w:szCs w:val="24"/>
        </w:rPr>
        <w:t xml:space="preserve"> Islamic finance knowledge, research</w:t>
      </w:r>
      <w:r w:rsidR="00075329">
        <w:rPr>
          <w:rFonts w:ascii="Times New Roman" w:eastAsia="Calibri" w:hAnsi="Times New Roman" w:cs="Times New Roman"/>
          <w:spacing w:val="-2"/>
          <w:sz w:val="24"/>
          <w:szCs w:val="24"/>
        </w:rPr>
        <w:t>,</w:t>
      </w:r>
      <w:r w:rsidR="00075329" w:rsidRPr="00075329">
        <w:rPr>
          <w:rFonts w:ascii="Times New Roman" w:eastAsia="Calibri" w:hAnsi="Times New Roman" w:cs="Times New Roman"/>
          <w:spacing w:val="-2"/>
          <w:sz w:val="24"/>
          <w:szCs w:val="24"/>
        </w:rPr>
        <w:t xml:space="preserve"> innovative products and improve</w:t>
      </w:r>
      <w:r w:rsidR="00075329">
        <w:rPr>
          <w:rFonts w:ascii="Times New Roman" w:eastAsia="Calibri" w:hAnsi="Times New Roman" w:cs="Times New Roman"/>
          <w:spacing w:val="-2"/>
          <w:sz w:val="24"/>
          <w:szCs w:val="24"/>
        </w:rPr>
        <w:t xml:space="preserve"> </w:t>
      </w:r>
      <w:r w:rsidR="00075329" w:rsidRPr="00075329">
        <w:rPr>
          <w:rFonts w:ascii="Times New Roman" w:eastAsia="Calibri" w:hAnsi="Times New Roman" w:cs="Times New Roman"/>
          <w:spacing w:val="-2"/>
          <w:sz w:val="24"/>
          <w:szCs w:val="24"/>
        </w:rPr>
        <w:t>human resources skills on specific areas under the mandate of the SECP</w:t>
      </w:r>
      <w:r w:rsidRPr="00FE0311">
        <w:rPr>
          <w:rFonts w:ascii="Times New Roman" w:eastAsia="Calibri" w:hAnsi="Times New Roman" w:cs="Times New Roman"/>
          <w:spacing w:val="-2"/>
          <w:sz w:val="24"/>
          <w:szCs w:val="24"/>
        </w:rPr>
        <w:t xml:space="preserve">. </w:t>
      </w:r>
    </w:p>
    <w:p w14:paraId="6E96FCC7" w14:textId="77777777" w:rsidR="00075329" w:rsidRDefault="00075329" w:rsidP="00075329">
      <w:pPr>
        <w:suppressAutoHyphens/>
        <w:spacing w:after="0" w:line="240" w:lineRule="auto"/>
        <w:jc w:val="both"/>
        <w:rPr>
          <w:rFonts w:ascii="Times New Roman" w:eastAsia="Calibri" w:hAnsi="Times New Roman" w:cs="Times New Roman"/>
          <w:spacing w:val="-2"/>
          <w:sz w:val="24"/>
          <w:szCs w:val="24"/>
        </w:rPr>
      </w:pPr>
    </w:p>
    <w:p w14:paraId="6685ABF6" w14:textId="7C650845" w:rsidR="00075329" w:rsidRPr="00075329" w:rsidRDefault="00075329" w:rsidP="00075329">
      <w:pPr>
        <w:suppressAutoHyphens/>
        <w:spacing w:after="0" w:line="240" w:lineRule="auto"/>
        <w:jc w:val="both"/>
        <w:rPr>
          <w:rFonts w:ascii="Times New Roman" w:eastAsia="Calibri" w:hAnsi="Times New Roman" w:cs="Times New Roman"/>
          <w:spacing w:val="-2"/>
          <w:sz w:val="24"/>
          <w:szCs w:val="24"/>
          <w:lang w:val="en-AU"/>
        </w:rPr>
      </w:pPr>
      <w:r>
        <w:rPr>
          <w:rFonts w:ascii="Times New Roman" w:eastAsia="Calibri" w:hAnsi="Times New Roman" w:cs="Times New Roman"/>
          <w:spacing w:val="-2"/>
          <w:sz w:val="24"/>
          <w:szCs w:val="24"/>
        </w:rPr>
        <w:t xml:space="preserve">One of the components in the TA PAK1062 includes a joint </w:t>
      </w:r>
      <w:r w:rsidRPr="00075329">
        <w:rPr>
          <w:rFonts w:ascii="Times New Roman" w:eastAsia="Calibri" w:hAnsi="Times New Roman" w:cs="Times New Roman"/>
          <w:spacing w:val="-2"/>
          <w:sz w:val="24"/>
          <w:szCs w:val="24"/>
        </w:rPr>
        <w:t xml:space="preserve">IsDBI-SECP Report on </w:t>
      </w:r>
      <w:r w:rsidR="000C5563" w:rsidRPr="000C5563">
        <w:rPr>
          <w:rFonts w:ascii="Times New Roman" w:eastAsia="Calibri" w:hAnsi="Times New Roman" w:cs="Times New Roman"/>
          <w:spacing w:val="-2"/>
          <w:sz w:val="24"/>
          <w:szCs w:val="24"/>
        </w:rPr>
        <w:t>Shariah Compliant Digital Financing Products</w:t>
      </w:r>
      <w:r>
        <w:rPr>
          <w:rFonts w:ascii="Times New Roman" w:eastAsia="Calibri" w:hAnsi="Times New Roman" w:cs="Times New Roman"/>
          <w:spacing w:val="-2"/>
          <w:sz w:val="24"/>
          <w:szCs w:val="24"/>
        </w:rPr>
        <w:t xml:space="preserve">. </w:t>
      </w:r>
      <w:r w:rsidRPr="00075329">
        <w:rPr>
          <w:rFonts w:ascii="Times New Roman" w:eastAsia="Calibri" w:hAnsi="Times New Roman" w:cs="Times New Roman"/>
          <w:spacing w:val="-2"/>
          <w:sz w:val="24"/>
          <w:szCs w:val="24"/>
          <w:lang w:val="en-AU"/>
        </w:rPr>
        <w:t xml:space="preserve">Key focus areas of the </w:t>
      </w:r>
      <w:r>
        <w:rPr>
          <w:rFonts w:ascii="Times New Roman" w:eastAsia="Calibri" w:hAnsi="Times New Roman" w:cs="Times New Roman"/>
          <w:spacing w:val="-2"/>
          <w:sz w:val="24"/>
          <w:szCs w:val="24"/>
          <w:lang w:val="en-AU"/>
        </w:rPr>
        <w:t>joint report</w:t>
      </w:r>
      <w:r w:rsidRPr="00075329">
        <w:rPr>
          <w:rFonts w:ascii="Times New Roman" w:eastAsia="Calibri" w:hAnsi="Times New Roman" w:cs="Times New Roman"/>
          <w:spacing w:val="-2"/>
          <w:sz w:val="24"/>
          <w:szCs w:val="24"/>
          <w:lang w:val="en-AU"/>
        </w:rPr>
        <w:t xml:space="preserve"> </w:t>
      </w:r>
      <w:r w:rsidR="001839A0" w:rsidRPr="00075329">
        <w:rPr>
          <w:rFonts w:ascii="Times New Roman" w:eastAsia="Calibri" w:hAnsi="Times New Roman" w:cs="Times New Roman"/>
          <w:spacing w:val="-2"/>
          <w:sz w:val="24"/>
          <w:szCs w:val="24"/>
          <w:lang w:val="en-AU"/>
        </w:rPr>
        <w:t>include</w:t>
      </w:r>
      <w:r w:rsidRPr="00075329">
        <w:rPr>
          <w:rFonts w:ascii="Times New Roman" w:eastAsia="Calibri" w:hAnsi="Times New Roman" w:cs="Times New Roman"/>
          <w:spacing w:val="-2"/>
          <w:sz w:val="24"/>
          <w:szCs w:val="24"/>
          <w:lang w:val="en-AU"/>
        </w:rPr>
        <w:t xml:space="preserve">, but </w:t>
      </w:r>
      <w:r>
        <w:rPr>
          <w:rFonts w:ascii="Times New Roman" w:eastAsia="Calibri" w:hAnsi="Times New Roman" w:cs="Times New Roman"/>
          <w:spacing w:val="-2"/>
          <w:sz w:val="24"/>
          <w:szCs w:val="24"/>
          <w:lang w:val="en-AU"/>
        </w:rPr>
        <w:t>is</w:t>
      </w:r>
      <w:r w:rsidRPr="00075329">
        <w:rPr>
          <w:rFonts w:ascii="Times New Roman" w:eastAsia="Calibri" w:hAnsi="Times New Roman" w:cs="Times New Roman"/>
          <w:spacing w:val="-2"/>
          <w:sz w:val="24"/>
          <w:szCs w:val="24"/>
          <w:lang w:val="en-AU"/>
        </w:rPr>
        <w:t xml:space="preserve"> not limited to:</w:t>
      </w:r>
    </w:p>
    <w:p w14:paraId="4318FA99"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Conducting in-depth research on the digital financing landscape of Pakistan, highlight challenges and opportunities, with special focus on need for Shariah compliant alternatives.</w:t>
      </w:r>
    </w:p>
    <w:p w14:paraId="305290BB"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 xml:space="preserve">Exploring Shariah principles and rules relevant for the development of Shariah-compliant digital financing products. </w:t>
      </w:r>
    </w:p>
    <w:p w14:paraId="6A8724E8"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Exhibiting and explaining widely acceptable Shariah-complaint financial product models and structures for specified types of digital financing segments/markets.</w:t>
      </w:r>
    </w:p>
    <w:p w14:paraId="5D9FC35A"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Conducting legal and regulatory compatibility analysis and financial viability analysis of the proposed products to identify bottlenecks and challenges.</w:t>
      </w:r>
    </w:p>
    <w:p w14:paraId="55164330"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Identification of international best practices in Shariah-compliant digital financing.</w:t>
      </w:r>
    </w:p>
    <w:p w14:paraId="521C6D11"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Recommending suitable Shariah-compliant product models and structures for non-bank financial institutions in Pakistan.</w:t>
      </w:r>
    </w:p>
    <w:p w14:paraId="2790FCD8" w14:textId="77777777" w:rsidR="000C5563" w:rsidRPr="000C5563" w:rsidRDefault="000C5563" w:rsidP="000C5563">
      <w:pPr>
        <w:numPr>
          <w:ilvl w:val="0"/>
          <w:numId w:val="20"/>
        </w:numPr>
        <w:suppressAutoHyphens/>
        <w:spacing w:after="0" w:line="240" w:lineRule="auto"/>
        <w:jc w:val="both"/>
        <w:rPr>
          <w:rFonts w:ascii="Times New Roman" w:eastAsia="Calibri" w:hAnsi="Times New Roman" w:cs="Times New Roman"/>
          <w:spacing w:val="-2"/>
          <w:sz w:val="24"/>
          <w:szCs w:val="24"/>
          <w:lang w:val="en-AU"/>
        </w:rPr>
      </w:pPr>
      <w:r w:rsidRPr="000C5563">
        <w:rPr>
          <w:rFonts w:ascii="Times New Roman" w:eastAsia="Calibri" w:hAnsi="Times New Roman" w:cs="Times New Roman"/>
          <w:spacing w:val="-2"/>
          <w:sz w:val="24"/>
          <w:szCs w:val="24"/>
          <w:lang w:val="en-AU"/>
        </w:rPr>
        <w:t>Recommending policy interventions including for regulatory development, product developments, removing bottlenecks and addressing challenges.</w:t>
      </w:r>
    </w:p>
    <w:p w14:paraId="543B0221" w14:textId="6526DEC2" w:rsidR="00D05512" w:rsidRDefault="00566FAB" w:rsidP="00075329">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17D9F29E" w14:textId="034974E6" w:rsidR="00075329" w:rsidRPr="00FE0311" w:rsidRDefault="00075329" w:rsidP="00075329">
      <w:pPr>
        <w:suppressAutoHyphens/>
        <w:jc w:val="both"/>
        <w:rPr>
          <w:rFonts w:ascii="Times New Roman" w:hAnsi="Times New Roman"/>
          <w:spacing w:val="-2"/>
          <w:sz w:val="24"/>
          <w:szCs w:val="24"/>
        </w:rPr>
      </w:pPr>
      <w:r>
        <w:rPr>
          <w:rFonts w:ascii="Times New Roman" w:hAnsi="Times New Roman"/>
          <w:spacing w:val="-2"/>
          <w:sz w:val="24"/>
          <w:szCs w:val="24"/>
        </w:rPr>
        <w:t>The TOR for the assignment is</w:t>
      </w:r>
      <w:r w:rsidRPr="00602BA3">
        <w:rPr>
          <w:rFonts w:ascii="Times New Roman" w:hAnsi="Times New Roman"/>
          <w:spacing w:val="-2"/>
          <w:sz w:val="24"/>
          <w:szCs w:val="24"/>
        </w:rPr>
        <w:t xml:space="preserve"> attached </w:t>
      </w:r>
      <w:r w:rsidR="00620F64">
        <w:rPr>
          <w:rFonts w:ascii="Times New Roman" w:hAnsi="Times New Roman"/>
          <w:spacing w:val="-2"/>
          <w:sz w:val="24"/>
          <w:szCs w:val="24"/>
        </w:rPr>
        <w:t>to</w:t>
      </w:r>
      <w:r>
        <w:rPr>
          <w:rFonts w:ascii="Times New Roman" w:hAnsi="Times New Roman"/>
          <w:spacing w:val="-2"/>
          <w:sz w:val="24"/>
          <w:szCs w:val="24"/>
        </w:rPr>
        <w:t xml:space="preserve"> </w:t>
      </w:r>
      <w:r w:rsidRPr="00FE0311">
        <w:rPr>
          <w:rFonts w:ascii="Times New Roman" w:hAnsi="Times New Roman"/>
          <w:b/>
          <w:bCs/>
          <w:spacing w:val="-2"/>
          <w:sz w:val="24"/>
          <w:szCs w:val="24"/>
        </w:rPr>
        <w:t>Annex-1</w:t>
      </w:r>
      <w:r w:rsidRPr="00FE0311">
        <w:rPr>
          <w:rFonts w:ascii="Times New Roman" w:hAnsi="Times New Roman"/>
          <w:spacing w:val="-2"/>
          <w:sz w:val="24"/>
          <w:szCs w:val="24"/>
        </w:rPr>
        <w:t>.</w:t>
      </w:r>
    </w:p>
    <w:p w14:paraId="08CF6CEA" w14:textId="5F3070E6" w:rsidR="00075329"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w:t>
      </w:r>
      <w:r w:rsidR="00075329">
        <w:rPr>
          <w:rFonts w:ascii="Times New Roman" w:hAnsi="Times New Roman"/>
          <w:spacing w:val="-2"/>
          <w:sz w:val="24"/>
          <w:szCs w:val="24"/>
        </w:rPr>
        <w:t>individual consultants</w:t>
      </w:r>
      <w:r w:rsidRPr="00FE0311">
        <w:rPr>
          <w:rFonts w:ascii="Times New Roman" w:hAnsi="Times New Roman"/>
          <w:spacing w:val="-2"/>
          <w:sz w:val="24"/>
          <w:szCs w:val="24"/>
        </w:rPr>
        <w:t xml:space="preserve"> (“Consultants”) to indicate their interest in providing the listed services. Interested Consultants must provide specific information </w:t>
      </w:r>
      <w:r w:rsidR="003C7FBB">
        <w:rPr>
          <w:rFonts w:ascii="Times New Roman" w:hAnsi="Times New Roman"/>
          <w:spacing w:val="-2"/>
          <w:sz w:val="24"/>
          <w:szCs w:val="24"/>
        </w:rPr>
        <w:t>that</w:t>
      </w:r>
      <w:r w:rsidRPr="00FE0311">
        <w:rPr>
          <w:rFonts w:ascii="Times New Roman" w:hAnsi="Times New Roman"/>
          <w:spacing w:val="-2"/>
          <w:sz w:val="24"/>
          <w:szCs w:val="24"/>
        </w:rPr>
        <w:t xml:space="preserve"> demonstrates that they are fully qualified to perform the services (availability of appropriate experience confirmed </w:t>
      </w:r>
      <w:r w:rsidR="00BD1148" w:rsidRPr="00FE0311">
        <w:rPr>
          <w:rFonts w:ascii="Times New Roman" w:hAnsi="Times New Roman"/>
          <w:spacing w:val="-2"/>
          <w:sz w:val="24"/>
          <w:szCs w:val="24"/>
        </w:rPr>
        <w:t>by</w:t>
      </w:r>
      <w:r w:rsidR="00075329">
        <w:rPr>
          <w:rFonts w:ascii="Times New Roman" w:hAnsi="Times New Roman"/>
          <w:spacing w:val="-2"/>
          <w:sz w:val="24"/>
          <w:szCs w:val="24"/>
        </w:rPr>
        <w:t xml:space="preserve"> past reports, publications,</w:t>
      </w:r>
      <w:r w:rsidR="00BD1148" w:rsidRPr="00FE0311">
        <w:rPr>
          <w:rFonts w:ascii="Times New Roman" w:hAnsi="Times New Roman"/>
          <w:spacing w:val="-2"/>
          <w:sz w:val="24"/>
          <w:szCs w:val="24"/>
        </w:rPr>
        <w:t xml:space="preserve">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w:t>
      </w:r>
      <w:r w:rsidR="00181E09">
        <w:rPr>
          <w:rFonts w:ascii="Times New Roman" w:hAnsi="Times New Roman"/>
          <w:spacing w:val="-2"/>
          <w:sz w:val="24"/>
          <w:szCs w:val="24"/>
        </w:rPr>
        <w:t>.</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lastRenderedPageBreak/>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623AAF7" w14:textId="56676F86" w:rsidR="007C3523" w:rsidRPr="007C3523" w:rsidRDefault="007C3523" w:rsidP="007C3523">
      <w:pPr>
        <w:numPr>
          <w:ilvl w:val="0"/>
          <w:numId w:val="22"/>
        </w:numPr>
        <w:spacing w:after="0" w:line="240" w:lineRule="auto"/>
        <w:jc w:val="both"/>
        <w:rPr>
          <w:rFonts w:ascii="Times New Roman" w:eastAsia="Calibri" w:hAnsi="Times New Roman" w:cs="Times New Roman"/>
          <w:b/>
          <w:spacing w:val="-2"/>
          <w:sz w:val="24"/>
          <w:szCs w:val="24"/>
        </w:rPr>
      </w:pPr>
      <w:r w:rsidRPr="007C3523">
        <w:rPr>
          <w:rFonts w:ascii="Times New Roman" w:eastAsia="Calibri" w:hAnsi="Times New Roman" w:cs="Times New Roman"/>
          <w:spacing w:val="-2"/>
          <w:sz w:val="24"/>
          <w:szCs w:val="24"/>
        </w:rPr>
        <w:t>Should have at least</w:t>
      </w:r>
      <w:r>
        <w:rPr>
          <w:rFonts w:ascii="Times New Roman" w:eastAsia="Calibri" w:hAnsi="Times New Roman" w:cs="Times New Roman"/>
          <w:spacing w:val="-2"/>
          <w:sz w:val="24"/>
          <w:szCs w:val="24"/>
        </w:rPr>
        <w:t xml:space="preserve"> a</w:t>
      </w:r>
      <w:r w:rsidRPr="007C3523">
        <w:rPr>
          <w:rFonts w:ascii="Times New Roman" w:eastAsia="Calibri" w:hAnsi="Times New Roman" w:cs="Times New Roman"/>
          <w:spacing w:val="-2"/>
          <w:sz w:val="24"/>
          <w:szCs w:val="24"/>
        </w:rPr>
        <w:t xml:space="preserve"> master’s degree </w:t>
      </w:r>
      <w:r>
        <w:rPr>
          <w:rFonts w:ascii="Times New Roman" w:eastAsia="Calibri" w:hAnsi="Times New Roman" w:cs="Times New Roman"/>
          <w:spacing w:val="-2"/>
          <w:sz w:val="24"/>
          <w:szCs w:val="24"/>
        </w:rPr>
        <w:t xml:space="preserve">in economics, finance, Islamic finance, or related fields </w:t>
      </w:r>
      <w:r w:rsidRPr="007C3523">
        <w:rPr>
          <w:rFonts w:ascii="Times New Roman" w:eastAsia="Calibri" w:hAnsi="Times New Roman" w:cs="Times New Roman"/>
          <w:spacing w:val="-2"/>
          <w:sz w:val="24"/>
          <w:szCs w:val="24"/>
        </w:rPr>
        <w:t xml:space="preserve">with </w:t>
      </w:r>
      <w:r>
        <w:rPr>
          <w:rFonts w:ascii="Times New Roman" w:eastAsia="Calibri" w:hAnsi="Times New Roman" w:cs="Times New Roman"/>
          <w:bCs/>
          <w:spacing w:val="-2"/>
          <w:sz w:val="24"/>
          <w:szCs w:val="24"/>
        </w:rPr>
        <w:t>10</w:t>
      </w:r>
      <w:r w:rsidRPr="007C3523">
        <w:rPr>
          <w:rFonts w:ascii="Times New Roman" w:eastAsia="Calibri" w:hAnsi="Times New Roman" w:cs="Times New Roman"/>
          <w:bCs/>
          <w:spacing w:val="-2"/>
          <w:sz w:val="24"/>
          <w:szCs w:val="24"/>
        </w:rPr>
        <w:t xml:space="preserve"> </w:t>
      </w:r>
      <w:r w:rsidR="0072139F" w:rsidRPr="007C3523">
        <w:rPr>
          <w:rFonts w:ascii="Times New Roman" w:eastAsia="Calibri" w:hAnsi="Times New Roman" w:cs="Times New Roman"/>
          <w:bCs/>
          <w:spacing w:val="-2"/>
          <w:sz w:val="24"/>
          <w:szCs w:val="24"/>
        </w:rPr>
        <w:t>years</w:t>
      </w:r>
      <w:r>
        <w:rPr>
          <w:rFonts w:ascii="Times New Roman" w:eastAsia="Calibri" w:hAnsi="Times New Roman" w:cs="Times New Roman"/>
          <w:bCs/>
          <w:spacing w:val="-2"/>
          <w:sz w:val="24"/>
          <w:szCs w:val="24"/>
        </w:rPr>
        <w:t xml:space="preserve"> or more</w:t>
      </w:r>
      <w:r w:rsidRPr="007C3523">
        <w:rPr>
          <w:rFonts w:ascii="Times New Roman" w:eastAsia="Calibri" w:hAnsi="Times New Roman" w:cs="Times New Roman"/>
          <w:bCs/>
          <w:spacing w:val="-2"/>
          <w:sz w:val="24"/>
          <w:szCs w:val="24"/>
        </w:rPr>
        <w:t xml:space="preserve"> experience in </w:t>
      </w:r>
      <w:r>
        <w:rPr>
          <w:rFonts w:ascii="Times New Roman" w:eastAsia="Calibri" w:hAnsi="Times New Roman" w:cs="Times New Roman"/>
          <w:bCs/>
          <w:spacing w:val="-2"/>
          <w:sz w:val="24"/>
          <w:szCs w:val="24"/>
        </w:rPr>
        <w:t xml:space="preserve">Islamic finance, financial inclusion, digital finance </w:t>
      </w:r>
      <w:r w:rsidR="0072139F">
        <w:rPr>
          <w:rFonts w:ascii="Times New Roman" w:eastAsia="Calibri" w:hAnsi="Times New Roman" w:cs="Times New Roman"/>
          <w:bCs/>
          <w:spacing w:val="-2"/>
          <w:sz w:val="24"/>
          <w:szCs w:val="24"/>
        </w:rPr>
        <w:t xml:space="preserve">and other </w:t>
      </w:r>
      <w:r>
        <w:rPr>
          <w:rFonts w:ascii="Times New Roman" w:eastAsia="Calibri" w:hAnsi="Times New Roman" w:cs="Times New Roman"/>
          <w:bCs/>
          <w:spacing w:val="-2"/>
          <w:sz w:val="24"/>
          <w:szCs w:val="24"/>
        </w:rPr>
        <w:t>related areas</w:t>
      </w:r>
      <w:r w:rsidRPr="007C3523">
        <w:rPr>
          <w:rFonts w:ascii="Times New Roman" w:eastAsia="Calibri" w:hAnsi="Times New Roman" w:cs="Times New Roman"/>
          <w:spacing w:val="-2"/>
          <w:sz w:val="24"/>
          <w:szCs w:val="24"/>
        </w:rPr>
        <w:t>.</w:t>
      </w:r>
    </w:p>
    <w:p w14:paraId="416291B5" w14:textId="77777777" w:rsidR="007C3523" w:rsidRPr="007C3523" w:rsidRDefault="007C3523" w:rsidP="007C3523">
      <w:pPr>
        <w:spacing w:after="0" w:line="240" w:lineRule="auto"/>
        <w:jc w:val="both"/>
        <w:rPr>
          <w:rFonts w:ascii="Times New Roman" w:eastAsia="Calibri" w:hAnsi="Times New Roman" w:cs="Times New Roman"/>
          <w:b/>
          <w:spacing w:val="-2"/>
          <w:sz w:val="24"/>
          <w:szCs w:val="24"/>
        </w:rPr>
      </w:pPr>
    </w:p>
    <w:p w14:paraId="7D7CADA2" w14:textId="7109F7DE" w:rsidR="007C3523" w:rsidRPr="007C3523" w:rsidRDefault="007C3523" w:rsidP="007C3523">
      <w:pPr>
        <w:numPr>
          <w:ilvl w:val="0"/>
          <w:numId w:val="22"/>
        </w:numPr>
        <w:spacing w:after="0" w:line="240" w:lineRule="auto"/>
        <w:jc w:val="both"/>
        <w:rPr>
          <w:rFonts w:ascii="Times New Roman" w:eastAsia="Calibri" w:hAnsi="Times New Roman" w:cs="Times New Roman"/>
          <w:bCs/>
          <w:spacing w:val="-2"/>
          <w:sz w:val="24"/>
          <w:szCs w:val="24"/>
        </w:rPr>
      </w:pPr>
      <w:r w:rsidRPr="007C3523">
        <w:rPr>
          <w:rFonts w:ascii="Times New Roman" w:eastAsia="Calibri" w:hAnsi="Times New Roman" w:cs="Times New Roman"/>
          <w:bCs/>
          <w:spacing w:val="-2"/>
          <w:sz w:val="24"/>
          <w:szCs w:val="24"/>
        </w:rPr>
        <w:t xml:space="preserve">Should have a clear understanding of </w:t>
      </w:r>
      <w:r>
        <w:rPr>
          <w:rFonts w:ascii="Times New Roman" w:eastAsia="Calibri" w:hAnsi="Times New Roman" w:cs="Times New Roman"/>
          <w:bCs/>
          <w:spacing w:val="-2"/>
          <w:sz w:val="24"/>
          <w:szCs w:val="24"/>
        </w:rPr>
        <w:t>digital financial products</w:t>
      </w:r>
      <w:r w:rsidR="0072139F">
        <w:rPr>
          <w:rFonts w:ascii="Times New Roman" w:eastAsia="Calibri" w:hAnsi="Times New Roman" w:cs="Times New Roman"/>
          <w:bCs/>
          <w:spacing w:val="-2"/>
          <w:sz w:val="24"/>
          <w:szCs w:val="24"/>
        </w:rPr>
        <w:t>, with demonstrated experience in innovative product structuring in the Islamic financial services industry.</w:t>
      </w:r>
    </w:p>
    <w:p w14:paraId="331E1ABC" w14:textId="77777777" w:rsidR="007C3523" w:rsidRPr="007C3523" w:rsidRDefault="007C3523" w:rsidP="007C3523">
      <w:pPr>
        <w:spacing w:after="0" w:line="240" w:lineRule="auto"/>
        <w:jc w:val="both"/>
        <w:rPr>
          <w:rFonts w:ascii="Times New Roman" w:eastAsia="Calibri" w:hAnsi="Times New Roman" w:cs="Times New Roman"/>
          <w:bCs/>
          <w:spacing w:val="-2"/>
          <w:sz w:val="24"/>
          <w:szCs w:val="24"/>
        </w:rPr>
      </w:pPr>
    </w:p>
    <w:p w14:paraId="24F473F1" w14:textId="699F8DB4" w:rsidR="007C3523" w:rsidRPr="007C3523" w:rsidRDefault="0072139F" w:rsidP="007C3523">
      <w:pPr>
        <w:numPr>
          <w:ilvl w:val="0"/>
          <w:numId w:val="22"/>
        </w:numPr>
        <w:spacing w:after="0" w:line="240" w:lineRule="auto"/>
        <w:jc w:val="both"/>
        <w:rPr>
          <w:rFonts w:ascii="Times New Roman" w:eastAsia="Calibri" w:hAnsi="Times New Roman" w:cs="Times New Roman"/>
          <w:bCs/>
          <w:spacing w:val="-2"/>
          <w:sz w:val="24"/>
          <w:szCs w:val="24"/>
        </w:rPr>
      </w:pPr>
      <w:r>
        <w:rPr>
          <w:rFonts w:ascii="Times New Roman" w:eastAsia="Calibri" w:hAnsi="Times New Roman" w:cs="Times New Roman"/>
          <w:bCs/>
          <w:spacing w:val="-2"/>
          <w:sz w:val="24"/>
          <w:szCs w:val="24"/>
        </w:rPr>
        <w:t>Should be well familiar with the financial sector and Islamic finance services industry in Pakistan, and experience in policy advice and recommendations in the country’s context is an added advantage</w:t>
      </w:r>
      <w:r w:rsidR="007C3523" w:rsidRPr="007C3523">
        <w:rPr>
          <w:rFonts w:ascii="Times New Roman" w:eastAsia="Calibri" w:hAnsi="Times New Roman" w:cs="Times New Roman"/>
          <w:bCs/>
          <w:spacing w:val="-2"/>
          <w:sz w:val="24"/>
          <w:szCs w:val="24"/>
        </w:rPr>
        <w:t xml:space="preserve">. </w:t>
      </w:r>
    </w:p>
    <w:p w14:paraId="5110AFA1" w14:textId="77777777" w:rsidR="007C3523" w:rsidRPr="007C3523" w:rsidRDefault="007C3523" w:rsidP="007C3523">
      <w:pPr>
        <w:spacing w:after="0" w:line="240" w:lineRule="auto"/>
        <w:jc w:val="both"/>
        <w:rPr>
          <w:rFonts w:ascii="Times New Roman" w:eastAsia="Calibri" w:hAnsi="Times New Roman" w:cs="Times New Roman"/>
          <w:bCs/>
          <w:spacing w:val="-2"/>
          <w:sz w:val="24"/>
          <w:szCs w:val="24"/>
        </w:rPr>
      </w:pPr>
    </w:p>
    <w:p w14:paraId="082E8D7B" w14:textId="1C5D20AB" w:rsidR="007C3523" w:rsidRPr="00236166" w:rsidRDefault="0072139F" w:rsidP="0072139F">
      <w:pPr>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bCs/>
          <w:spacing w:val="-2"/>
          <w:sz w:val="24"/>
          <w:szCs w:val="24"/>
        </w:rPr>
        <w:t xml:space="preserve">Should have an </w:t>
      </w:r>
      <w:r w:rsidRPr="0072139F">
        <w:rPr>
          <w:rFonts w:ascii="Times New Roman" w:eastAsia="Calibri" w:hAnsi="Times New Roman" w:cs="Times New Roman"/>
          <w:bCs/>
          <w:spacing w:val="-2"/>
          <w:sz w:val="24"/>
          <w:szCs w:val="24"/>
        </w:rPr>
        <w:t>in-depth understanding of views of all major school</w:t>
      </w:r>
      <w:r>
        <w:rPr>
          <w:rFonts w:ascii="Times New Roman" w:eastAsia="Calibri" w:hAnsi="Times New Roman" w:cs="Times New Roman"/>
          <w:bCs/>
          <w:spacing w:val="-2"/>
          <w:sz w:val="24"/>
          <w:szCs w:val="24"/>
        </w:rPr>
        <w:t>s of Shariah law with regards to the subject matter.</w:t>
      </w:r>
    </w:p>
    <w:p w14:paraId="0EAA7996" w14:textId="77777777" w:rsidR="0072139F" w:rsidRDefault="0072139F" w:rsidP="00236166">
      <w:pPr>
        <w:spacing w:after="0" w:line="240" w:lineRule="auto"/>
        <w:ind w:left="720"/>
        <w:jc w:val="both"/>
        <w:rPr>
          <w:rFonts w:ascii="Times New Roman" w:eastAsia="Calibri" w:hAnsi="Times New Roman" w:cs="Times New Roman"/>
          <w:spacing w:val="-2"/>
          <w:sz w:val="24"/>
          <w:szCs w:val="24"/>
        </w:rPr>
      </w:pPr>
    </w:p>
    <w:p w14:paraId="642C6757" w14:textId="733A728B" w:rsidR="0072139F" w:rsidRPr="007C3523" w:rsidRDefault="0072139F" w:rsidP="0072139F">
      <w:pPr>
        <w:numPr>
          <w:ilvl w:val="0"/>
          <w:numId w:val="22"/>
        </w:num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Should have demonstrated experience and background </w:t>
      </w:r>
      <w:r w:rsidRPr="0072139F">
        <w:rPr>
          <w:rFonts w:ascii="Times New Roman" w:eastAsia="Calibri" w:hAnsi="Times New Roman" w:cs="Times New Roman"/>
          <w:spacing w:val="-2"/>
          <w:sz w:val="24"/>
          <w:szCs w:val="24"/>
        </w:rPr>
        <w:t xml:space="preserve">in </w:t>
      </w:r>
      <w:r>
        <w:rPr>
          <w:rFonts w:ascii="Times New Roman" w:eastAsia="Calibri" w:hAnsi="Times New Roman" w:cs="Times New Roman"/>
          <w:spacing w:val="-2"/>
          <w:sz w:val="24"/>
          <w:szCs w:val="24"/>
        </w:rPr>
        <w:t>ability</w:t>
      </w:r>
      <w:r w:rsidRPr="0072139F">
        <w:rPr>
          <w:rFonts w:ascii="Times New Roman" w:eastAsia="Calibri" w:hAnsi="Times New Roman" w:cs="Times New Roman"/>
          <w:spacing w:val="-2"/>
          <w:sz w:val="24"/>
          <w:szCs w:val="24"/>
        </w:rPr>
        <w:t xml:space="preserve"> to conduct financial viability analysis of the proposed product models</w:t>
      </w:r>
      <w:r>
        <w:rPr>
          <w:rFonts w:ascii="Times New Roman" w:eastAsia="Calibri" w:hAnsi="Times New Roman" w:cs="Times New Roman"/>
          <w:spacing w:val="-2"/>
          <w:sz w:val="24"/>
          <w:szCs w:val="24"/>
        </w:rPr>
        <w:t>; and provide feasible recommendations to the regulatory and supervisory authorities of Pakistan.</w:t>
      </w:r>
    </w:p>
    <w:p w14:paraId="7CF660ED" w14:textId="77777777" w:rsidR="007C3523" w:rsidRPr="007C3523" w:rsidRDefault="007C3523" w:rsidP="007C3523">
      <w:pPr>
        <w:spacing w:after="0" w:line="240" w:lineRule="auto"/>
        <w:jc w:val="both"/>
        <w:rPr>
          <w:rFonts w:ascii="Times New Roman" w:eastAsia="Calibri" w:hAnsi="Times New Roman" w:cs="Times New Roman"/>
          <w:spacing w:val="-2"/>
          <w:sz w:val="24"/>
          <w:szCs w:val="24"/>
        </w:rPr>
      </w:pPr>
    </w:p>
    <w:p w14:paraId="35A959A9" w14:textId="03F7A8E9" w:rsidR="007C3523" w:rsidRPr="007C3523" w:rsidRDefault="007C3523" w:rsidP="007C3523">
      <w:pPr>
        <w:numPr>
          <w:ilvl w:val="0"/>
          <w:numId w:val="22"/>
        </w:numPr>
        <w:spacing w:after="0" w:line="240" w:lineRule="auto"/>
        <w:jc w:val="both"/>
        <w:rPr>
          <w:rFonts w:ascii="Times New Roman" w:eastAsia="Calibri" w:hAnsi="Times New Roman" w:cs="Times New Roman"/>
          <w:spacing w:val="-2"/>
          <w:sz w:val="24"/>
          <w:szCs w:val="24"/>
        </w:rPr>
      </w:pPr>
      <w:r w:rsidRPr="007C3523">
        <w:rPr>
          <w:rFonts w:ascii="Times New Roman" w:eastAsia="Calibri" w:hAnsi="Times New Roman" w:cs="Times New Roman"/>
          <w:spacing w:val="-2"/>
          <w:sz w:val="24"/>
          <w:szCs w:val="24"/>
        </w:rPr>
        <w:t xml:space="preserve">List of all projects/assignments performed so far </w:t>
      </w:r>
      <w:r w:rsidR="0072139F">
        <w:rPr>
          <w:rFonts w:ascii="Times New Roman" w:eastAsia="Calibri" w:hAnsi="Times New Roman" w:cs="Times New Roman"/>
          <w:spacing w:val="-2"/>
          <w:sz w:val="24"/>
          <w:szCs w:val="24"/>
        </w:rPr>
        <w:t>directly relevant to the topic of this assignment</w:t>
      </w:r>
      <w:r w:rsidRPr="007C3523">
        <w:rPr>
          <w:rFonts w:ascii="Times New Roman" w:eastAsia="Calibri" w:hAnsi="Times New Roman" w:cs="Times New Roman"/>
          <w:spacing w:val="-2"/>
          <w:sz w:val="24"/>
          <w:szCs w:val="24"/>
        </w:rPr>
        <w:t>.</w:t>
      </w:r>
    </w:p>
    <w:p w14:paraId="3CE1732C" w14:textId="77777777" w:rsidR="007C3523" w:rsidRPr="007C3523" w:rsidRDefault="007C3523" w:rsidP="007C3523">
      <w:pPr>
        <w:spacing w:after="0" w:line="240" w:lineRule="auto"/>
        <w:jc w:val="both"/>
        <w:rPr>
          <w:rFonts w:ascii="Times New Roman" w:eastAsia="Calibri" w:hAnsi="Times New Roman" w:cs="Times New Roman"/>
          <w:spacing w:val="-2"/>
          <w:sz w:val="24"/>
          <w:szCs w:val="24"/>
        </w:rPr>
      </w:pPr>
    </w:p>
    <w:p w14:paraId="3E430E5B" w14:textId="57D40053" w:rsidR="007C3523" w:rsidRPr="007C3523" w:rsidRDefault="007C3523" w:rsidP="007C3523">
      <w:pPr>
        <w:spacing w:after="0" w:line="240" w:lineRule="auto"/>
        <w:jc w:val="both"/>
        <w:rPr>
          <w:rFonts w:ascii="Times New Roman" w:eastAsia="Calibri" w:hAnsi="Times New Roman" w:cs="Times New Roman"/>
          <w:spacing w:val="-2"/>
          <w:sz w:val="24"/>
          <w:szCs w:val="24"/>
        </w:rPr>
      </w:pPr>
      <w:r w:rsidRPr="007C3523">
        <w:rPr>
          <w:rFonts w:ascii="Times New Roman" w:eastAsia="Calibri" w:hAnsi="Times New Roman" w:cs="Times New Roman"/>
          <w:spacing w:val="-2"/>
          <w:sz w:val="24"/>
          <w:szCs w:val="24"/>
        </w:rPr>
        <w:t xml:space="preserve">The scoring criteria table is included in </w:t>
      </w:r>
      <w:r w:rsidR="0072139F">
        <w:rPr>
          <w:rFonts w:ascii="Times New Roman" w:eastAsia="Calibri" w:hAnsi="Times New Roman" w:cs="Times New Roman"/>
          <w:spacing w:val="-2"/>
          <w:sz w:val="24"/>
          <w:szCs w:val="24"/>
        </w:rPr>
        <w:t>Section 6</w:t>
      </w:r>
      <w:r w:rsidRPr="007C3523">
        <w:rPr>
          <w:rFonts w:ascii="Times New Roman" w:eastAsia="Calibri" w:hAnsi="Times New Roman" w:cs="Times New Roman"/>
          <w:spacing w:val="-2"/>
          <w:sz w:val="24"/>
          <w:szCs w:val="24"/>
        </w:rPr>
        <w:t xml:space="preserve"> of the attached ToR document</w:t>
      </w:r>
      <w:r w:rsidR="0072139F">
        <w:rPr>
          <w:rFonts w:ascii="Times New Roman" w:eastAsia="Calibri" w:hAnsi="Times New Roman" w:cs="Times New Roman"/>
          <w:spacing w:val="-2"/>
          <w:sz w:val="24"/>
          <w:szCs w:val="24"/>
        </w:rPr>
        <w:t>.</w:t>
      </w:r>
    </w:p>
    <w:p w14:paraId="56D0AC24" w14:textId="77777777" w:rsidR="007C3523" w:rsidRDefault="007C3523" w:rsidP="001839A0">
      <w:pPr>
        <w:spacing w:after="0" w:line="240" w:lineRule="auto"/>
        <w:jc w:val="both"/>
        <w:rPr>
          <w:rFonts w:ascii="Times New Roman" w:eastAsia="Calibri" w:hAnsi="Times New Roman" w:cs="Times New Roman"/>
          <w:spacing w:val="-2"/>
          <w:sz w:val="24"/>
          <w:szCs w:val="24"/>
        </w:rPr>
      </w:pPr>
    </w:p>
    <w:p w14:paraId="4378D80C" w14:textId="77777777" w:rsidR="001839A0" w:rsidRDefault="001839A0">
      <w:pPr>
        <w:spacing w:after="0" w:line="240" w:lineRule="auto"/>
        <w:jc w:val="both"/>
        <w:rPr>
          <w:rFonts w:ascii="Times New Roman" w:eastAsia="Calibri" w:hAnsi="Times New Roman" w:cs="Times New Roman"/>
          <w:spacing w:val="-2"/>
          <w:sz w:val="24"/>
          <w:szCs w:val="24"/>
        </w:rPr>
      </w:pPr>
    </w:p>
    <w:p w14:paraId="083B6A00" w14:textId="6B3D1C3E"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The </w:t>
      </w:r>
      <w:r w:rsidR="001839A0">
        <w:rPr>
          <w:rFonts w:ascii="Times New Roman" w:eastAsia="Calibri" w:hAnsi="Times New Roman" w:cs="Times New Roman"/>
          <w:spacing w:val="-2"/>
          <w:sz w:val="24"/>
          <w:szCs w:val="24"/>
        </w:rPr>
        <w:t xml:space="preserve">consultant </w:t>
      </w:r>
      <w:r>
        <w:rPr>
          <w:rFonts w:ascii="Times New Roman" w:eastAsia="Calibri" w:hAnsi="Times New Roman" w:cs="Times New Roman"/>
          <w:spacing w:val="-2"/>
          <w:sz w:val="24"/>
          <w:szCs w:val="24"/>
        </w:rPr>
        <w:t xml:space="preserve">should demonstrate capabilities and experience in delivering the expectations outlined in the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4CC0151E" w14:textId="6DADCB06" w:rsidR="00566FAB" w:rsidRPr="00FE0311" w:rsidRDefault="00AB633B" w:rsidP="001839A0">
      <w:pPr>
        <w:suppressAutoHyphens/>
        <w:spacing w:after="0" w:line="240" w:lineRule="auto"/>
        <w:jc w:val="both"/>
        <w:rPr>
          <w:rFonts w:ascii="Times New Roman" w:eastAsia="Calibri" w:hAnsi="Times New Roman" w:cs="Times New Roman"/>
          <w:spacing w:val="-2"/>
          <w:sz w:val="24"/>
          <w:szCs w:val="24"/>
        </w:rPr>
      </w:pPr>
      <w:r w:rsidRPr="00777B18">
        <w:rPr>
          <w:rFonts w:asciiTheme="majorBidi" w:eastAsia="Calibri" w:hAnsiTheme="majorBidi" w:cstheme="majorBidi"/>
          <w:spacing w:val="-2"/>
          <w:sz w:val="24"/>
          <w:szCs w:val="24"/>
        </w:rPr>
        <w:t xml:space="preserve">A consultant will be selected in accordance with the </w:t>
      </w:r>
      <w:r w:rsidR="001839A0">
        <w:rPr>
          <w:rFonts w:asciiTheme="majorBidi" w:eastAsia="Calibri" w:hAnsiTheme="majorBidi" w:cstheme="majorBidi"/>
          <w:spacing w:val="-2"/>
          <w:sz w:val="24"/>
          <w:szCs w:val="24"/>
        </w:rPr>
        <w:t>Individual Consultant Selection</w:t>
      </w:r>
      <w:r w:rsidRPr="00777B18">
        <w:rPr>
          <w:rFonts w:asciiTheme="majorBidi" w:eastAsia="Calibri" w:hAnsiTheme="majorBidi" w:cstheme="majorBidi"/>
          <w:spacing w:val="-2"/>
          <w:sz w:val="24"/>
          <w:szCs w:val="24"/>
        </w:rPr>
        <w:t xml:space="preserve"> method as set out in the Procurement Guidelines.</w:t>
      </w:r>
      <w:r w:rsidR="001839A0" w:rsidRPr="001839A0">
        <w:rPr>
          <w:rFonts w:ascii="Times New Roman" w:eastAsia="Times New Roman" w:hAnsi="Times New Roman" w:cs="Times New Roman"/>
          <w:szCs w:val="24"/>
        </w:rPr>
        <w:t xml:space="preserve"> </w:t>
      </w:r>
      <w:r w:rsidR="001839A0" w:rsidRPr="001839A0">
        <w:rPr>
          <w:rFonts w:asciiTheme="majorBidi" w:eastAsia="Calibri" w:hAnsiTheme="majorBidi" w:cstheme="majorBidi"/>
          <w:spacing w:val="-2"/>
          <w:sz w:val="24"/>
          <w:szCs w:val="24"/>
        </w:rPr>
        <w:t>The highest scoring consultant will be awarded the contract for the assignment</w:t>
      </w:r>
      <w:r w:rsidR="001839A0">
        <w:rPr>
          <w:rFonts w:asciiTheme="majorBidi" w:eastAsia="Calibri" w:hAnsiTheme="majorBidi" w:cstheme="majorBidi"/>
          <w:spacing w:val="-2"/>
          <w:sz w:val="24"/>
          <w:szCs w:val="24"/>
        </w:rPr>
        <w:t xml:space="preserve"> as per the scoring criteria in the TOR in </w:t>
      </w:r>
      <w:r w:rsidR="001839A0" w:rsidRPr="001839A0">
        <w:rPr>
          <w:rFonts w:asciiTheme="majorBidi" w:eastAsia="Calibri" w:hAnsiTheme="majorBidi" w:cstheme="majorBidi"/>
          <w:b/>
          <w:bCs/>
          <w:spacing w:val="-2"/>
          <w:sz w:val="24"/>
          <w:szCs w:val="24"/>
        </w:rPr>
        <w:t>Annex 1</w:t>
      </w:r>
      <w:r w:rsidR="001839A0">
        <w:rPr>
          <w:rFonts w:asciiTheme="majorBidi" w:eastAsia="Calibri" w:hAnsiTheme="majorBidi" w:cstheme="majorBidi"/>
          <w:spacing w:val="-2"/>
          <w:sz w:val="24"/>
          <w:szCs w:val="24"/>
        </w:rPr>
        <w:t>.</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1A48EA56" w14:textId="11C26EAD" w:rsidR="0072139F" w:rsidRPr="0072139F" w:rsidRDefault="0072139F" w:rsidP="0072139F">
      <w:pPr>
        <w:suppressAutoHyphens/>
        <w:spacing w:after="0" w:line="240" w:lineRule="auto"/>
        <w:jc w:val="both"/>
        <w:rPr>
          <w:rFonts w:asciiTheme="majorBidi" w:eastAsia="Calibri" w:hAnsiTheme="majorBidi" w:cstheme="majorBidi"/>
          <w:spacing w:val="-2"/>
          <w:sz w:val="24"/>
          <w:szCs w:val="24"/>
        </w:rPr>
      </w:pPr>
      <w:r w:rsidRPr="0072139F">
        <w:rPr>
          <w:rFonts w:asciiTheme="majorBidi" w:eastAsia="Calibri" w:hAnsiTheme="majorBidi" w:cstheme="majorBidi"/>
          <w:spacing w:val="-2"/>
          <w:sz w:val="24"/>
          <w:szCs w:val="24"/>
        </w:rPr>
        <w:t>The Individual Consultant may be an independent freelancer or associated or affiliated with a</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Consultant Firm, an academic institution, a government or an international agency. The same should be clearly indicated in the EOI</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Serving employees of such firm/agency/organization should apply through proper channel by obtaining NOC from their employer. Failing to produce NOC</w:t>
      </w:r>
      <w:r>
        <w:rPr>
          <w:rFonts w:asciiTheme="majorBidi" w:eastAsia="Calibri" w:hAnsiTheme="majorBidi" w:cstheme="majorBidi"/>
          <w:spacing w:val="-2"/>
          <w:sz w:val="24"/>
          <w:szCs w:val="24"/>
        </w:rPr>
        <w:t xml:space="preserve"> </w:t>
      </w:r>
      <w:r w:rsidRPr="0072139F">
        <w:rPr>
          <w:rFonts w:asciiTheme="majorBidi" w:eastAsia="Calibri" w:hAnsiTheme="majorBidi" w:cstheme="majorBidi"/>
          <w:spacing w:val="-2"/>
          <w:sz w:val="24"/>
          <w:szCs w:val="24"/>
        </w:rPr>
        <w:t>will lead to dis-qualification.</w:t>
      </w:r>
    </w:p>
    <w:p w14:paraId="7DF1AA1A" w14:textId="77777777" w:rsidR="0072139F" w:rsidRDefault="0072139F" w:rsidP="00234B32">
      <w:pPr>
        <w:suppressAutoHyphens/>
        <w:spacing w:after="0" w:line="240" w:lineRule="auto"/>
        <w:jc w:val="both"/>
        <w:rPr>
          <w:rFonts w:asciiTheme="majorBidi" w:eastAsia="Calibri" w:hAnsiTheme="majorBidi" w:cstheme="majorBidi"/>
          <w:spacing w:val="-2"/>
          <w:sz w:val="24"/>
          <w:szCs w:val="24"/>
        </w:rPr>
      </w:pPr>
    </w:p>
    <w:p w14:paraId="7C98A1E8" w14:textId="77777777" w:rsidR="0072139F" w:rsidRDefault="0072139F" w:rsidP="00234B32">
      <w:pPr>
        <w:suppressAutoHyphens/>
        <w:spacing w:after="0" w:line="240" w:lineRule="auto"/>
        <w:jc w:val="both"/>
        <w:rPr>
          <w:rFonts w:asciiTheme="majorBidi" w:eastAsia="Calibri" w:hAnsiTheme="majorBidi" w:cstheme="majorBidi"/>
          <w:spacing w:val="-2"/>
          <w:sz w:val="24"/>
          <w:szCs w:val="24"/>
        </w:rPr>
      </w:pPr>
    </w:p>
    <w:p w14:paraId="413C34CE" w14:textId="76E302DC"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172B5203" w:rsidR="00E95475" w:rsidRPr="00FE0311" w:rsidRDefault="00E95475" w:rsidP="00F179C4">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Expressions of interest</w:t>
      </w:r>
      <w:r w:rsidR="001839A0">
        <w:rPr>
          <w:rFonts w:asciiTheme="majorBidi" w:eastAsia="Calibri" w:hAnsiTheme="majorBidi" w:cstheme="majorBidi"/>
          <w:spacing w:val="-2"/>
          <w:sz w:val="24"/>
          <w:szCs w:val="24"/>
        </w:rPr>
        <w:t>, along with detailed CV and proof of relevant experiences,</w:t>
      </w:r>
      <w:r w:rsidRPr="00FE0311">
        <w:rPr>
          <w:rFonts w:asciiTheme="majorBidi" w:eastAsia="Calibri" w:hAnsiTheme="majorBidi" w:cstheme="majorBidi"/>
          <w:spacing w:val="-2"/>
          <w:sz w:val="24"/>
          <w:szCs w:val="24"/>
        </w:rPr>
        <w:t xml:space="preserve"> must be delivered in a</w:t>
      </w:r>
      <w:r w:rsidR="007963AE">
        <w:rPr>
          <w:rFonts w:asciiTheme="majorBidi" w:eastAsia="Calibri" w:hAnsiTheme="majorBidi" w:cstheme="majorBidi"/>
          <w:spacing w:val="-2"/>
          <w:sz w:val="24"/>
          <w:szCs w:val="24"/>
        </w:rPr>
        <w:t xml:space="preserve">n electronic </w:t>
      </w:r>
      <w:r w:rsidRPr="00FE0311">
        <w:rPr>
          <w:rFonts w:asciiTheme="majorBidi" w:eastAsia="Calibri" w:hAnsiTheme="majorBidi" w:cstheme="majorBidi"/>
          <w:spacing w:val="-2"/>
          <w:sz w:val="24"/>
          <w:szCs w:val="24"/>
        </w:rPr>
        <w:t xml:space="preserve">form to the address below (by e-mail) by </w:t>
      </w:r>
      <w:r w:rsidRPr="00602BA3">
        <w:rPr>
          <w:rFonts w:asciiTheme="majorBidi" w:eastAsia="Calibri" w:hAnsiTheme="majorBidi" w:cstheme="majorBidi"/>
          <w:spacing w:val="-2"/>
          <w:sz w:val="24"/>
          <w:szCs w:val="24"/>
        </w:rPr>
        <w:t xml:space="preserve">date </w:t>
      </w:r>
      <w:r w:rsidR="00F179C4">
        <w:rPr>
          <w:rFonts w:asciiTheme="majorBidi" w:eastAsia="Calibri" w:hAnsiTheme="majorBidi" w:cstheme="majorBidi"/>
          <w:b/>
          <w:bCs/>
          <w:spacing w:val="-2"/>
          <w:sz w:val="24"/>
          <w:szCs w:val="24"/>
          <w:u w:val="single"/>
        </w:rPr>
        <w:t>10</w:t>
      </w:r>
      <w:r w:rsidR="00274602" w:rsidRPr="00602BA3">
        <w:rPr>
          <w:rFonts w:asciiTheme="majorBidi" w:eastAsia="Calibri" w:hAnsiTheme="majorBidi" w:cstheme="majorBidi"/>
          <w:b/>
          <w:bCs/>
          <w:spacing w:val="-2"/>
          <w:sz w:val="24"/>
          <w:szCs w:val="24"/>
          <w:u w:val="single"/>
        </w:rPr>
        <w:t xml:space="preserve"> </w:t>
      </w:r>
      <w:r w:rsidR="00F179C4">
        <w:rPr>
          <w:rFonts w:asciiTheme="majorBidi" w:eastAsia="Calibri" w:hAnsiTheme="majorBidi" w:cstheme="majorBidi"/>
          <w:b/>
          <w:bCs/>
          <w:spacing w:val="-2"/>
          <w:sz w:val="24"/>
          <w:szCs w:val="24"/>
          <w:u w:val="single"/>
        </w:rPr>
        <w:t>April</w:t>
      </w:r>
      <w:r w:rsidR="00274602">
        <w:rPr>
          <w:rFonts w:asciiTheme="majorBidi" w:eastAsia="Calibri" w:hAnsiTheme="majorBidi" w:cstheme="majorBidi"/>
          <w:b/>
          <w:bCs/>
          <w:spacing w:val="-2"/>
          <w:sz w:val="24"/>
          <w:szCs w:val="24"/>
          <w:u w:val="single"/>
        </w:rPr>
        <w:t xml:space="preserve"> </w:t>
      </w:r>
      <w:r w:rsidR="001839A0">
        <w:rPr>
          <w:rFonts w:asciiTheme="majorBidi" w:eastAsia="Calibri" w:hAnsiTheme="majorBidi" w:cstheme="majorBidi"/>
          <w:b/>
          <w:bCs/>
          <w:spacing w:val="-2"/>
          <w:sz w:val="24"/>
          <w:szCs w:val="24"/>
          <w:u w:val="single"/>
        </w:rPr>
        <w:t>202</w:t>
      </w:r>
      <w:r w:rsidR="00F179C4">
        <w:rPr>
          <w:rFonts w:asciiTheme="majorBidi" w:eastAsia="Calibri" w:hAnsiTheme="majorBidi" w:cstheme="majorBidi"/>
          <w:b/>
          <w:bCs/>
          <w:spacing w:val="-2"/>
          <w:sz w:val="24"/>
          <w:szCs w:val="24"/>
          <w:u w:val="single"/>
        </w:rPr>
        <w:t>5</w:t>
      </w:r>
      <w:r w:rsidR="00541E3A" w:rsidRPr="00602BA3">
        <w:rPr>
          <w:rFonts w:asciiTheme="majorBidi" w:eastAsia="Calibri" w:hAnsiTheme="majorBidi" w:cstheme="majorBidi"/>
          <w:spacing w:val="-2"/>
          <w:sz w:val="24"/>
          <w:szCs w:val="24"/>
        </w:rPr>
        <w:t>.</w:t>
      </w:r>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Al </w:t>
      </w:r>
      <w:proofErr w:type="spellStart"/>
      <w:r w:rsidRPr="00FE0311">
        <w:rPr>
          <w:rFonts w:asciiTheme="majorBidi" w:eastAsia="Calibri" w:hAnsiTheme="majorBidi" w:cstheme="majorBidi"/>
          <w:spacing w:val="-2"/>
          <w:sz w:val="24"/>
          <w:szCs w:val="24"/>
        </w:rPr>
        <w:t>Nuzlah</w:t>
      </w:r>
      <w:proofErr w:type="spellEnd"/>
      <w:r w:rsidRPr="00FE0311">
        <w:rPr>
          <w:rFonts w:asciiTheme="majorBidi" w:eastAsia="Calibri" w:hAnsiTheme="majorBidi" w:cstheme="majorBidi"/>
          <w:spacing w:val="-2"/>
          <w:sz w:val="24"/>
          <w:szCs w:val="24"/>
        </w:rPr>
        <w:t xml:space="preserve"> Al </w:t>
      </w:r>
      <w:proofErr w:type="spellStart"/>
      <w:r w:rsidRPr="00FE0311">
        <w:rPr>
          <w:rFonts w:asciiTheme="majorBidi" w:eastAsia="Calibri" w:hAnsiTheme="majorBidi" w:cstheme="majorBidi"/>
          <w:spacing w:val="-2"/>
          <w:sz w:val="24"/>
          <w:szCs w:val="24"/>
        </w:rPr>
        <w:t>Yamania</w:t>
      </w:r>
      <w:proofErr w:type="spellEnd"/>
      <w:r w:rsidRPr="00FE0311">
        <w:rPr>
          <w:rFonts w:asciiTheme="majorBidi" w:eastAsia="Calibri" w:hAnsiTheme="majorBidi" w:cstheme="majorBidi"/>
          <w:spacing w:val="-2"/>
          <w:sz w:val="24"/>
          <w:szCs w:val="24"/>
        </w:rPr>
        <w:t xml:space="preserve">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9A1415B" w14:textId="2C4ED0A0"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Office: </w:t>
      </w:r>
      <w:r w:rsidRPr="00FE0311">
        <w:rPr>
          <w:rFonts w:asciiTheme="majorBidi" w:eastAsia="Calibri" w:hAnsiTheme="majorBidi" w:cstheme="majorBidi"/>
          <w:spacing w:val="-2"/>
          <w:sz w:val="24"/>
          <w:szCs w:val="24"/>
        </w:rPr>
        <w:tab/>
      </w:r>
      <w:r w:rsidR="00560552" w:rsidRPr="00FE0311">
        <w:rPr>
          <w:rFonts w:asciiTheme="majorBidi" w:eastAsia="Calibri" w:hAnsiTheme="majorBidi" w:cstheme="majorBidi"/>
          <w:spacing w:val="-2"/>
          <w:sz w:val="24"/>
          <w:szCs w:val="24"/>
        </w:rPr>
        <w:t>+966 12 646 654</w:t>
      </w:r>
      <w:r w:rsidR="00BA0CC9">
        <w:rPr>
          <w:rFonts w:asciiTheme="majorBidi" w:eastAsia="Calibri" w:hAnsiTheme="majorBidi" w:cstheme="majorBidi"/>
          <w:spacing w:val="-2"/>
          <w:sz w:val="24"/>
          <w:szCs w:val="24"/>
        </w:rPr>
        <w:t>3</w:t>
      </w:r>
    </w:p>
    <w:p w14:paraId="34FA767E" w14:textId="77777777" w:rsidR="001839A0" w:rsidRDefault="00E95475" w:rsidP="00E95475">
      <w:pPr>
        <w:suppressAutoHyphens/>
        <w:spacing w:after="0" w:line="240" w:lineRule="auto"/>
        <w:jc w:val="both"/>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001839A0" w:rsidRPr="00E84859">
          <w:rPr>
            <w:rStyle w:val="Hyperlink"/>
          </w:rPr>
          <w:t>isdbinstitute@isdb.org</w:t>
        </w:r>
      </w:hyperlink>
      <w:r w:rsidR="001839A0">
        <w:t xml:space="preserve"> </w:t>
      </w:r>
    </w:p>
    <w:p w14:paraId="28DCA1C0" w14:textId="5D537AF2" w:rsidR="009623FD" w:rsidRPr="00566FAB" w:rsidRDefault="001839A0" w:rsidP="00274602">
      <w:pPr>
        <w:suppressAutoHyphens/>
        <w:spacing w:after="0" w:line="240" w:lineRule="auto"/>
        <w:jc w:val="both"/>
        <w:rPr>
          <w:rFonts w:ascii="Times New Roman" w:eastAsia="Calibri" w:hAnsi="Times New Roman" w:cs="Times New Roman"/>
          <w:spacing w:val="-2"/>
          <w:sz w:val="24"/>
          <w:szCs w:val="24"/>
        </w:rPr>
      </w:pPr>
      <w:r>
        <w:t xml:space="preserve">                      CC: </w:t>
      </w:r>
      <w:hyperlink r:id="rId9" w:tgtFrame="_blank" w:tooltip="mailto:info@isdbinstitute.org" w:history="1">
        <w:r w:rsidR="00274602" w:rsidRPr="00274602">
          <w:rPr>
            <w:rStyle w:val="Hyperlink"/>
          </w:rPr>
          <w:t>info@isdbinstitute.org</w:t>
        </w:r>
      </w:hyperlink>
      <w:r w:rsidR="00274602" w:rsidRPr="00274602">
        <w:t> </w:t>
      </w: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53E3" w14:textId="77777777" w:rsidR="002C2378" w:rsidRDefault="002C2378" w:rsidP="009028A1">
      <w:pPr>
        <w:spacing w:after="0" w:line="240" w:lineRule="auto"/>
      </w:pPr>
      <w:r>
        <w:separator/>
      </w:r>
    </w:p>
  </w:endnote>
  <w:endnote w:type="continuationSeparator" w:id="0">
    <w:p w14:paraId="1897FCDB" w14:textId="77777777" w:rsidR="002C2378" w:rsidRDefault="002C2378"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ADF9" w14:textId="77777777" w:rsidR="002C2378" w:rsidRDefault="002C2378" w:rsidP="009028A1">
      <w:pPr>
        <w:spacing w:after="0" w:line="240" w:lineRule="auto"/>
      </w:pPr>
      <w:r>
        <w:separator/>
      </w:r>
    </w:p>
  </w:footnote>
  <w:footnote w:type="continuationSeparator" w:id="0">
    <w:p w14:paraId="5135F448" w14:textId="77777777" w:rsidR="002C2378" w:rsidRDefault="002C2378" w:rsidP="0090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DF0FFE"/>
    <w:multiLevelType w:val="hybridMultilevel"/>
    <w:tmpl w:val="451E23E4"/>
    <w:lvl w:ilvl="0" w:tplc="4BA8EA0C">
      <w:start w:val="1"/>
      <w:numFmt w:val="lowerRoman"/>
      <w:lvlText w:val="%1."/>
      <w:lvlJc w:val="right"/>
      <w:pPr>
        <w:tabs>
          <w:tab w:val="num" w:pos="720"/>
        </w:tabs>
        <w:ind w:left="720" w:hanging="360"/>
      </w:pPr>
      <w:rPr>
        <w:b w:val="0"/>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729E8"/>
    <w:multiLevelType w:val="hybridMultilevel"/>
    <w:tmpl w:val="B6A2F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9B43B8"/>
    <w:multiLevelType w:val="hybridMultilevel"/>
    <w:tmpl w:val="563CB0E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ED1DF8"/>
    <w:multiLevelType w:val="hybridMultilevel"/>
    <w:tmpl w:val="F91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4"/>
  </w:num>
  <w:num w:numId="2" w16cid:durableId="1106269992">
    <w:abstractNumId w:val="19"/>
  </w:num>
  <w:num w:numId="3" w16cid:durableId="113256760">
    <w:abstractNumId w:val="11"/>
  </w:num>
  <w:num w:numId="4" w16cid:durableId="894043223">
    <w:abstractNumId w:val="7"/>
  </w:num>
  <w:num w:numId="5" w16cid:durableId="1815412972">
    <w:abstractNumId w:val="16"/>
  </w:num>
  <w:num w:numId="6" w16cid:durableId="1690256797">
    <w:abstractNumId w:val="12"/>
  </w:num>
  <w:num w:numId="7" w16cid:durableId="131600041">
    <w:abstractNumId w:val="0"/>
  </w:num>
  <w:num w:numId="8" w16cid:durableId="1865166170">
    <w:abstractNumId w:val="3"/>
  </w:num>
  <w:num w:numId="9" w16cid:durableId="1623459367">
    <w:abstractNumId w:val="17"/>
  </w:num>
  <w:num w:numId="10" w16cid:durableId="874655860">
    <w:abstractNumId w:val="10"/>
  </w:num>
  <w:num w:numId="11" w16cid:durableId="1836190896">
    <w:abstractNumId w:val="6"/>
  </w:num>
  <w:num w:numId="12" w16cid:durableId="1393115799">
    <w:abstractNumId w:val="15"/>
  </w:num>
  <w:num w:numId="13" w16cid:durableId="299382288">
    <w:abstractNumId w:val="5"/>
  </w:num>
  <w:num w:numId="14" w16cid:durableId="2140414656">
    <w:abstractNumId w:val="21"/>
  </w:num>
  <w:num w:numId="15" w16cid:durableId="1782408723">
    <w:abstractNumId w:val="9"/>
  </w:num>
  <w:num w:numId="16" w16cid:durableId="1529175966">
    <w:abstractNumId w:val="14"/>
  </w:num>
  <w:num w:numId="17" w16cid:durableId="1502039729">
    <w:abstractNumId w:val="20"/>
  </w:num>
  <w:num w:numId="18" w16cid:durableId="1375739704">
    <w:abstractNumId w:val="8"/>
  </w:num>
  <w:num w:numId="19" w16cid:durableId="2121679663">
    <w:abstractNumId w:val="13"/>
  </w:num>
  <w:num w:numId="20" w16cid:durableId="1480071299">
    <w:abstractNumId w:val="18"/>
  </w:num>
  <w:num w:numId="21" w16cid:durableId="626008637">
    <w:abstractNumId w:val="2"/>
  </w:num>
  <w:num w:numId="22" w16cid:durableId="103607915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3E6D"/>
    <w:rsid w:val="000261CF"/>
    <w:rsid w:val="00075329"/>
    <w:rsid w:val="000C5563"/>
    <w:rsid w:val="000E1094"/>
    <w:rsid w:val="00100CAB"/>
    <w:rsid w:val="00105E78"/>
    <w:rsid w:val="001135CA"/>
    <w:rsid w:val="00181E09"/>
    <w:rsid w:val="001839A0"/>
    <w:rsid w:val="001A7997"/>
    <w:rsid w:val="001B32F4"/>
    <w:rsid w:val="001E39E5"/>
    <w:rsid w:val="0022692F"/>
    <w:rsid w:val="00234B32"/>
    <w:rsid w:val="00236166"/>
    <w:rsid w:val="00236989"/>
    <w:rsid w:val="00237CDD"/>
    <w:rsid w:val="00240E42"/>
    <w:rsid w:val="00253E21"/>
    <w:rsid w:val="00274602"/>
    <w:rsid w:val="002A0325"/>
    <w:rsid w:val="002A15E3"/>
    <w:rsid w:val="002A3A0A"/>
    <w:rsid w:val="002A6172"/>
    <w:rsid w:val="002C2378"/>
    <w:rsid w:val="003079E3"/>
    <w:rsid w:val="00322BF5"/>
    <w:rsid w:val="00332679"/>
    <w:rsid w:val="0037498A"/>
    <w:rsid w:val="00375860"/>
    <w:rsid w:val="00380379"/>
    <w:rsid w:val="0038432F"/>
    <w:rsid w:val="00385AE8"/>
    <w:rsid w:val="0039321B"/>
    <w:rsid w:val="003A773E"/>
    <w:rsid w:val="003C7FBB"/>
    <w:rsid w:val="003D239F"/>
    <w:rsid w:val="003D78CE"/>
    <w:rsid w:val="003F25C6"/>
    <w:rsid w:val="00447164"/>
    <w:rsid w:val="0049771A"/>
    <w:rsid w:val="004E1729"/>
    <w:rsid w:val="004F56B6"/>
    <w:rsid w:val="00511110"/>
    <w:rsid w:val="00541E3A"/>
    <w:rsid w:val="0055353B"/>
    <w:rsid w:val="00560552"/>
    <w:rsid w:val="00565D92"/>
    <w:rsid w:val="00566FAB"/>
    <w:rsid w:val="0059575D"/>
    <w:rsid w:val="005E21C5"/>
    <w:rsid w:val="00602BA3"/>
    <w:rsid w:val="00603B49"/>
    <w:rsid w:val="00620F64"/>
    <w:rsid w:val="00630F05"/>
    <w:rsid w:val="0067463C"/>
    <w:rsid w:val="00677EAE"/>
    <w:rsid w:val="006927F1"/>
    <w:rsid w:val="006A3C71"/>
    <w:rsid w:val="006C15BB"/>
    <w:rsid w:val="006F641B"/>
    <w:rsid w:val="0072139F"/>
    <w:rsid w:val="00737A6D"/>
    <w:rsid w:val="007454E7"/>
    <w:rsid w:val="00760BC1"/>
    <w:rsid w:val="00777B18"/>
    <w:rsid w:val="00795C41"/>
    <w:rsid w:val="007963AE"/>
    <w:rsid w:val="007C3523"/>
    <w:rsid w:val="007C4DDD"/>
    <w:rsid w:val="008165C0"/>
    <w:rsid w:val="008341C6"/>
    <w:rsid w:val="0085719F"/>
    <w:rsid w:val="00865A51"/>
    <w:rsid w:val="00867830"/>
    <w:rsid w:val="00882AFA"/>
    <w:rsid w:val="008A43DD"/>
    <w:rsid w:val="008B5164"/>
    <w:rsid w:val="009028A1"/>
    <w:rsid w:val="00910966"/>
    <w:rsid w:val="00927E74"/>
    <w:rsid w:val="009623FD"/>
    <w:rsid w:val="009803B1"/>
    <w:rsid w:val="009A4687"/>
    <w:rsid w:val="009E0879"/>
    <w:rsid w:val="009E1F08"/>
    <w:rsid w:val="00A01795"/>
    <w:rsid w:val="00A37021"/>
    <w:rsid w:val="00A42A5E"/>
    <w:rsid w:val="00A54278"/>
    <w:rsid w:val="00A80CC4"/>
    <w:rsid w:val="00AB2F3B"/>
    <w:rsid w:val="00AB633B"/>
    <w:rsid w:val="00AC4A48"/>
    <w:rsid w:val="00AD3A53"/>
    <w:rsid w:val="00B30092"/>
    <w:rsid w:val="00B61B30"/>
    <w:rsid w:val="00B67203"/>
    <w:rsid w:val="00B70F77"/>
    <w:rsid w:val="00B96761"/>
    <w:rsid w:val="00BA0CC9"/>
    <w:rsid w:val="00BA392F"/>
    <w:rsid w:val="00BA5D2B"/>
    <w:rsid w:val="00BA7A4A"/>
    <w:rsid w:val="00BC6BA6"/>
    <w:rsid w:val="00BD1148"/>
    <w:rsid w:val="00BE2F6B"/>
    <w:rsid w:val="00C02076"/>
    <w:rsid w:val="00C15752"/>
    <w:rsid w:val="00C329AE"/>
    <w:rsid w:val="00C57368"/>
    <w:rsid w:val="00C6111F"/>
    <w:rsid w:val="00C73E34"/>
    <w:rsid w:val="00CA093D"/>
    <w:rsid w:val="00CB73A8"/>
    <w:rsid w:val="00CC0040"/>
    <w:rsid w:val="00CC0F45"/>
    <w:rsid w:val="00CD4E01"/>
    <w:rsid w:val="00CF4D2B"/>
    <w:rsid w:val="00D05512"/>
    <w:rsid w:val="00D166F7"/>
    <w:rsid w:val="00D57D8D"/>
    <w:rsid w:val="00D6104A"/>
    <w:rsid w:val="00D61443"/>
    <w:rsid w:val="00DA04D5"/>
    <w:rsid w:val="00DF00D9"/>
    <w:rsid w:val="00E13942"/>
    <w:rsid w:val="00E45A71"/>
    <w:rsid w:val="00E735E3"/>
    <w:rsid w:val="00E738A5"/>
    <w:rsid w:val="00E92ABC"/>
    <w:rsid w:val="00E95475"/>
    <w:rsid w:val="00EA537C"/>
    <w:rsid w:val="00ED0ADB"/>
    <w:rsid w:val="00F179C4"/>
    <w:rsid w:val="00F30279"/>
    <w:rsid w:val="00F4749B"/>
    <w:rsid w:val="00F538FD"/>
    <w:rsid w:val="00F60E0B"/>
    <w:rsid w:val="00F62198"/>
    <w:rsid w:val="00FC60DB"/>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202343">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871957528">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isdb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758</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11</cp:revision>
  <cp:lastPrinted>2019-03-25T05:15:00Z</cp:lastPrinted>
  <dcterms:created xsi:type="dcterms:W3CDTF">2024-09-10T05:55:00Z</dcterms:created>
  <dcterms:modified xsi:type="dcterms:W3CDTF">2025-03-10T07:17:00Z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ies>
</file>