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B5A" w14:textId="77777777" w:rsidR="00575A69" w:rsidRDefault="003868B3" w:rsidP="00B649E8">
      <w:pPr>
        <w:rPr>
          <w:rFonts w:ascii="Times New Roman" w:hAnsi="Times New Roman"/>
          <w:bCs/>
          <w:sz w:val="24"/>
          <w:szCs w:val="24"/>
        </w:rPr>
      </w:pPr>
      <w:bookmarkStart w:id="0" w:name="_Hlk167717138"/>
      <w:r w:rsidRPr="00465D78">
        <w:rPr>
          <w:rFonts w:ascii="Times New Roman" w:hAnsi="Times New Roman"/>
          <w:bCs/>
          <w:sz w:val="24"/>
          <w:szCs w:val="24"/>
        </w:rPr>
        <w:t xml:space="preserve">          </w:t>
      </w:r>
      <w:bookmarkEnd w:id="0"/>
      <w:r w:rsidR="00B649E8">
        <w:rPr>
          <w:rFonts w:ascii="Times New Roman" w:hAnsi="Times New Roman"/>
          <w:bCs/>
          <w:sz w:val="24"/>
          <w:szCs w:val="24"/>
        </w:rPr>
        <w:tab/>
      </w:r>
      <w:r w:rsidR="00B649E8">
        <w:rPr>
          <w:rFonts w:ascii="Times New Roman" w:hAnsi="Times New Roman"/>
          <w:bCs/>
          <w:sz w:val="24"/>
          <w:szCs w:val="24"/>
        </w:rPr>
        <w:tab/>
      </w:r>
      <w:r w:rsidR="00B649E8">
        <w:rPr>
          <w:rFonts w:ascii="Times New Roman" w:hAnsi="Times New Roman"/>
          <w:bCs/>
          <w:sz w:val="24"/>
          <w:szCs w:val="24"/>
        </w:rPr>
        <w:tab/>
      </w:r>
      <w:r w:rsidR="00B649E8">
        <w:rPr>
          <w:rFonts w:ascii="Times New Roman" w:hAnsi="Times New Roman"/>
          <w:bCs/>
          <w:sz w:val="24"/>
          <w:szCs w:val="24"/>
        </w:rPr>
        <w:tab/>
      </w:r>
    </w:p>
    <w:p w14:paraId="5FC7D80C" w14:textId="77777777" w:rsidR="00B649E8" w:rsidRPr="00FC7504" w:rsidRDefault="00B649E8" w:rsidP="0065194D">
      <w:pPr>
        <w:spacing w:before="240"/>
        <w:ind w:left="2121" w:firstLine="708"/>
        <w:rPr>
          <w:rFonts w:ascii="Times New Roman" w:hAnsi="Times New Roman"/>
          <w:b/>
          <w:sz w:val="24"/>
          <w:szCs w:val="24"/>
        </w:rPr>
      </w:pPr>
      <w:r w:rsidRPr="00FC7504">
        <w:rPr>
          <w:rFonts w:ascii="Times New Roman" w:hAnsi="Times New Roman"/>
          <w:b/>
          <w:sz w:val="24"/>
          <w:szCs w:val="24"/>
        </w:rPr>
        <w:t>N° : ………………………………</w:t>
      </w:r>
      <w:proofErr w:type="gramStart"/>
      <w:r w:rsidRPr="00FC7504">
        <w:rPr>
          <w:rFonts w:ascii="Times New Roman" w:hAnsi="Times New Roman"/>
          <w:b/>
          <w:sz w:val="24"/>
          <w:szCs w:val="24"/>
        </w:rPr>
        <w:t>…….</w:t>
      </w:r>
      <w:proofErr w:type="gramEnd"/>
      <w:r w:rsidRPr="00FC7504">
        <w:rPr>
          <w:rFonts w:ascii="Times New Roman" w:hAnsi="Times New Roman"/>
          <w:b/>
          <w:sz w:val="24"/>
          <w:szCs w:val="24"/>
        </w:rPr>
        <w:t>./ADD/</w:t>
      </w:r>
      <w:proofErr w:type="spellStart"/>
      <w:r w:rsidR="00EF5B61" w:rsidRPr="00FC7504">
        <w:rPr>
          <w:rFonts w:ascii="Times New Roman" w:hAnsi="Times New Roman"/>
          <w:b/>
          <w:sz w:val="24"/>
          <w:szCs w:val="24"/>
        </w:rPr>
        <w:t>dht</w:t>
      </w:r>
      <w:proofErr w:type="spellEnd"/>
      <w:r w:rsidRPr="00FC7504">
        <w:rPr>
          <w:rFonts w:ascii="Times New Roman" w:hAnsi="Times New Roman"/>
          <w:b/>
          <w:sz w:val="24"/>
          <w:szCs w:val="24"/>
        </w:rPr>
        <w:t>/</w:t>
      </w:r>
      <w:proofErr w:type="spellStart"/>
      <w:r w:rsidRPr="00FC7504">
        <w:rPr>
          <w:rFonts w:ascii="Times New Roman" w:hAnsi="Times New Roman"/>
          <w:b/>
          <w:sz w:val="24"/>
          <w:szCs w:val="24"/>
        </w:rPr>
        <w:t>mdm</w:t>
      </w:r>
      <w:proofErr w:type="spellEnd"/>
    </w:p>
    <w:p w14:paraId="10B821B9" w14:textId="77777777" w:rsidR="00B649E8" w:rsidRPr="00FC7504" w:rsidRDefault="00B649E8" w:rsidP="00B649E8">
      <w:pPr>
        <w:spacing w:after="0" w:line="240" w:lineRule="auto"/>
        <w:ind w:left="2121" w:firstLine="708"/>
        <w:rPr>
          <w:rFonts w:ascii="Times New Roman" w:hAnsi="Times New Roman"/>
          <w:b/>
          <w:sz w:val="24"/>
          <w:szCs w:val="24"/>
        </w:rPr>
      </w:pPr>
    </w:p>
    <w:p w14:paraId="02F27620" w14:textId="77777777" w:rsidR="00B649E8" w:rsidRPr="00FC7504" w:rsidRDefault="00B649E8" w:rsidP="00B649E8">
      <w:pPr>
        <w:spacing w:after="0" w:line="240" w:lineRule="auto"/>
        <w:ind w:left="2121" w:firstLine="708"/>
        <w:rPr>
          <w:rFonts w:ascii="Times New Roman" w:hAnsi="Times New Roman"/>
          <w:sz w:val="24"/>
          <w:szCs w:val="24"/>
        </w:rPr>
      </w:pPr>
      <w:r w:rsidRPr="00FC7504">
        <w:rPr>
          <w:rFonts w:ascii="Times New Roman" w:hAnsi="Times New Roman"/>
          <w:sz w:val="24"/>
          <w:szCs w:val="24"/>
        </w:rPr>
        <w:t>Bamako, le………………………………………</w:t>
      </w:r>
    </w:p>
    <w:p w14:paraId="2AAA5AC8" w14:textId="77777777" w:rsidR="00B649E8" w:rsidRPr="00FC7504" w:rsidRDefault="00B649E8" w:rsidP="0065194D">
      <w:pPr>
        <w:spacing w:line="240" w:lineRule="auto"/>
        <w:ind w:left="2829" w:firstLine="709"/>
        <w:rPr>
          <w:rFonts w:ascii="Times New Roman" w:hAnsi="Times New Roman"/>
          <w:b/>
          <w:sz w:val="24"/>
          <w:szCs w:val="24"/>
        </w:rPr>
      </w:pPr>
    </w:p>
    <w:p w14:paraId="64696420" w14:textId="77777777" w:rsidR="00755ABD" w:rsidRPr="00755ABD" w:rsidRDefault="00755ABD" w:rsidP="0065194D">
      <w:pPr>
        <w:spacing w:line="240" w:lineRule="auto"/>
        <w:ind w:right="72"/>
        <w:jc w:val="center"/>
        <w:rPr>
          <w:rFonts w:ascii="CG Times" w:hAnsi="CG Times"/>
          <w:sz w:val="28"/>
          <w:szCs w:val="28"/>
        </w:rPr>
      </w:pPr>
      <w:r w:rsidRPr="00755ABD">
        <w:rPr>
          <w:rFonts w:ascii="CG Times" w:hAnsi="CG Times"/>
          <w:b/>
          <w:sz w:val="28"/>
          <w:szCs w:val="28"/>
        </w:rPr>
        <w:t>AVIS GENERAL DE PASSATION DES MARCHES (AGPM)</w:t>
      </w:r>
    </w:p>
    <w:p w14:paraId="3A331CAE" w14:textId="77777777" w:rsidR="00755ABD" w:rsidRPr="00755ABD" w:rsidRDefault="00755ABD" w:rsidP="00755ABD">
      <w:pPr>
        <w:spacing w:after="0" w:line="240" w:lineRule="auto"/>
        <w:ind w:right="72"/>
        <w:rPr>
          <w:rFonts w:ascii="CG Times" w:hAnsi="CG Times"/>
          <w:sz w:val="20"/>
          <w:szCs w:val="20"/>
        </w:rPr>
      </w:pPr>
    </w:p>
    <w:p w14:paraId="55E01F1E" w14:textId="77777777" w:rsidR="00755ABD" w:rsidRPr="00755ABD" w:rsidRDefault="00755ABD" w:rsidP="00755ABD">
      <w:pPr>
        <w:spacing w:after="0" w:line="240" w:lineRule="auto"/>
        <w:ind w:right="72"/>
        <w:rPr>
          <w:rFonts w:ascii="Times New Roman" w:hAnsi="Times New Roman"/>
          <w:b/>
          <w:bCs/>
          <w:iCs/>
          <w:sz w:val="24"/>
          <w:szCs w:val="24"/>
        </w:rPr>
      </w:pPr>
      <w:r w:rsidRPr="00755ABD">
        <w:rPr>
          <w:rFonts w:ascii="Times New Roman" w:hAnsi="Times New Roman"/>
          <w:b/>
          <w:bCs/>
          <w:iCs/>
          <w:sz w:val="24"/>
          <w:szCs w:val="24"/>
        </w:rPr>
        <w:t>Nom du Pays : République Du Mali</w:t>
      </w:r>
    </w:p>
    <w:p w14:paraId="1216AEEC" w14:textId="77777777" w:rsidR="00755ABD" w:rsidRPr="00755ABD" w:rsidRDefault="00755ABD" w:rsidP="00755ABD">
      <w:pPr>
        <w:spacing w:after="0" w:line="240" w:lineRule="auto"/>
        <w:ind w:right="72"/>
        <w:rPr>
          <w:rFonts w:ascii="Times New Roman" w:hAnsi="Times New Roman"/>
          <w:b/>
          <w:bCs/>
          <w:iCs/>
          <w:sz w:val="24"/>
          <w:szCs w:val="24"/>
        </w:rPr>
      </w:pPr>
      <w:r w:rsidRPr="00755ABD">
        <w:rPr>
          <w:rFonts w:ascii="Times New Roman" w:hAnsi="Times New Roman"/>
          <w:b/>
          <w:bCs/>
          <w:iCs/>
          <w:sz w:val="24"/>
          <w:szCs w:val="24"/>
        </w:rPr>
        <w:t xml:space="preserve">Nom du Projet : Projet Boucle Nord 225 </w:t>
      </w:r>
      <w:r w:rsidR="0065194D">
        <w:rPr>
          <w:rFonts w:ascii="Times New Roman" w:hAnsi="Times New Roman"/>
          <w:b/>
          <w:bCs/>
          <w:iCs/>
          <w:sz w:val="24"/>
          <w:szCs w:val="24"/>
        </w:rPr>
        <w:t>kV</w:t>
      </w:r>
      <w:r w:rsidRPr="00755ABD">
        <w:rPr>
          <w:rFonts w:ascii="Times New Roman" w:hAnsi="Times New Roman"/>
          <w:b/>
          <w:bCs/>
          <w:iCs/>
          <w:sz w:val="24"/>
          <w:szCs w:val="24"/>
        </w:rPr>
        <w:t xml:space="preserve"> </w:t>
      </w:r>
      <w:r w:rsidR="009B66E7">
        <w:rPr>
          <w:rFonts w:ascii="Times New Roman" w:hAnsi="Times New Roman"/>
          <w:b/>
          <w:bCs/>
          <w:iCs/>
          <w:sz w:val="24"/>
          <w:szCs w:val="24"/>
        </w:rPr>
        <w:t xml:space="preserve">autour </w:t>
      </w:r>
      <w:r w:rsidRPr="00755ABD">
        <w:rPr>
          <w:rFonts w:ascii="Times New Roman" w:hAnsi="Times New Roman"/>
          <w:b/>
          <w:bCs/>
          <w:iCs/>
          <w:sz w:val="24"/>
          <w:szCs w:val="24"/>
        </w:rPr>
        <w:t>de Bamako</w:t>
      </w:r>
    </w:p>
    <w:p w14:paraId="0B41523A" w14:textId="77777777" w:rsidR="00755ABD" w:rsidRPr="00755ABD" w:rsidRDefault="00755ABD" w:rsidP="00755ABD">
      <w:pPr>
        <w:spacing w:after="0" w:line="240" w:lineRule="auto"/>
        <w:ind w:right="72"/>
        <w:rPr>
          <w:rFonts w:ascii="Times New Roman" w:hAnsi="Times New Roman"/>
          <w:b/>
          <w:bCs/>
          <w:iCs/>
          <w:sz w:val="24"/>
          <w:szCs w:val="24"/>
        </w:rPr>
      </w:pPr>
      <w:r w:rsidRPr="00755ABD">
        <w:rPr>
          <w:rFonts w:ascii="Times New Roman" w:hAnsi="Times New Roman"/>
          <w:b/>
          <w:bCs/>
          <w:iCs/>
          <w:sz w:val="24"/>
          <w:szCs w:val="24"/>
        </w:rPr>
        <w:t>Secteur : Energie</w:t>
      </w:r>
    </w:p>
    <w:p w14:paraId="63FC4147" w14:textId="77777777" w:rsidR="00755ABD" w:rsidRPr="00755ABD" w:rsidRDefault="00755ABD" w:rsidP="00755ABD">
      <w:pPr>
        <w:spacing w:after="0" w:line="240" w:lineRule="auto"/>
        <w:ind w:right="72"/>
        <w:rPr>
          <w:rFonts w:ascii="Times New Roman" w:hAnsi="Times New Roman"/>
          <w:b/>
          <w:bCs/>
          <w:iCs/>
          <w:sz w:val="24"/>
          <w:szCs w:val="24"/>
        </w:rPr>
      </w:pPr>
      <w:r w:rsidRPr="00755ABD">
        <w:rPr>
          <w:rFonts w:ascii="Times New Roman" w:hAnsi="Times New Roman"/>
          <w:b/>
          <w:bCs/>
          <w:iCs/>
          <w:sz w:val="24"/>
          <w:szCs w:val="24"/>
        </w:rPr>
        <w:t>Mode de financement : Vente à tempérament</w:t>
      </w:r>
    </w:p>
    <w:p w14:paraId="5F612233" w14:textId="77777777" w:rsidR="00755ABD" w:rsidRPr="00755ABD" w:rsidRDefault="00755ABD" w:rsidP="00755ABD">
      <w:pPr>
        <w:spacing w:after="0" w:line="240" w:lineRule="auto"/>
        <w:ind w:right="72"/>
        <w:rPr>
          <w:rFonts w:ascii="Times New Roman" w:hAnsi="Times New Roman"/>
          <w:b/>
          <w:bCs/>
          <w:iCs/>
          <w:sz w:val="24"/>
          <w:szCs w:val="24"/>
        </w:rPr>
      </w:pPr>
      <w:r w:rsidRPr="00755ABD">
        <w:rPr>
          <w:rFonts w:ascii="Times New Roman" w:hAnsi="Times New Roman"/>
          <w:b/>
          <w:bCs/>
          <w:iCs/>
          <w:sz w:val="24"/>
          <w:szCs w:val="24"/>
        </w:rPr>
        <w:t>No du Financement : MLI1041</w:t>
      </w:r>
    </w:p>
    <w:p w14:paraId="2C69DD77" w14:textId="77777777" w:rsidR="00755ABD" w:rsidRPr="00755ABD" w:rsidRDefault="00755ABD" w:rsidP="00755ABD">
      <w:pPr>
        <w:spacing w:after="120" w:line="240" w:lineRule="auto"/>
        <w:ind w:right="72"/>
        <w:rPr>
          <w:rFonts w:ascii="Times New Roman" w:hAnsi="Times New Roman"/>
          <w:sz w:val="24"/>
          <w:szCs w:val="24"/>
        </w:rPr>
      </w:pPr>
    </w:p>
    <w:p w14:paraId="7461D706" w14:textId="77777777" w:rsidR="00755ABD" w:rsidRPr="00755ABD" w:rsidRDefault="00755ABD" w:rsidP="00755ABD">
      <w:pPr>
        <w:spacing w:after="120" w:line="240" w:lineRule="auto"/>
        <w:ind w:right="72"/>
        <w:jc w:val="both"/>
        <w:rPr>
          <w:rFonts w:ascii="Times New Roman" w:hAnsi="Times New Roman"/>
          <w:sz w:val="24"/>
          <w:szCs w:val="24"/>
        </w:rPr>
      </w:pPr>
      <w:r w:rsidRPr="00755ABD">
        <w:rPr>
          <w:rFonts w:ascii="Times New Roman" w:hAnsi="Times New Roman"/>
          <w:sz w:val="24"/>
          <w:szCs w:val="24"/>
        </w:rPr>
        <w:t xml:space="preserve">La société Energie Du Mali SA (EDM-SA), à travers l’Etat du Mali, a obtenu un financement de cinquante-cinq millions d’Euros (55 millions d’Euros) sous la forme de prêt vente à tempérament de la Banque Islamique de Développement pour financer le Projet Boucle Nord 225 </w:t>
      </w:r>
      <w:r w:rsidR="0065194D">
        <w:rPr>
          <w:rFonts w:ascii="Times New Roman" w:hAnsi="Times New Roman"/>
          <w:sz w:val="24"/>
          <w:szCs w:val="24"/>
        </w:rPr>
        <w:t>kV</w:t>
      </w:r>
      <w:r w:rsidRPr="00755ABD">
        <w:rPr>
          <w:rFonts w:ascii="Times New Roman" w:hAnsi="Times New Roman"/>
          <w:sz w:val="24"/>
          <w:szCs w:val="24"/>
        </w:rPr>
        <w:t xml:space="preserve"> de Bamako et à l’intention d’utiliser une partie de ce </w:t>
      </w:r>
      <w:r w:rsidRPr="00755ABD">
        <w:rPr>
          <w:rFonts w:ascii="Times New Roman" w:hAnsi="Times New Roman"/>
          <w:iCs/>
          <w:sz w:val="24"/>
          <w:szCs w:val="24"/>
        </w:rPr>
        <w:t>financement</w:t>
      </w:r>
      <w:r w:rsidRPr="00755ABD">
        <w:rPr>
          <w:rFonts w:ascii="Times New Roman" w:hAnsi="Times New Roman"/>
          <w:sz w:val="24"/>
          <w:szCs w:val="24"/>
        </w:rPr>
        <w:t xml:space="preserve"> pour effectuer des paiements pour l’acquisition de biens, travaux et services connexes et de services de consultants nécessaires dans le cadre de ce projet. Ce projet sera financé conjointement par la Banque Africaine de Développement (BAD), la Banque Ouest Africaine de Développement (BOAD) et l’Etat du Mali.</w:t>
      </w:r>
    </w:p>
    <w:p w14:paraId="6882F53E" w14:textId="77777777" w:rsidR="00676704" w:rsidRDefault="00676704" w:rsidP="00755ABD">
      <w:pPr>
        <w:spacing w:after="120" w:line="240" w:lineRule="auto"/>
        <w:ind w:right="72"/>
        <w:rPr>
          <w:rFonts w:ascii="Times New Roman" w:hAnsi="Times New Roman"/>
          <w:sz w:val="24"/>
          <w:szCs w:val="24"/>
        </w:rPr>
      </w:pPr>
    </w:p>
    <w:p w14:paraId="0307334E" w14:textId="77777777" w:rsidR="00755ABD" w:rsidRPr="00755ABD" w:rsidRDefault="00755ABD" w:rsidP="00755ABD">
      <w:pPr>
        <w:spacing w:after="120" w:line="240" w:lineRule="auto"/>
        <w:ind w:right="72"/>
        <w:rPr>
          <w:rFonts w:ascii="Times New Roman" w:hAnsi="Times New Roman"/>
          <w:sz w:val="24"/>
          <w:szCs w:val="24"/>
        </w:rPr>
      </w:pPr>
      <w:r w:rsidRPr="00755ABD">
        <w:rPr>
          <w:rFonts w:ascii="Times New Roman" w:hAnsi="Times New Roman"/>
          <w:sz w:val="24"/>
          <w:szCs w:val="24"/>
        </w:rPr>
        <w:t xml:space="preserve">Le projet comprendra les composantes suivantes : </w:t>
      </w:r>
    </w:p>
    <w:p w14:paraId="4647DA67" w14:textId="77777777" w:rsidR="00755ABD" w:rsidRPr="00755ABD" w:rsidRDefault="00755ABD" w:rsidP="00755ABD">
      <w:pPr>
        <w:spacing w:after="120" w:line="240" w:lineRule="auto"/>
        <w:ind w:right="72"/>
        <w:jc w:val="both"/>
        <w:rPr>
          <w:rFonts w:ascii="Times New Roman" w:hAnsi="Times New Roman"/>
          <w:b/>
          <w:bCs/>
          <w:sz w:val="24"/>
          <w:szCs w:val="24"/>
        </w:rPr>
      </w:pPr>
      <w:r w:rsidRPr="00755ABD">
        <w:rPr>
          <w:rFonts w:ascii="Times New Roman" w:hAnsi="Times New Roman"/>
          <w:b/>
          <w:bCs/>
          <w:sz w:val="24"/>
          <w:szCs w:val="24"/>
        </w:rPr>
        <w:t>Composante 1 : Travaux de réalisation d’ouvrages de transport d’énergie</w:t>
      </w:r>
    </w:p>
    <w:p w14:paraId="4D927B8F" w14:textId="77777777" w:rsidR="00B26118" w:rsidRDefault="00755ABD" w:rsidP="00755ABD">
      <w:pPr>
        <w:spacing w:after="120" w:line="240" w:lineRule="auto"/>
        <w:ind w:left="709" w:right="72"/>
        <w:jc w:val="both"/>
        <w:rPr>
          <w:rFonts w:ascii="Times New Roman" w:hAnsi="Times New Roman"/>
          <w:sz w:val="24"/>
          <w:szCs w:val="24"/>
        </w:rPr>
      </w:pPr>
      <w:bookmarkStart w:id="1" w:name="_Hlk168925943"/>
      <w:r w:rsidRPr="00755ABD">
        <w:rPr>
          <w:rFonts w:ascii="Times New Roman" w:hAnsi="Times New Roman"/>
          <w:sz w:val="24"/>
          <w:szCs w:val="24"/>
        </w:rPr>
        <w:t xml:space="preserve">Extension du poste source 225 </w:t>
      </w:r>
      <w:r w:rsidR="003B38BE">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de </w:t>
      </w:r>
      <w:proofErr w:type="spellStart"/>
      <w:r w:rsidRPr="00755ABD">
        <w:rPr>
          <w:rFonts w:ascii="Times New Roman" w:hAnsi="Times New Roman"/>
          <w:sz w:val="24"/>
          <w:szCs w:val="24"/>
        </w:rPr>
        <w:t>D</w:t>
      </w:r>
      <w:r w:rsidR="003B38BE">
        <w:rPr>
          <w:rFonts w:ascii="Times New Roman" w:hAnsi="Times New Roman"/>
          <w:sz w:val="24"/>
          <w:szCs w:val="24"/>
        </w:rPr>
        <w:t>i</w:t>
      </w:r>
      <w:r w:rsidRPr="00755ABD">
        <w:rPr>
          <w:rFonts w:ascii="Times New Roman" w:hAnsi="Times New Roman"/>
          <w:sz w:val="24"/>
          <w:szCs w:val="24"/>
        </w:rPr>
        <w:t>alakorobougou</w:t>
      </w:r>
      <w:proofErr w:type="spellEnd"/>
      <w:r w:rsidR="00B26118">
        <w:rPr>
          <w:rFonts w:ascii="Times New Roman" w:hAnsi="Times New Roman"/>
          <w:sz w:val="24"/>
          <w:szCs w:val="24"/>
        </w:rPr>
        <w:t xml:space="preserve"> avec création de la transformation 225/150 </w:t>
      </w:r>
      <w:r w:rsidR="003B38BE">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w:t>
      </w:r>
      <w:bookmarkEnd w:id="1"/>
      <w:r w:rsidR="00B26118" w:rsidRPr="00755ABD">
        <w:rPr>
          <w:rFonts w:ascii="Times New Roman" w:hAnsi="Times New Roman"/>
          <w:sz w:val="24"/>
          <w:szCs w:val="24"/>
        </w:rPr>
        <w:t xml:space="preserve">en coupure d’artère de la ligne existante 150 </w:t>
      </w:r>
      <w:r w:rsidR="003B38BE">
        <w:rPr>
          <w:rFonts w:ascii="Times New Roman" w:hAnsi="Times New Roman"/>
          <w:sz w:val="24"/>
          <w:szCs w:val="24"/>
        </w:rPr>
        <w:t>k</w:t>
      </w:r>
      <w:r w:rsidR="0065194D">
        <w:rPr>
          <w:rFonts w:ascii="Times New Roman" w:hAnsi="Times New Roman"/>
          <w:sz w:val="24"/>
          <w:szCs w:val="24"/>
        </w:rPr>
        <w:t>V</w:t>
      </w:r>
      <w:r w:rsidR="00B26118" w:rsidRPr="00755ABD">
        <w:rPr>
          <w:rFonts w:ascii="Times New Roman" w:hAnsi="Times New Roman"/>
          <w:sz w:val="24"/>
          <w:szCs w:val="24"/>
        </w:rPr>
        <w:t xml:space="preserve"> Bamako – Ségou</w:t>
      </w:r>
      <w:r w:rsidR="00B26118">
        <w:rPr>
          <w:rFonts w:ascii="Times New Roman" w:hAnsi="Times New Roman"/>
          <w:sz w:val="24"/>
          <w:szCs w:val="24"/>
        </w:rPr>
        <w:t xml:space="preserve"> </w:t>
      </w:r>
      <w:r w:rsidRPr="00755ABD">
        <w:rPr>
          <w:rFonts w:ascii="Times New Roman" w:hAnsi="Times New Roman"/>
          <w:sz w:val="24"/>
          <w:szCs w:val="24"/>
        </w:rPr>
        <w:t>; création du poste source 225</w:t>
      </w:r>
      <w:r w:rsidR="00B26118">
        <w:rPr>
          <w:rFonts w:ascii="Times New Roman" w:hAnsi="Times New Roman"/>
          <w:sz w:val="24"/>
          <w:szCs w:val="24"/>
        </w:rPr>
        <w:t>/30</w:t>
      </w:r>
      <w:r w:rsidRPr="00755ABD">
        <w:rPr>
          <w:rFonts w:ascii="Times New Roman" w:hAnsi="Times New Roman"/>
          <w:sz w:val="24"/>
          <w:szCs w:val="24"/>
        </w:rPr>
        <w:t xml:space="preserve"> </w:t>
      </w:r>
      <w:r w:rsidR="003B38BE">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de Kénié et réalisation de liaison double terne 225 </w:t>
      </w:r>
      <w:r w:rsidR="003B38BE">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entre les deux postes. </w:t>
      </w:r>
    </w:p>
    <w:p w14:paraId="079AFB23"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 xml:space="preserve">Les travaux ci-dessus financés par la Banque Islamique de Développement (BIsD) seront passés par Appel d’Offre International (AOI). </w:t>
      </w:r>
    </w:p>
    <w:p w14:paraId="5FA12D8D" w14:textId="77777777" w:rsidR="00755ABD" w:rsidRPr="00755ABD" w:rsidRDefault="00755ABD" w:rsidP="00755ABD">
      <w:pPr>
        <w:spacing w:after="120" w:line="240" w:lineRule="auto"/>
        <w:ind w:right="72"/>
        <w:jc w:val="both"/>
        <w:rPr>
          <w:rFonts w:ascii="Times New Roman" w:hAnsi="Times New Roman"/>
          <w:b/>
          <w:bCs/>
          <w:sz w:val="24"/>
          <w:szCs w:val="24"/>
        </w:rPr>
      </w:pPr>
      <w:r w:rsidRPr="00755ABD">
        <w:rPr>
          <w:rFonts w:ascii="Times New Roman" w:hAnsi="Times New Roman"/>
          <w:b/>
          <w:bCs/>
          <w:sz w:val="24"/>
          <w:szCs w:val="24"/>
        </w:rPr>
        <w:t>Composante 2 : Supervision des travaux</w:t>
      </w:r>
    </w:p>
    <w:p w14:paraId="455D7122"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 xml:space="preserve">Service de consultance pour </w:t>
      </w:r>
      <w:r w:rsidR="00C445DD">
        <w:rPr>
          <w:rFonts w:ascii="Times New Roman" w:hAnsi="Times New Roman"/>
          <w:sz w:val="24"/>
          <w:szCs w:val="24"/>
        </w:rPr>
        <w:t xml:space="preserve">le contrôle et </w:t>
      </w:r>
      <w:r w:rsidRPr="00755ABD">
        <w:rPr>
          <w:rFonts w:ascii="Times New Roman" w:hAnsi="Times New Roman"/>
          <w:sz w:val="24"/>
          <w:szCs w:val="24"/>
        </w:rPr>
        <w:t>la supervision des travaux de la composante 1 par un cabinet d’ingénieurs conseil.</w:t>
      </w:r>
    </w:p>
    <w:p w14:paraId="2CCA094F"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La méthode de passation prévue est la Sélection Basé sur la Qualité et le Co</w:t>
      </w:r>
      <w:r w:rsidR="003B38BE">
        <w:rPr>
          <w:rFonts w:ascii="Times New Roman" w:hAnsi="Times New Roman"/>
          <w:sz w:val="24"/>
          <w:szCs w:val="24"/>
        </w:rPr>
        <w:t>û</w:t>
      </w:r>
      <w:r w:rsidRPr="00755ABD">
        <w:rPr>
          <w:rFonts w:ascii="Times New Roman" w:hAnsi="Times New Roman"/>
          <w:sz w:val="24"/>
          <w:szCs w:val="24"/>
        </w:rPr>
        <w:t>t réservée aux Pays Membres (SBQC/PM)</w:t>
      </w:r>
    </w:p>
    <w:p w14:paraId="5DD3DB03" w14:textId="77777777" w:rsidR="00755ABD" w:rsidRPr="00755ABD" w:rsidRDefault="00755ABD" w:rsidP="00755ABD">
      <w:pPr>
        <w:spacing w:after="120" w:line="240" w:lineRule="auto"/>
        <w:ind w:right="72"/>
        <w:jc w:val="both"/>
        <w:rPr>
          <w:rFonts w:ascii="Times New Roman" w:hAnsi="Times New Roman"/>
          <w:b/>
          <w:bCs/>
          <w:sz w:val="24"/>
          <w:szCs w:val="24"/>
        </w:rPr>
      </w:pPr>
      <w:r w:rsidRPr="00755ABD">
        <w:rPr>
          <w:rFonts w:ascii="Times New Roman" w:hAnsi="Times New Roman"/>
          <w:b/>
          <w:bCs/>
          <w:sz w:val="24"/>
          <w:szCs w:val="24"/>
        </w:rPr>
        <w:t>Composante 3 : Mesures environnementales et sociales</w:t>
      </w:r>
    </w:p>
    <w:p w14:paraId="2385EE97" w14:textId="77777777" w:rsidR="009F42AB" w:rsidRPr="009F42AB"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Mise en œuvre d</w:t>
      </w:r>
      <w:r w:rsidR="00C445DD">
        <w:rPr>
          <w:rFonts w:ascii="Times New Roman" w:hAnsi="Times New Roman"/>
          <w:sz w:val="24"/>
          <w:szCs w:val="24"/>
        </w:rPr>
        <w:t>u</w:t>
      </w:r>
      <w:r w:rsidRPr="00755ABD">
        <w:rPr>
          <w:rFonts w:ascii="Times New Roman" w:hAnsi="Times New Roman"/>
          <w:sz w:val="24"/>
          <w:szCs w:val="24"/>
        </w:rPr>
        <w:t xml:space="preserve"> plan d’actions et de réinstallation (PAR) et </w:t>
      </w:r>
      <w:r w:rsidR="00C445DD">
        <w:rPr>
          <w:rFonts w:ascii="Times New Roman" w:hAnsi="Times New Roman"/>
          <w:sz w:val="24"/>
          <w:szCs w:val="24"/>
        </w:rPr>
        <w:t xml:space="preserve">du plan </w:t>
      </w:r>
      <w:r w:rsidRPr="00755ABD">
        <w:rPr>
          <w:rFonts w:ascii="Times New Roman" w:hAnsi="Times New Roman"/>
          <w:sz w:val="24"/>
          <w:szCs w:val="24"/>
        </w:rPr>
        <w:t>de gestion environnementale et sociale (PEGS) y compris le reboisement compensatoire ; Indemnisation des personnes affectées par le projet (PAP) et fonctionnement de la commission cadastrale.</w:t>
      </w:r>
    </w:p>
    <w:p w14:paraId="641ECAEE" w14:textId="77777777" w:rsidR="00755ABD" w:rsidRPr="00755ABD" w:rsidRDefault="00755ABD" w:rsidP="009F42AB">
      <w:pPr>
        <w:spacing w:after="120" w:line="240" w:lineRule="auto"/>
        <w:ind w:right="72"/>
        <w:jc w:val="both"/>
        <w:rPr>
          <w:rFonts w:ascii="Times New Roman" w:hAnsi="Times New Roman"/>
          <w:b/>
          <w:bCs/>
          <w:sz w:val="24"/>
          <w:szCs w:val="24"/>
        </w:rPr>
      </w:pPr>
      <w:r w:rsidRPr="00755ABD">
        <w:rPr>
          <w:rFonts w:ascii="Times New Roman" w:hAnsi="Times New Roman"/>
          <w:b/>
          <w:bCs/>
          <w:sz w:val="24"/>
          <w:szCs w:val="24"/>
        </w:rPr>
        <w:lastRenderedPageBreak/>
        <w:t>Composante 4 : Gestion du projet</w:t>
      </w:r>
    </w:p>
    <w:p w14:paraId="0C5BEF85"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Appui institutionnel et rémunération du personnel de l’unité de gestion du projet (UGP) ; Installation (acquisition du local du siège, de mobiliers de bureaux), équipement</w:t>
      </w:r>
      <w:r w:rsidR="00075764">
        <w:rPr>
          <w:rFonts w:ascii="Times New Roman" w:hAnsi="Times New Roman"/>
          <w:sz w:val="24"/>
          <w:szCs w:val="24"/>
        </w:rPr>
        <w:t>s</w:t>
      </w:r>
      <w:r w:rsidRPr="00755ABD">
        <w:rPr>
          <w:rFonts w:ascii="Times New Roman" w:hAnsi="Times New Roman"/>
          <w:sz w:val="24"/>
          <w:szCs w:val="24"/>
        </w:rPr>
        <w:t xml:space="preserve"> (acquisition de matériels et consommables informatiques, de véhicules, de services de gardiennage et nettoyage du siège, de connexion internet, de groupe électrogène ou système hybride PV/Batteries, …) et fonctionnement (frais de fonctionnement divers) de l’UGP.</w:t>
      </w:r>
    </w:p>
    <w:p w14:paraId="3E0079BD"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Les acquisitions de matériels informatiques, fournitures de bureau, véhicules etc. se feront par la méthode de consultation de fournisseurs à l’échelle nationale (CF).</w:t>
      </w:r>
    </w:p>
    <w:p w14:paraId="334B18E2" w14:textId="77777777" w:rsidR="00755ABD" w:rsidRPr="00755ABD" w:rsidRDefault="00755ABD" w:rsidP="00755ABD">
      <w:pPr>
        <w:spacing w:after="120" w:line="240" w:lineRule="auto"/>
        <w:ind w:right="72"/>
        <w:jc w:val="both"/>
        <w:rPr>
          <w:rFonts w:ascii="Times New Roman" w:hAnsi="Times New Roman"/>
          <w:b/>
          <w:bCs/>
          <w:sz w:val="24"/>
          <w:szCs w:val="24"/>
        </w:rPr>
      </w:pPr>
      <w:r w:rsidRPr="00755ABD">
        <w:rPr>
          <w:rFonts w:ascii="Times New Roman" w:hAnsi="Times New Roman"/>
          <w:b/>
          <w:bCs/>
          <w:sz w:val="24"/>
          <w:szCs w:val="24"/>
        </w:rPr>
        <w:t>Composante 5 : Audits</w:t>
      </w:r>
    </w:p>
    <w:p w14:paraId="63066C0B" w14:textId="77777777" w:rsidR="00755ABD" w:rsidRPr="00755ABD" w:rsidRDefault="00755ABD" w:rsidP="00755ABD">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Audits financiers du projet ; Audits d</w:t>
      </w:r>
      <w:r w:rsidR="00075764">
        <w:rPr>
          <w:rFonts w:ascii="Times New Roman" w:hAnsi="Times New Roman"/>
          <w:sz w:val="24"/>
          <w:szCs w:val="24"/>
        </w:rPr>
        <w:t>u</w:t>
      </w:r>
      <w:r w:rsidRPr="00755ABD">
        <w:rPr>
          <w:rFonts w:ascii="Times New Roman" w:hAnsi="Times New Roman"/>
          <w:sz w:val="24"/>
          <w:szCs w:val="24"/>
        </w:rPr>
        <w:t xml:space="preserve"> PAR et </w:t>
      </w:r>
      <w:r w:rsidR="00075764">
        <w:rPr>
          <w:rFonts w:ascii="Times New Roman" w:hAnsi="Times New Roman"/>
          <w:sz w:val="24"/>
          <w:szCs w:val="24"/>
        </w:rPr>
        <w:t xml:space="preserve">du </w:t>
      </w:r>
      <w:r w:rsidRPr="00755ABD">
        <w:rPr>
          <w:rFonts w:ascii="Times New Roman" w:hAnsi="Times New Roman"/>
          <w:sz w:val="24"/>
          <w:szCs w:val="24"/>
        </w:rPr>
        <w:t>PEGS.</w:t>
      </w:r>
    </w:p>
    <w:p w14:paraId="086BC8F4" w14:textId="77777777" w:rsidR="00755ABD" w:rsidRPr="00755ABD" w:rsidRDefault="00755ABD" w:rsidP="009F42AB">
      <w:pPr>
        <w:spacing w:after="120" w:line="240" w:lineRule="auto"/>
        <w:ind w:left="709" w:right="72"/>
        <w:jc w:val="both"/>
        <w:rPr>
          <w:rFonts w:ascii="Times New Roman" w:hAnsi="Times New Roman"/>
          <w:sz w:val="24"/>
          <w:szCs w:val="24"/>
        </w:rPr>
      </w:pPr>
      <w:r w:rsidRPr="00755ABD">
        <w:rPr>
          <w:rFonts w:ascii="Times New Roman" w:hAnsi="Times New Roman"/>
          <w:sz w:val="24"/>
          <w:szCs w:val="24"/>
        </w:rPr>
        <w:t>Les audits financiers, environnemental et Social (PAR) seront faits selon la sélection au moindre co</w:t>
      </w:r>
      <w:r w:rsidR="004E2F95">
        <w:rPr>
          <w:rFonts w:ascii="Times New Roman" w:hAnsi="Times New Roman"/>
          <w:sz w:val="24"/>
          <w:szCs w:val="24"/>
        </w:rPr>
        <w:t>û</w:t>
      </w:r>
      <w:r w:rsidRPr="00755ABD">
        <w:rPr>
          <w:rFonts w:ascii="Times New Roman" w:hAnsi="Times New Roman"/>
          <w:sz w:val="24"/>
          <w:szCs w:val="24"/>
        </w:rPr>
        <w:t>t réservé aux cabinets locaux (SMC/CL)</w:t>
      </w:r>
      <w:r w:rsidR="009F42AB">
        <w:rPr>
          <w:rFonts w:ascii="Times New Roman" w:hAnsi="Times New Roman"/>
          <w:sz w:val="24"/>
          <w:szCs w:val="24"/>
        </w:rPr>
        <w:t>.</w:t>
      </w:r>
    </w:p>
    <w:p w14:paraId="2A08DBC9" w14:textId="77777777" w:rsidR="00676704" w:rsidRDefault="00676704" w:rsidP="00755ABD">
      <w:pPr>
        <w:spacing w:after="120" w:line="240" w:lineRule="auto"/>
        <w:ind w:right="72"/>
        <w:jc w:val="both"/>
        <w:rPr>
          <w:rFonts w:ascii="Times New Roman" w:hAnsi="Times New Roman"/>
          <w:sz w:val="24"/>
          <w:szCs w:val="24"/>
        </w:rPr>
      </w:pPr>
    </w:p>
    <w:p w14:paraId="30E468C4" w14:textId="77777777" w:rsidR="00755ABD" w:rsidRPr="00755ABD" w:rsidRDefault="00755ABD" w:rsidP="00755ABD">
      <w:pPr>
        <w:spacing w:after="120" w:line="240" w:lineRule="auto"/>
        <w:ind w:right="72"/>
        <w:jc w:val="both"/>
        <w:rPr>
          <w:rFonts w:ascii="Times New Roman" w:hAnsi="Times New Roman"/>
          <w:sz w:val="24"/>
          <w:szCs w:val="24"/>
        </w:rPr>
      </w:pPr>
      <w:r w:rsidRPr="00755ABD">
        <w:rPr>
          <w:rFonts w:ascii="Times New Roman" w:hAnsi="Times New Roman"/>
          <w:sz w:val="24"/>
          <w:szCs w:val="24"/>
        </w:rPr>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courante).</w:t>
      </w:r>
    </w:p>
    <w:p w14:paraId="4593EA44" w14:textId="77777777" w:rsidR="00755ABD" w:rsidRPr="00755ABD" w:rsidRDefault="00755ABD" w:rsidP="00755ABD">
      <w:pPr>
        <w:spacing w:after="120" w:line="240" w:lineRule="auto"/>
        <w:ind w:right="72"/>
        <w:jc w:val="both"/>
        <w:rPr>
          <w:rFonts w:ascii="Times New Roman" w:hAnsi="Times New Roman"/>
          <w:iCs/>
          <w:sz w:val="24"/>
          <w:szCs w:val="24"/>
        </w:rPr>
      </w:pPr>
      <w:r w:rsidRPr="00755ABD">
        <w:rPr>
          <w:rFonts w:ascii="Times New Roman" w:hAnsi="Times New Roman"/>
          <w:sz w:val="24"/>
          <w:szCs w:val="24"/>
        </w:rPr>
        <w:t>Les avis spécifiques de passation des marchés pour les acquisitions à effectuer par Appel d’Offres International (AOI) ou Appel d’Offres International réservé aux pays membres (AOI/PM) et les appels à manifestations d’intérêt pour les services de consultants seront publiés au fur et à mesure qu’ils seront disponibles, sur le site internet de la BIsD et d’Energie Du Mali SA</w:t>
      </w:r>
      <w:r w:rsidRPr="00755ABD">
        <w:rPr>
          <w:rFonts w:ascii="Times New Roman" w:hAnsi="Times New Roman"/>
          <w:iCs/>
          <w:sz w:val="24"/>
          <w:szCs w:val="24"/>
        </w:rPr>
        <w:t xml:space="preserve">, de revues techniques, de journaux et publications commerciales largement diffusés sur le plan international, et de journaux nationaux. </w:t>
      </w:r>
    </w:p>
    <w:p w14:paraId="568EFBFB" w14:textId="77777777" w:rsidR="00676704" w:rsidRDefault="00676704" w:rsidP="00755ABD">
      <w:pPr>
        <w:spacing w:after="120" w:line="240" w:lineRule="auto"/>
        <w:ind w:right="72"/>
        <w:jc w:val="both"/>
        <w:rPr>
          <w:rFonts w:ascii="Times New Roman" w:hAnsi="Times New Roman"/>
          <w:sz w:val="24"/>
          <w:szCs w:val="24"/>
        </w:rPr>
      </w:pPr>
    </w:p>
    <w:p w14:paraId="4665BEC0" w14:textId="77777777" w:rsidR="00755ABD" w:rsidRPr="00755ABD" w:rsidRDefault="00755ABD" w:rsidP="004E2F95">
      <w:pPr>
        <w:spacing w:after="120" w:line="360" w:lineRule="auto"/>
        <w:ind w:right="72"/>
        <w:jc w:val="both"/>
        <w:rPr>
          <w:rFonts w:ascii="Times New Roman" w:hAnsi="Times New Roman"/>
          <w:sz w:val="24"/>
          <w:szCs w:val="24"/>
        </w:rPr>
      </w:pPr>
      <w:r w:rsidRPr="00755ABD">
        <w:rPr>
          <w:rFonts w:ascii="Times New Roman" w:hAnsi="Times New Roman"/>
          <w:sz w:val="24"/>
          <w:szCs w:val="24"/>
        </w:rPr>
        <w:t xml:space="preserve">La </w:t>
      </w:r>
      <w:r w:rsidR="009F42AB" w:rsidRPr="009F42AB">
        <w:rPr>
          <w:rFonts w:ascii="Times New Roman" w:hAnsi="Times New Roman"/>
          <w:sz w:val="24"/>
          <w:szCs w:val="24"/>
        </w:rPr>
        <w:t>préqualification</w:t>
      </w:r>
      <w:r w:rsidRPr="00755ABD">
        <w:rPr>
          <w:rFonts w:ascii="Times New Roman" w:hAnsi="Times New Roman"/>
          <w:sz w:val="24"/>
          <w:szCs w:val="24"/>
        </w:rPr>
        <w:t xml:space="preserve"> de fournisseurs et d’entreprises est prévue pour les marchés ci-après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755ABD" w:rsidRPr="00755ABD" w14:paraId="7F2F8CA0" w14:textId="77777777" w:rsidTr="000C4CD6">
        <w:trPr>
          <w:jc w:val="center"/>
        </w:trPr>
        <w:tc>
          <w:tcPr>
            <w:tcW w:w="6237" w:type="dxa"/>
            <w:shd w:val="clear" w:color="auto" w:fill="auto"/>
          </w:tcPr>
          <w:p w14:paraId="48539B2C" w14:textId="77777777" w:rsidR="00755ABD" w:rsidRPr="00755ABD" w:rsidRDefault="00755ABD" w:rsidP="00755ABD">
            <w:pPr>
              <w:spacing w:after="120" w:line="240" w:lineRule="auto"/>
              <w:ind w:right="72"/>
              <w:jc w:val="center"/>
              <w:rPr>
                <w:rFonts w:ascii="Times New Roman" w:hAnsi="Times New Roman"/>
                <w:b/>
                <w:bCs/>
                <w:sz w:val="24"/>
                <w:szCs w:val="24"/>
              </w:rPr>
            </w:pPr>
            <w:r w:rsidRPr="00755ABD">
              <w:rPr>
                <w:rFonts w:ascii="Times New Roman" w:hAnsi="Times New Roman"/>
                <w:b/>
                <w:bCs/>
                <w:sz w:val="24"/>
                <w:szCs w:val="24"/>
              </w:rPr>
              <w:t>Désignation marché</w:t>
            </w:r>
          </w:p>
        </w:tc>
        <w:tc>
          <w:tcPr>
            <w:tcW w:w="2835" w:type="dxa"/>
            <w:shd w:val="clear" w:color="auto" w:fill="auto"/>
          </w:tcPr>
          <w:p w14:paraId="4A74D581" w14:textId="77777777" w:rsidR="00755ABD" w:rsidRPr="00755ABD" w:rsidRDefault="00755ABD" w:rsidP="00755ABD">
            <w:pPr>
              <w:spacing w:after="120" w:line="240" w:lineRule="auto"/>
              <w:ind w:right="72"/>
              <w:jc w:val="center"/>
              <w:rPr>
                <w:rFonts w:ascii="Times New Roman" w:hAnsi="Times New Roman"/>
                <w:b/>
                <w:bCs/>
                <w:sz w:val="24"/>
                <w:szCs w:val="24"/>
              </w:rPr>
            </w:pPr>
            <w:r w:rsidRPr="00755ABD">
              <w:rPr>
                <w:rFonts w:ascii="Times New Roman" w:hAnsi="Times New Roman"/>
                <w:b/>
                <w:bCs/>
                <w:sz w:val="24"/>
                <w:szCs w:val="24"/>
              </w:rPr>
              <w:t>Méthode de sélection</w:t>
            </w:r>
          </w:p>
        </w:tc>
      </w:tr>
      <w:tr w:rsidR="00755ABD" w:rsidRPr="00755ABD" w14:paraId="5485B1AC" w14:textId="77777777" w:rsidTr="000C4CD6">
        <w:trPr>
          <w:jc w:val="center"/>
        </w:trPr>
        <w:tc>
          <w:tcPr>
            <w:tcW w:w="6237" w:type="dxa"/>
            <w:shd w:val="clear" w:color="auto" w:fill="auto"/>
          </w:tcPr>
          <w:p w14:paraId="5E32E35D" w14:textId="77777777" w:rsidR="00755ABD" w:rsidRPr="00755ABD" w:rsidRDefault="00755ABD" w:rsidP="00755ABD">
            <w:pPr>
              <w:spacing w:after="120" w:line="240" w:lineRule="auto"/>
              <w:ind w:right="72"/>
              <w:rPr>
                <w:rFonts w:ascii="Times New Roman" w:hAnsi="Times New Roman"/>
                <w:b/>
                <w:bCs/>
                <w:sz w:val="24"/>
                <w:szCs w:val="24"/>
              </w:rPr>
            </w:pPr>
            <w:r w:rsidRPr="00755ABD">
              <w:rPr>
                <w:rFonts w:ascii="Times New Roman" w:hAnsi="Times New Roman"/>
                <w:sz w:val="24"/>
                <w:szCs w:val="24"/>
              </w:rPr>
              <w:t xml:space="preserve">Extension du poste source 225 </w:t>
            </w:r>
            <w:r w:rsidR="004E2F95">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de D</w:t>
            </w:r>
            <w:r w:rsidR="004E2F95">
              <w:rPr>
                <w:rFonts w:ascii="Times New Roman" w:hAnsi="Times New Roman"/>
                <w:sz w:val="24"/>
                <w:szCs w:val="24"/>
              </w:rPr>
              <w:t>i</w:t>
            </w:r>
            <w:r w:rsidRPr="00755ABD">
              <w:rPr>
                <w:rFonts w:ascii="Times New Roman" w:hAnsi="Times New Roman"/>
                <w:sz w:val="24"/>
                <w:szCs w:val="24"/>
              </w:rPr>
              <w:t>alakorobougou </w:t>
            </w:r>
            <w:r w:rsidR="00DD1D2C">
              <w:rPr>
                <w:rFonts w:ascii="Times New Roman" w:hAnsi="Times New Roman"/>
                <w:sz w:val="24"/>
                <w:szCs w:val="24"/>
              </w:rPr>
              <w:t xml:space="preserve">et création de la transformation 225/150 </w:t>
            </w:r>
            <w:r w:rsidR="004E2F95">
              <w:rPr>
                <w:rFonts w:ascii="Times New Roman" w:hAnsi="Times New Roman"/>
                <w:sz w:val="24"/>
                <w:szCs w:val="24"/>
              </w:rPr>
              <w:t>k</w:t>
            </w:r>
            <w:r w:rsidR="0065194D">
              <w:rPr>
                <w:rFonts w:ascii="Times New Roman" w:hAnsi="Times New Roman"/>
                <w:sz w:val="24"/>
                <w:szCs w:val="24"/>
              </w:rPr>
              <w:t>V</w:t>
            </w:r>
          </w:p>
        </w:tc>
        <w:tc>
          <w:tcPr>
            <w:tcW w:w="2835" w:type="dxa"/>
            <w:shd w:val="clear" w:color="auto" w:fill="auto"/>
          </w:tcPr>
          <w:p w14:paraId="61494FC2" w14:textId="77777777" w:rsidR="00755ABD" w:rsidRPr="00755ABD" w:rsidRDefault="00755ABD" w:rsidP="00755ABD">
            <w:pPr>
              <w:spacing w:after="120" w:line="240" w:lineRule="auto"/>
              <w:ind w:right="72"/>
              <w:jc w:val="center"/>
              <w:rPr>
                <w:rFonts w:ascii="Times New Roman" w:hAnsi="Times New Roman"/>
                <w:b/>
                <w:bCs/>
                <w:sz w:val="24"/>
                <w:szCs w:val="24"/>
              </w:rPr>
            </w:pPr>
            <w:r w:rsidRPr="00755ABD">
              <w:rPr>
                <w:rFonts w:ascii="Times New Roman" w:hAnsi="Times New Roman"/>
                <w:b/>
                <w:bCs/>
                <w:sz w:val="24"/>
                <w:szCs w:val="24"/>
              </w:rPr>
              <w:t>Appel d’Offres International (AOI)</w:t>
            </w:r>
          </w:p>
        </w:tc>
      </w:tr>
      <w:tr w:rsidR="00755ABD" w:rsidRPr="00755ABD" w14:paraId="250C61DD" w14:textId="77777777" w:rsidTr="000C4CD6">
        <w:trPr>
          <w:jc w:val="center"/>
        </w:trPr>
        <w:tc>
          <w:tcPr>
            <w:tcW w:w="6237" w:type="dxa"/>
            <w:shd w:val="clear" w:color="auto" w:fill="auto"/>
          </w:tcPr>
          <w:p w14:paraId="27FDF86A" w14:textId="77777777" w:rsidR="00755ABD" w:rsidRPr="00755ABD" w:rsidRDefault="00755ABD" w:rsidP="00755ABD">
            <w:pPr>
              <w:spacing w:after="120" w:line="240" w:lineRule="auto"/>
              <w:ind w:right="72"/>
              <w:rPr>
                <w:rFonts w:ascii="Times New Roman" w:hAnsi="Times New Roman"/>
                <w:b/>
                <w:bCs/>
                <w:sz w:val="24"/>
                <w:szCs w:val="24"/>
              </w:rPr>
            </w:pPr>
            <w:r w:rsidRPr="00755ABD">
              <w:rPr>
                <w:rFonts w:ascii="Times New Roman" w:hAnsi="Times New Roman"/>
                <w:sz w:val="24"/>
                <w:szCs w:val="24"/>
              </w:rPr>
              <w:t>Création du poste source 225</w:t>
            </w:r>
            <w:r w:rsidR="00DD1D2C">
              <w:rPr>
                <w:rFonts w:ascii="Times New Roman" w:hAnsi="Times New Roman"/>
                <w:sz w:val="24"/>
                <w:szCs w:val="24"/>
              </w:rPr>
              <w:t>/30</w:t>
            </w:r>
            <w:r w:rsidRPr="00755ABD">
              <w:rPr>
                <w:rFonts w:ascii="Times New Roman" w:hAnsi="Times New Roman"/>
                <w:sz w:val="24"/>
                <w:szCs w:val="24"/>
              </w:rPr>
              <w:t xml:space="preserve"> </w:t>
            </w:r>
            <w:r w:rsidR="004E2F95">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de Kénié </w:t>
            </w:r>
          </w:p>
        </w:tc>
        <w:tc>
          <w:tcPr>
            <w:tcW w:w="2835" w:type="dxa"/>
            <w:shd w:val="clear" w:color="auto" w:fill="auto"/>
          </w:tcPr>
          <w:p w14:paraId="552FC7AF" w14:textId="77777777" w:rsidR="00755ABD" w:rsidRPr="00755ABD" w:rsidRDefault="00755ABD" w:rsidP="00755ABD">
            <w:pPr>
              <w:spacing w:after="120" w:line="240" w:lineRule="auto"/>
              <w:ind w:right="72"/>
              <w:jc w:val="center"/>
              <w:rPr>
                <w:rFonts w:ascii="Times New Roman" w:hAnsi="Times New Roman"/>
                <w:b/>
                <w:bCs/>
                <w:sz w:val="24"/>
                <w:szCs w:val="24"/>
              </w:rPr>
            </w:pPr>
            <w:r w:rsidRPr="00755ABD">
              <w:rPr>
                <w:rFonts w:ascii="Times New Roman" w:hAnsi="Times New Roman"/>
                <w:b/>
                <w:bCs/>
                <w:sz w:val="24"/>
                <w:szCs w:val="24"/>
              </w:rPr>
              <w:t>Appel d’Offres International (AOI)</w:t>
            </w:r>
          </w:p>
        </w:tc>
      </w:tr>
      <w:tr w:rsidR="00755ABD" w:rsidRPr="00755ABD" w14:paraId="7C90BC35" w14:textId="77777777" w:rsidTr="000C4CD6">
        <w:trPr>
          <w:jc w:val="center"/>
        </w:trPr>
        <w:tc>
          <w:tcPr>
            <w:tcW w:w="6237" w:type="dxa"/>
            <w:shd w:val="clear" w:color="auto" w:fill="auto"/>
          </w:tcPr>
          <w:p w14:paraId="6713143B" w14:textId="77777777" w:rsidR="00755ABD" w:rsidRPr="00755ABD" w:rsidRDefault="00DD1D2C" w:rsidP="00755ABD">
            <w:pPr>
              <w:spacing w:after="120" w:line="240" w:lineRule="auto"/>
              <w:ind w:right="72"/>
              <w:rPr>
                <w:rFonts w:ascii="Times New Roman" w:hAnsi="Times New Roman"/>
                <w:sz w:val="24"/>
                <w:szCs w:val="24"/>
              </w:rPr>
            </w:pPr>
            <w:r>
              <w:rPr>
                <w:rFonts w:ascii="Times New Roman" w:hAnsi="Times New Roman"/>
                <w:sz w:val="24"/>
                <w:szCs w:val="24"/>
              </w:rPr>
              <w:t>Construction de la l</w:t>
            </w:r>
            <w:r w:rsidR="00755ABD" w:rsidRPr="00755ABD">
              <w:rPr>
                <w:rFonts w:ascii="Times New Roman" w:hAnsi="Times New Roman"/>
                <w:sz w:val="24"/>
                <w:szCs w:val="24"/>
              </w:rPr>
              <w:t xml:space="preserve">igne de transmission double circuit </w:t>
            </w:r>
          </w:p>
          <w:p w14:paraId="61FBF712" w14:textId="77777777" w:rsidR="00755ABD" w:rsidRPr="00755ABD" w:rsidRDefault="00755ABD" w:rsidP="00755ABD">
            <w:pPr>
              <w:spacing w:after="120" w:line="240" w:lineRule="auto"/>
              <w:ind w:right="72"/>
              <w:rPr>
                <w:rFonts w:ascii="Times New Roman" w:hAnsi="Times New Roman"/>
                <w:b/>
                <w:bCs/>
                <w:sz w:val="24"/>
                <w:szCs w:val="24"/>
              </w:rPr>
            </w:pPr>
            <w:r w:rsidRPr="00755ABD">
              <w:rPr>
                <w:rFonts w:ascii="Times New Roman" w:hAnsi="Times New Roman"/>
                <w:sz w:val="24"/>
                <w:szCs w:val="24"/>
              </w:rPr>
              <w:t xml:space="preserve">225 </w:t>
            </w:r>
            <w:r w:rsidR="004E2F95">
              <w:rPr>
                <w:rFonts w:ascii="Times New Roman" w:hAnsi="Times New Roman"/>
                <w:sz w:val="24"/>
                <w:szCs w:val="24"/>
              </w:rPr>
              <w:t>k</w:t>
            </w:r>
            <w:r w:rsidR="0065194D">
              <w:rPr>
                <w:rFonts w:ascii="Times New Roman" w:hAnsi="Times New Roman"/>
                <w:sz w:val="24"/>
                <w:szCs w:val="24"/>
              </w:rPr>
              <w:t>V</w:t>
            </w:r>
            <w:r w:rsidRPr="00755ABD">
              <w:rPr>
                <w:rFonts w:ascii="Times New Roman" w:hAnsi="Times New Roman"/>
                <w:sz w:val="24"/>
                <w:szCs w:val="24"/>
              </w:rPr>
              <w:t xml:space="preserve"> </w:t>
            </w:r>
            <w:proofErr w:type="spellStart"/>
            <w:r w:rsidRPr="00755ABD">
              <w:rPr>
                <w:rFonts w:ascii="Times New Roman" w:hAnsi="Times New Roman"/>
                <w:sz w:val="24"/>
                <w:szCs w:val="24"/>
              </w:rPr>
              <w:t>D</w:t>
            </w:r>
            <w:r w:rsidR="004E2F95">
              <w:rPr>
                <w:rFonts w:ascii="Times New Roman" w:hAnsi="Times New Roman"/>
                <w:sz w:val="24"/>
                <w:szCs w:val="24"/>
              </w:rPr>
              <w:t>i</w:t>
            </w:r>
            <w:r w:rsidRPr="00755ABD">
              <w:rPr>
                <w:rFonts w:ascii="Times New Roman" w:hAnsi="Times New Roman"/>
                <w:sz w:val="24"/>
                <w:szCs w:val="24"/>
              </w:rPr>
              <w:t>alakorobougou</w:t>
            </w:r>
            <w:proofErr w:type="spellEnd"/>
            <w:r w:rsidR="00DD1D2C">
              <w:rPr>
                <w:rFonts w:ascii="Times New Roman" w:hAnsi="Times New Roman"/>
                <w:sz w:val="24"/>
                <w:szCs w:val="24"/>
              </w:rPr>
              <w:t xml:space="preserve"> – </w:t>
            </w:r>
            <w:r w:rsidRPr="00755ABD">
              <w:rPr>
                <w:rFonts w:ascii="Times New Roman" w:hAnsi="Times New Roman"/>
                <w:sz w:val="24"/>
                <w:szCs w:val="24"/>
              </w:rPr>
              <w:t>Kénié</w:t>
            </w:r>
          </w:p>
        </w:tc>
        <w:tc>
          <w:tcPr>
            <w:tcW w:w="2835" w:type="dxa"/>
            <w:shd w:val="clear" w:color="auto" w:fill="auto"/>
          </w:tcPr>
          <w:p w14:paraId="1A424D00" w14:textId="77777777" w:rsidR="00755ABD" w:rsidRPr="00755ABD" w:rsidRDefault="00755ABD" w:rsidP="00755ABD">
            <w:pPr>
              <w:spacing w:after="120" w:line="240" w:lineRule="auto"/>
              <w:ind w:right="72"/>
              <w:jc w:val="center"/>
              <w:rPr>
                <w:rFonts w:ascii="Times New Roman" w:hAnsi="Times New Roman"/>
                <w:b/>
                <w:bCs/>
                <w:sz w:val="24"/>
                <w:szCs w:val="24"/>
              </w:rPr>
            </w:pPr>
            <w:r w:rsidRPr="00755ABD">
              <w:rPr>
                <w:rFonts w:ascii="Times New Roman" w:hAnsi="Times New Roman"/>
                <w:b/>
                <w:bCs/>
                <w:sz w:val="24"/>
                <w:szCs w:val="24"/>
              </w:rPr>
              <w:t>Appel d’Offres International (AOI)</w:t>
            </w:r>
          </w:p>
        </w:tc>
      </w:tr>
    </w:tbl>
    <w:p w14:paraId="57913AD5" w14:textId="77777777" w:rsidR="00755ABD" w:rsidRPr="00755ABD" w:rsidRDefault="00755ABD" w:rsidP="00755ABD">
      <w:pPr>
        <w:spacing w:after="120" w:line="240" w:lineRule="auto"/>
        <w:ind w:right="72"/>
        <w:jc w:val="both"/>
        <w:rPr>
          <w:rFonts w:ascii="Times New Roman" w:hAnsi="Times New Roman"/>
          <w:sz w:val="24"/>
          <w:szCs w:val="24"/>
        </w:rPr>
      </w:pPr>
    </w:p>
    <w:p w14:paraId="798AE7B3" w14:textId="77777777" w:rsidR="00755ABD" w:rsidRPr="00755ABD" w:rsidRDefault="00755ABD" w:rsidP="00755ABD">
      <w:pPr>
        <w:spacing w:after="120" w:line="240" w:lineRule="auto"/>
        <w:ind w:right="72"/>
        <w:jc w:val="both"/>
        <w:rPr>
          <w:rFonts w:ascii="Times New Roman" w:hAnsi="Times New Roman"/>
          <w:i/>
          <w:sz w:val="24"/>
          <w:szCs w:val="24"/>
        </w:rPr>
      </w:pPr>
      <w:r w:rsidRPr="00755ABD">
        <w:rPr>
          <w:rFonts w:ascii="Times New Roman" w:hAnsi="Times New Roman"/>
          <w:sz w:val="24"/>
          <w:szCs w:val="24"/>
        </w:rPr>
        <w:t>Les candidats intéressés et éligibles, qui souhaitent être considérés pour la fourniture de biens, travaux et services de consultants pour le projet, ou qui désirent obtenir des informations additionnelles, sont invités à contacter le Bénéficiaire aux adresses ci-dessous :</w:t>
      </w:r>
    </w:p>
    <w:p w14:paraId="60E7B490" w14:textId="77777777" w:rsidR="00676704" w:rsidRDefault="00676704" w:rsidP="00755ABD">
      <w:pPr>
        <w:spacing w:after="0" w:line="240" w:lineRule="auto"/>
        <w:ind w:right="72"/>
        <w:rPr>
          <w:rFonts w:ascii="Times New Roman" w:hAnsi="Times New Roman"/>
          <w:i/>
          <w:sz w:val="24"/>
          <w:szCs w:val="24"/>
        </w:rPr>
      </w:pPr>
      <w:bookmarkStart w:id="2" w:name="_Hlk162273419"/>
    </w:p>
    <w:p w14:paraId="3406DFF0"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Nom de l’Organisme : UGP-PBNB / Energie Du Mali SA</w:t>
      </w:r>
    </w:p>
    <w:p w14:paraId="06C9DC0C"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Nom de la personne à contacter : Mr Mahamane Dédéou MAÏGA</w:t>
      </w:r>
    </w:p>
    <w:p w14:paraId="090B7461"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Titre/fonction de la personne à contacter : Coordonnateur du projet PBNB</w:t>
      </w:r>
    </w:p>
    <w:p w14:paraId="177C73AC"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Téléphone : (+223) 66 74 32 05</w:t>
      </w:r>
    </w:p>
    <w:p w14:paraId="1C6E5D6F" w14:textId="77777777" w:rsidR="00755ABD" w:rsidRPr="00755ABD" w:rsidRDefault="00755ABD" w:rsidP="00755ABD">
      <w:pPr>
        <w:spacing w:after="0" w:line="240" w:lineRule="auto"/>
        <w:ind w:right="72"/>
        <w:rPr>
          <w:rFonts w:ascii="Times New Roman" w:hAnsi="Times New Roman"/>
          <w:i/>
          <w:sz w:val="24"/>
          <w:szCs w:val="24"/>
        </w:rPr>
      </w:pPr>
      <w:r w:rsidRPr="00755ABD" w:rsidDel="00E60B2C">
        <w:rPr>
          <w:rFonts w:ascii="Times New Roman" w:hAnsi="Times New Roman"/>
          <w:i/>
          <w:sz w:val="24"/>
          <w:szCs w:val="24"/>
        </w:rPr>
        <w:t xml:space="preserve"> </w:t>
      </w:r>
      <w:r w:rsidRPr="00755ABD">
        <w:rPr>
          <w:rFonts w:ascii="Times New Roman" w:hAnsi="Times New Roman"/>
          <w:i/>
          <w:sz w:val="24"/>
          <w:szCs w:val="24"/>
        </w:rPr>
        <w:t xml:space="preserve">Courriel : </w:t>
      </w:r>
      <w:hyperlink r:id="rId8" w:history="1">
        <w:r w:rsidRPr="00755ABD">
          <w:rPr>
            <w:rFonts w:ascii="Times New Roman" w:hAnsi="Times New Roman"/>
            <w:i/>
            <w:color w:val="0000FF"/>
            <w:sz w:val="24"/>
            <w:szCs w:val="24"/>
            <w:u w:val="single"/>
          </w:rPr>
          <w:t>mdmaiga@edmsa.ml</w:t>
        </w:r>
      </w:hyperlink>
      <w:r w:rsidRPr="00755ABD">
        <w:rPr>
          <w:rFonts w:ascii="Times New Roman" w:hAnsi="Times New Roman"/>
          <w:i/>
          <w:sz w:val="24"/>
          <w:szCs w:val="24"/>
        </w:rPr>
        <w:t xml:space="preserve"> </w:t>
      </w:r>
    </w:p>
    <w:p w14:paraId="51033DE5" w14:textId="77777777" w:rsidR="00755ABD" w:rsidRPr="00755ABD" w:rsidRDefault="00755ABD" w:rsidP="00755ABD">
      <w:pPr>
        <w:spacing w:after="120" w:line="360" w:lineRule="auto"/>
        <w:ind w:right="72"/>
        <w:rPr>
          <w:rFonts w:ascii="Times New Roman" w:hAnsi="Times New Roman"/>
          <w:i/>
          <w:sz w:val="24"/>
          <w:szCs w:val="24"/>
        </w:rPr>
      </w:pPr>
      <w:r w:rsidRPr="00755ABD">
        <w:rPr>
          <w:rFonts w:ascii="Times New Roman" w:hAnsi="Times New Roman"/>
          <w:i/>
          <w:sz w:val="24"/>
          <w:szCs w:val="24"/>
        </w:rPr>
        <w:t xml:space="preserve">Site internet : </w:t>
      </w:r>
      <w:hyperlink r:id="rId9" w:history="1">
        <w:r w:rsidRPr="00755ABD">
          <w:rPr>
            <w:rFonts w:ascii="Times New Roman" w:hAnsi="Times New Roman"/>
            <w:i/>
            <w:color w:val="0000FF"/>
            <w:sz w:val="24"/>
            <w:szCs w:val="24"/>
            <w:u w:val="single"/>
          </w:rPr>
          <w:t>www.edm-sa.com.ml</w:t>
        </w:r>
      </w:hyperlink>
      <w:r w:rsidRPr="00755ABD">
        <w:rPr>
          <w:rFonts w:ascii="Times New Roman" w:hAnsi="Times New Roman"/>
          <w:i/>
          <w:sz w:val="24"/>
          <w:szCs w:val="24"/>
        </w:rPr>
        <w:t xml:space="preserve"> </w:t>
      </w:r>
      <w:r w:rsidRPr="00755ABD">
        <w:rPr>
          <w:rFonts w:ascii="Times New Roman" w:hAnsi="Times New Roman"/>
          <w:b/>
          <w:sz w:val="24"/>
          <w:szCs w:val="24"/>
        </w:rPr>
        <w:t xml:space="preserve">            </w:t>
      </w:r>
    </w:p>
    <w:bookmarkEnd w:id="2"/>
    <w:p w14:paraId="046A5A7A" w14:textId="77777777" w:rsidR="00755ABD" w:rsidRPr="00755ABD" w:rsidRDefault="00755ABD" w:rsidP="00755ABD">
      <w:pPr>
        <w:spacing w:after="0" w:line="360" w:lineRule="auto"/>
        <w:jc w:val="both"/>
        <w:rPr>
          <w:rFonts w:ascii="Times New Roman" w:hAnsi="Times New Roman"/>
          <w:sz w:val="24"/>
          <w:szCs w:val="24"/>
        </w:rPr>
      </w:pPr>
      <w:proofErr w:type="gramStart"/>
      <w:r w:rsidRPr="00755ABD">
        <w:rPr>
          <w:rFonts w:ascii="Times New Roman" w:hAnsi="Times New Roman"/>
          <w:sz w:val="24"/>
          <w:szCs w:val="24"/>
        </w:rPr>
        <w:t>Ou</w:t>
      </w:r>
      <w:proofErr w:type="gramEnd"/>
    </w:p>
    <w:p w14:paraId="7F1DBD74"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Nom de l’Organisme : Direction des études et Travaux / Energie Du Mali SA</w:t>
      </w:r>
    </w:p>
    <w:p w14:paraId="32FA01C1"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Nom de la personne à contacter : Mme DEMBELE Hawa TEGUETE</w:t>
      </w:r>
    </w:p>
    <w:p w14:paraId="3C221145"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Titre/fonction de la personne à contacter : Directrice</w:t>
      </w:r>
    </w:p>
    <w:p w14:paraId="01FD5AD6" w14:textId="77777777" w:rsidR="00755ABD" w:rsidRPr="00755ABD" w:rsidRDefault="00755ABD" w:rsidP="00755ABD">
      <w:pPr>
        <w:spacing w:after="0" w:line="240" w:lineRule="auto"/>
        <w:ind w:right="72"/>
        <w:rPr>
          <w:rFonts w:ascii="Times New Roman" w:hAnsi="Times New Roman"/>
          <w:i/>
          <w:sz w:val="24"/>
          <w:szCs w:val="24"/>
        </w:rPr>
      </w:pPr>
      <w:r w:rsidRPr="00755ABD">
        <w:rPr>
          <w:rFonts w:ascii="Times New Roman" w:hAnsi="Times New Roman"/>
          <w:i/>
          <w:sz w:val="24"/>
          <w:szCs w:val="24"/>
        </w:rPr>
        <w:t>Téléphone : (+223) 66 75 74 67</w:t>
      </w:r>
    </w:p>
    <w:p w14:paraId="6F928441" w14:textId="77777777" w:rsidR="00755ABD" w:rsidRPr="00755ABD" w:rsidRDefault="00755ABD" w:rsidP="00755ABD">
      <w:pPr>
        <w:spacing w:after="0" w:line="240" w:lineRule="auto"/>
        <w:ind w:right="72"/>
        <w:rPr>
          <w:rFonts w:ascii="Times New Roman" w:hAnsi="Times New Roman"/>
          <w:i/>
          <w:sz w:val="24"/>
          <w:szCs w:val="24"/>
        </w:rPr>
      </w:pPr>
      <w:r w:rsidRPr="00755ABD" w:rsidDel="00E60B2C">
        <w:rPr>
          <w:rFonts w:ascii="Times New Roman" w:hAnsi="Times New Roman"/>
          <w:i/>
          <w:sz w:val="24"/>
          <w:szCs w:val="24"/>
        </w:rPr>
        <w:t xml:space="preserve"> </w:t>
      </w:r>
      <w:r w:rsidRPr="00755ABD">
        <w:rPr>
          <w:rFonts w:ascii="Times New Roman" w:hAnsi="Times New Roman"/>
          <w:i/>
          <w:sz w:val="24"/>
          <w:szCs w:val="24"/>
        </w:rPr>
        <w:t xml:space="preserve">Courriel : </w:t>
      </w:r>
      <w:hyperlink r:id="rId10" w:history="1">
        <w:r w:rsidRPr="00755ABD">
          <w:rPr>
            <w:rFonts w:ascii="Times New Roman" w:hAnsi="Times New Roman"/>
            <w:i/>
            <w:color w:val="0000FF"/>
            <w:sz w:val="24"/>
            <w:szCs w:val="24"/>
            <w:u w:val="single"/>
          </w:rPr>
          <w:t>hteguete@edmsa.ml</w:t>
        </w:r>
      </w:hyperlink>
      <w:r w:rsidRPr="00755ABD">
        <w:rPr>
          <w:rFonts w:ascii="Times New Roman" w:hAnsi="Times New Roman"/>
          <w:i/>
          <w:sz w:val="24"/>
          <w:szCs w:val="24"/>
        </w:rPr>
        <w:t xml:space="preserve"> </w:t>
      </w:r>
    </w:p>
    <w:p w14:paraId="62E89A83" w14:textId="77777777" w:rsidR="00755ABD" w:rsidRPr="00755ABD" w:rsidRDefault="00755ABD" w:rsidP="00755ABD">
      <w:pPr>
        <w:spacing w:after="120" w:line="360" w:lineRule="auto"/>
        <w:ind w:right="72"/>
        <w:rPr>
          <w:rFonts w:ascii="Times New Roman" w:hAnsi="Times New Roman"/>
          <w:i/>
          <w:sz w:val="24"/>
          <w:szCs w:val="24"/>
        </w:rPr>
      </w:pPr>
      <w:r w:rsidRPr="00755ABD">
        <w:rPr>
          <w:rFonts w:ascii="Times New Roman" w:hAnsi="Times New Roman"/>
          <w:i/>
          <w:sz w:val="24"/>
          <w:szCs w:val="24"/>
        </w:rPr>
        <w:t xml:space="preserve">Site internet : </w:t>
      </w:r>
      <w:hyperlink r:id="rId11" w:history="1">
        <w:r w:rsidRPr="00755ABD">
          <w:rPr>
            <w:rFonts w:ascii="Times New Roman" w:hAnsi="Times New Roman"/>
            <w:i/>
            <w:color w:val="0000FF"/>
            <w:sz w:val="24"/>
            <w:szCs w:val="24"/>
            <w:u w:val="single"/>
          </w:rPr>
          <w:t>www.edm-sa.com.ml</w:t>
        </w:r>
      </w:hyperlink>
      <w:r w:rsidRPr="00755ABD">
        <w:rPr>
          <w:rFonts w:ascii="Times New Roman" w:hAnsi="Times New Roman"/>
          <w:i/>
          <w:sz w:val="24"/>
          <w:szCs w:val="24"/>
        </w:rPr>
        <w:t xml:space="preserve"> </w:t>
      </w:r>
      <w:r w:rsidRPr="00755ABD">
        <w:rPr>
          <w:rFonts w:ascii="Times New Roman" w:hAnsi="Times New Roman"/>
          <w:b/>
          <w:sz w:val="24"/>
          <w:szCs w:val="24"/>
        </w:rPr>
        <w:t xml:space="preserve">            </w:t>
      </w:r>
    </w:p>
    <w:p w14:paraId="107C8FE6" w14:textId="77777777" w:rsidR="00B649E8" w:rsidRPr="00B649E8" w:rsidRDefault="00B649E8" w:rsidP="00B649E8">
      <w:pPr>
        <w:spacing w:after="0" w:line="240" w:lineRule="auto"/>
        <w:rPr>
          <w:rFonts w:ascii="Times New Roman" w:hAnsi="Times New Roman"/>
          <w:sz w:val="24"/>
          <w:szCs w:val="24"/>
        </w:rPr>
      </w:pPr>
    </w:p>
    <w:p w14:paraId="15A92B25" w14:textId="77777777" w:rsidR="00B649E8" w:rsidRPr="00B649E8" w:rsidRDefault="00B649E8" w:rsidP="00B649E8">
      <w:pPr>
        <w:spacing w:after="0" w:line="240" w:lineRule="auto"/>
        <w:contextualSpacing/>
        <w:jc w:val="center"/>
        <w:rPr>
          <w:rFonts w:ascii="Times New Roman" w:hAnsi="Times New Roman"/>
          <w:b/>
          <w:sz w:val="24"/>
          <w:szCs w:val="24"/>
        </w:rPr>
      </w:pPr>
      <w:r w:rsidRPr="00B649E8">
        <w:rPr>
          <w:rFonts w:ascii="Times New Roman" w:hAnsi="Times New Roman"/>
          <w:b/>
          <w:sz w:val="24"/>
          <w:szCs w:val="24"/>
        </w:rPr>
        <w:t>Le Directeur Général</w:t>
      </w:r>
    </w:p>
    <w:p w14:paraId="15E8F3F3" w14:textId="77777777" w:rsidR="00B649E8" w:rsidRPr="00B649E8" w:rsidRDefault="00B649E8" w:rsidP="00B649E8">
      <w:pPr>
        <w:spacing w:after="0" w:line="240" w:lineRule="auto"/>
        <w:ind w:left="720"/>
        <w:contextualSpacing/>
        <w:jc w:val="center"/>
        <w:rPr>
          <w:rFonts w:ascii="Times New Roman" w:hAnsi="Times New Roman"/>
          <w:b/>
          <w:sz w:val="24"/>
          <w:szCs w:val="24"/>
        </w:rPr>
      </w:pPr>
    </w:p>
    <w:p w14:paraId="24E36C06" w14:textId="77777777" w:rsidR="00B649E8" w:rsidRPr="00B649E8" w:rsidRDefault="00B649E8" w:rsidP="00B649E8">
      <w:pPr>
        <w:spacing w:after="0" w:line="240" w:lineRule="auto"/>
        <w:ind w:left="720"/>
        <w:contextualSpacing/>
        <w:jc w:val="center"/>
        <w:rPr>
          <w:rFonts w:ascii="Times New Roman" w:hAnsi="Times New Roman"/>
          <w:b/>
          <w:sz w:val="24"/>
          <w:szCs w:val="24"/>
        </w:rPr>
      </w:pPr>
    </w:p>
    <w:p w14:paraId="43B3E53E" w14:textId="77777777" w:rsidR="00B649E8" w:rsidRDefault="00B649E8" w:rsidP="0003432C">
      <w:pPr>
        <w:spacing w:after="0" w:line="240" w:lineRule="auto"/>
        <w:contextualSpacing/>
        <w:rPr>
          <w:rFonts w:ascii="Times New Roman" w:hAnsi="Times New Roman"/>
          <w:b/>
          <w:sz w:val="24"/>
          <w:szCs w:val="24"/>
        </w:rPr>
      </w:pPr>
    </w:p>
    <w:p w14:paraId="676E44CD" w14:textId="77777777" w:rsidR="00D2478C" w:rsidRPr="00B649E8" w:rsidRDefault="00D2478C" w:rsidP="0003432C">
      <w:pPr>
        <w:spacing w:after="0" w:line="240" w:lineRule="auto"/>
        <w:contextualSpacing/>
        <w:rPr>
          <w:rFonts w:ascii="Times New Roman" w:hAnsi="Times New Roman"/>
          <w:b/>
          <w:sz w:val="24"/>
          <w:szCs w:val="24"/>
        </w:rPr>
      </w:pPr>
    </w:p>
    <w:p w14:paraId="0C525F0B" w14:textId="77777777" w:rsidR="00B649E8" w:rsidRPr="00B649E8" w:rsidRDefault="00B649E8" w:rsidP="00B649E8">
      <w:pPr>
        <w:spacing w:after="0" w:line="240" w:lineRule="auto"/>
        <w:ind w:left="720"/>
        <w:contextualSpacing/>
        <w:jc w:val="center"/>
        <w:rPr>
          <w:rFonts w:ascii="Times New Roman" w:hAnsi="Times New Roman"/>
          <w:b/>
          <w:sz w:val="24"/>
          <w:szCs w:val="24"/>
        </w:rPr>
      </w:pPr>
    </w:p>
    <w:p w14:paraId="4F14D20E" w14:textId="77777777" w:rsidR="00B649E8" w:rsidRPr="00B649E8" w:rsidRDefault="00B649E8" w:rsidP="00B649E8">
      <w:pPr>
        <w:spacing w:after="0" w:line="240" w:lineRule="auto"/>
        <w:contextualSpacing/>
        <w:jc w:val="center"/>
        <w:rPr>
          <w:rFonts w:ascii="Times New Roman" w:hAnsi="Times New Roman"/>
          <w:b/>
          <w:sz w:val="24"/>
          <w:szCs w:val="24"/>
          <w:u w:val="single"/>
        </w:rPr>
      </w:pPr>
      <w:r w:rsidRPr="00B649E8">
        <w:rPr>
          <w:rFonts w:ascii="Times New Roman" w:hAnsi="Times New Roman"/>
          <w:b/>
          <w:sz w:val="24"/>
          <w:szCs w:val="24"/>
          <w:u w:val="single"/>
        </w:rPr>
        <w:t>Abdoulaye Djibril DIALLO</w:t>
      </w:r>
    </w:p>
    <w:p w14:paraId="6CCB519A" w14:textId="77777777" w:rsidR="00B649E8" w:rsidRDefault="00B649E8" w:rsidP="00B649E8">
      <w:pPr>
        <w:spacing w:after="0" w:line="240" w:lineRule="auto"/>
        <w:contextualSpacing/>
        <w:rPr>
          <w:rFonts w:ascii="Times New Roman" w:hAnsi="Times New Roman"/>
          <w:sz w:val="24"/>
          <w:szCs w:val="24"/>
        </w:rPr>
      </w:pPr>
    </w:p>
    <w:p w14:paraId="4F067E13" w14:textId="77777777" w:rsidR="00D2478C" w:rsidRPr="00B649E8" w:rsidRDefault="00D2478C" w:rsidP="00B649E8">
      <w:pPr>
        <w:spacing w:after="0" w:line="240" w:lineRule="auto"/>
        <w:contextualSpacing/>
        <w:rPr>
          <w:rFonts w:ascii="Times New Roman" w:hAnsi="Times New Roman"/>
          <w:sz w:val="24"/>
          <w:szCs w:val="24"/>
        </w:rPr>
      </w:pPr>
    </w:p>
    <w:p w14:paraId="471F85EE" w14:textId="77777777" w:rsidR="00B649E8" w:rsidRPr="009F42AB" w:rsidRDefault="00B649E8" w:rsidP="00B649E8">
      <w:pPr>
        <w:spacing w:after="0" w:line="240" w:lineRule="auto"/>
        <w:rPr>
          <w:rFonts w:ascii="Times New Roman" w:hAnsi="Times New Roman"/>
          <w:bCs/>
          <w:sz w:val="24"/>
          <w:szCs w:val="24"/>
          <w:lang w:val="fr-ML"/>
        </w:rPr>
      </w:pPr>
    </w:p>
    <w:p w14:paraId="1F61CBF0" w14:textId="77777777" w:rsidR="00B649E8" w:rsidRPr="00B649E8" w:rsidRDefault="00B649E8" w:rsidP="00B649E8">
      <w:pPr>
        <w:spacing w:after="0" w:line="240" w:lineRule="auto"/>
        <w:rPr>
          <w:rFonts w:ascii="Times New Roman" w:hAnsi="Times New Roman"/>
          <w:sz w:val="24"/>
          <w:szCs w:val="24"/>
        </w:rPr>
      </w:pPr>
      <w:r w:rsidRPr="00B649E8">
        <w:rPr>
          <w:rFonts w:ascii="Times New Roman" w:hAnsi="Times New Roman"/>
          <w:b/>
          <w:sz w:val="24"/>
          <w:szCs w:val="24"/>
          <w:u w:val="single"/>
        </w:rPr>
        <w:t>Ampliations</w:t>
      </w:r>
      <w:r w:rsidRPr="00B649E8">
        <w:rPr>
          <w:rFonts w:ascii="Times New Roman" w:hAnsi="Times New Roman"/>
          <w:b/>
          <w:sz w:val="24"/>
          <w:szCs w:val="24"/>
        </w:rPr>
        <w:t> </w:t>
      </w:r>
      <w:r w:rsidRPr="00B649E8">
        <w:rPr>
          <w:rFonts w:ascii="Times New Roman" w:hAnsi="Times New Roman"/>
          <w:sz w:val="24"/>
          <w:szCs w:val="24"/>
        </w:rPr>
        <w:t>: DCPT – DCPFCC – DCPS – DET</w:t>
      </w:r>
      <w:r w:rsidR="009F42AB">
        <w:rPr>
          <w:rFonts w:ascii="Times New Roman" w:hAnsi="Times New Roman"/>
          <w:sz w:val="24"/>
          <w:szCs w:val="24"/>
        </w:rPr>
        <w:t xml:space="preserve"> – SG </w:t>
      </w:r>
      <w:r w:rsidRPr="00B649E8">
        <w:rPr>
          <w:rFonts w:ascii="Times New Roman" w:hAnsi="Times New Roman"/>
          <w:sz w:val="24"/>
          <w:szCs w:val="24"/>
        </w:rPr>
        <w:t xml:space="preserve"> </w:t>
      </w:r>
    </w:p>
    <w:p w14:paraId="05D96CD0" w14:textId="77777777" w:rsidR="00D578E8" w:rsidRPr="00DC72D9" w:rsidRDefault="00D578E8" w:rsidP="00B649E8">
      <w:pPr>
        <w:ind w:left="2832" w:firstLine="708"/>
        <w:rPr>
          <w:rFonts w:ascii="Times New Roman" w:hAnsi="Times New Roman"/>
          <w:sz w:val="24"/>
          <w:szCs w:val="24"/>
        </w:rPr>
      </w:pPr>
    </w:p>
    <w:sectPr w:rsidR="00D578E8" w:rsidRPr="00DC72D9" w:rsidSect="00235581">
      <w:headerReference w:type="default" r:id="rId12"/>
      <w:pgSz w:w="11906" w:h="16838" w:code="9"/>
      <w:pgMar w:top="1418" w:right="1134" w:bottom="1701" w:left="113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9688" w14:textId="77777777" w:rsidR="00AE4150" w:rsidRDefault="00AE4150" w:rsidP="006520E0">
      <w:pPr>
        <w:spacing w:after="0" w:line="240" w:lineRule="auto"/>
      </w:pPr>
      <w:r>
        <w:separator/>
      </w:r>
    </w:p>
  </w:endnote>
  <w:endnote w:type="continuationSeparator" w:id="0">
    <w:p w14:paraId="673799C1" w14:textId="77777777" w:rsidR="00AE4150" w:rsidRDefault="00AE4150" w:rsidP="0065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1A86" w14:textId="77777777" w:rsidR="00AE4150" w:rsidRDefault="00AE4150" w:rsidP="006520E0">
      <w:pPr>
        <w:spacing w:after="0" w:line="240" w:lineRule="auto"/>
      </w:pPr>
      <w:r>
        <w:separator/>
      </w:r>
    </w:p>
  </w:footnote>
  <w:footnote w:type="continuationSeparator" w:id="0">
    <w:p w14:paraId="6E71C135" w14:textId="77777777" w:rsidR="00AE4150" w:rsidRDefault="00AE4150" w:rsidP="0065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3" w:type="dxa"/>
      <w:tblLayout w:type="fixed"/>
      <w:tblLook w:val="04A0" w:firstRow="1" w:lastRow="0" w:firstColumn="1" w:lastColumn="0" w:noHBand="0" w:noVBand="1"/>
    </w:tblPr>
    <w:tblGrid>
      <w:gridCol w:w="9195"/>
      <w:gridCol w:w="236"/>
      <w:gridCol w:w="236"/>
      <w:gridCol w:w="236"/>
    </w:tblGrid>
    <w:tr w:rsidR="00382104" w:rsidRPr="00340742" w14:paraId="12F50F31" w14:textId="77777777" w:rsidTr="00382104">
      <w:trPr>
        <w:trHeight w:val="978"/>
      </w:trPr>
      <w:tc>
        <w:tcPr>
          <w:tcW w:w="9195" w:type="dxa"/>
          <w:shd w:val="clear" w:color="auto" w:fill="auto"/>
        </w:tcPr>
        <w:p w14:paraId="449CF2FC" w14:textId="77777777" w:rsidR="00382104" w:rsidRPr="00340742" w:rsidRDefault="00382104" w:rsidP="00340742">
          <w:pPr>
            <w:pStyle w:val="Header"/>
            <w:jc w:val="center"/>
            <w:rPr>
              <w:rFonts w:ascii="Arial" w:hAnsi="Arial" w:cs="Arial"/>
              <w:sz w:val="2"/>
            </w:rPr>
          </w:pPr>
          <w:r>
            <w:rPr>
              <w:noProof/>
            </w:rPr>
            <w:pict w14:anchorId="51B1B66A">
              <v:shapetype id="_x0000_t202" coordsize="21600,21600" o:spt="202" path="m,l,21600r21600,l21600,xe">
                <v:stroke joinstyle="miter"/>
                <v:path gradientshapeok="t" o:connecttype="rect"/>
              </v:shapetype>
              <v:shape id="Zone de texte 1" o:spid="_x0000_s1027" type="#_x0000_t202" style="position:absolute;left:0;text-align:left;margin-left:42.4pt;margin-top:24.4pt;width:446.5pt;height:26.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" filled="f" stroked="f">
                <v:textbox style="mso-next-textbox:#Zone de texte 1">
                  <w:txbxContent>
                    <w:p w14:paraId="5E3818D9" w14:textId="77777777" w:rsidR="00382104" w:rsidRPr="00F513F2" w:rsidRDefault="00B649E8" w:rsidP="002A598D">
                      <w:pPr>
                        <w:jc w:val="center"/>
                        <w:rPr>
                          <w:rFonts w:ascii="Arial" w:hAnsi="Arial" w:cs="Arial"/>
                          <w:b/>
                          <w:sz w:val="24"/>
                          <w:szCs w:val="24"/>
                        </w:rPr>
                      </w:pPr>
                      <w:r>
                        <w:rPr>
                          <w:rFonts w:ascii="Arial" w:hAnsi="Arial" w:cs="Arial"/>
                          <w:b/>
                          <w:sz w:val="24"/>
                          <w:szCs w:val="24"/>
                        </w:rPr>
                        <w:t>DIRECTION GENERALE</w:t>
                      </w:r>
                    </w:p>
                  </w:txbxContent>
                </v:textbox>
              </v:shape>
            </w:pict>
          </w:r>
        </w:p>
      </w:tc>
      <w:tc>
        <w:tcPr>
          <w:tcW w:w="236" w:type="dxa"/>
          <w:shd w:val="clear" w:color="auto" w:fill="auto"/>
        </w:tcPr>
        <w:p w14:paraId="54227E05" w14:textId="77777777" w:rsidR="00382104" w:rsidRPr="00340742" w:rsidRDefault="00382104">
          <w:pPr>
            <w:pStyle w:val="Header"/>
          </w:pPr>
        </w:p>
      </w:tc>
      <w:tc>
        <w:tcPr>
          <w:tcW w:w="236" w:type="dxa"/>
          <w:shd w:val="clear" w:color="auto" w:fill="auto"/>
        </w:tcPr>
        <w:p w14:paraId="4A4962CD" w14:textId="77777777" w:rsidR="00382104" w:rsidRPr="00340742" w:rsidRDefault="00382104" w:rsidP="00340742">
          <w:pPr>
            <w:pStyle w:val="BodyText"/>
            <w:jc w:val="center"/>
            <w:rPr>
              <w:color w:val="C00000"/>
            </w:rPr>
          </w:pPr>
        </w:p>
      </w:tc>
      <w:tc>
        <w:tcPr>
          <w:tcW w:w="236" w:type="dxa"/>
        </w:tcPr>
        <w:p w14:paraId="7C603C45" w14:textId="77777777" w:rsidR="00382104" w:rsidRPr="00340742" w:rsidRDefault="00382104" w:rsidP="00340742">
          <w:pPr>
            <w:pStyle w:val="BodyText"/>
            <w:jc w:val="center"/>
            <w:rPr>
              <w:color w:val="C00000"/>
            </w:rPr>
          </w:pPr>
        </w:p>
      </w:tc>
    </w:tr>
  </w:tbl>
  <w:p w14:paraId="5E548279" w14:textId="77777777" w:rsidR="0012213E" w:rsidRPr="006D6893" w:rsidRDefault="00740EA4" w:rsidP="00906F86">
    <w:pPr>
      <w:pStyle w:val="Header"/>
      <w:rPr>
        <w:sz w:val="8"/>
      </w:rPr>
    </w:pPr>
    <w:r>
      <w:rPr>
        <w:noProof/>
      </w:rPr>
      <w:pict w14:anchorId="29AFF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5" type="#_x0000_t75" style="position:absolute;margin-left:0;margin-top:-95.35pt;width:602.45pt;height:844.65pt;z-index:-2;visibility:visible;mso-wrap-edited:f;mso-position-horizontal:center;mso-position-horizontal-relative:margin;mso-position-vertical-relative:text;mso-width-relative:margin;mso-height-relative:margin">
          <v:imagedata r:id="rId1" o:title=""/>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645"/>
    <w:multiLevelType w:val="hybridMultilevel"/>
    <w:tmpl w:val="32D472CE"/>
    <w:lvl w:ilvl="0" w:tplc="4720086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FC0CE4"/>
    <w:multiLevelType w:val="hybridMultilevel"/>
    <w:tmpl w:val="41D6173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5062C"/>
    <w:multiLevelType w:val="hybridMultilevel"/>
    <w:tmpl w:val="F8B4AF22"/>
    <w:lvl w:ilvl="0" w:tplc="F12CBCD4">
      <w:numFmt w:val="bullet"/>
      <w:lvlText w:val="-"/>
      <w:lvlJc w:val="left"/>
      <w:pPr>
        <w:ind w:left="720" w:hanging="360"/>
      </w:pPr>
      <w:rPr>
        <w:rFonts w:ascii="Times New Roman" w:eastAsia="Times New Roman" w:hAnsi="Times New Roman"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 w15:restartNumberingAfterBreak="0">
    <w:nsid w:val="0DDE4049"/>
    <w:multiLevelType w:val="hybridMultilevel"/>
    <w:tmpl w:val="D3E48554"/>
    <w:lvl w:ilvl="0" w:tplc="340C000D">
      <w:start w:val="1"/>
      <w:numFmt w:val="bullet"/>
      <w:lvlText w:val=""/>
      <w:lvlJc w:val="left"/>
      <w:pPr>
        <w:ind w:left="741" w:hanging="360"/>
      </w:pPr>
      <w:rPr>
        <w:rFonts w:ascii="Wingdings" w:hAnsi="Wingdings" w:hint="default"/>
      </w:rPr>
    </w:lvl>
    <w:lvl w:ilvl="1" w:tplc="340C0003" w:tentative="1">
      <w:start w:val="1"/>
      <w:numFmt w:val="bullet"/>
      <w:lvlText w:val="o"/>
      <w:lvlJc w:val="left"/>
      <w:pPr>
        <w:ind w:left="1461" w:hanging="360"/>
      </w:pPr>
      <w:rPr>
        <w:rFonts w:ascii="Courier New" w:hAnsi="Courier New" w:cs="Courier New" w:hint="default"/>
      </w:rPr>
    </w:lvl>
    <w:lvl w:ilvl="2" w:tplc="340C0005" w:tentative="1">
      <w:start w:val="1"/>
      <w:numFmt w:val="bullet"/>
      <w:lvlText w:val=""/>
      <w:lvlJc w:val="left"/>
      <w:pPr>
        <w:ind w:left="2181" w:hanging="360"/>
      </w:pPr>
      <w:rPr>
        <w:rFonts w:ascii="Wingdings" w:hAnsi="Wingdings" w:hint="default"/>
      </w:rPr>
    </w:lvl>
    <w:lvl w:ilvl="3" w:tplc="340C0001" w:tentative="1">
      <w:start w:val="1"/>
      <w:numFmt w:val="bullet"/>
      <w:lvlText w:val=""/>
      <w:lvlJc w:val="left"/>
      <w:pPr>
        <w:ind w:left="2901" w:hanging="360"/>
      </w:pPr>
      <w:rPr>
        <w:rFonts w:ascii="Symbol" w:hAnsi="Symbol" w:hint="default"/>
      </w:rPr>
    </w:lvl>
    <w:lvl w:ilvl="4" w:tplc="340C0003" w:tentative="1">
      <w:start w:val="1"/>
      <w:numFmt w:val="bullet"/>
      <w:lvlText w:val="o"/>
      <w:lvlJc w:val="left"/>
      <w:pPr>
        <w:ind w:left="3621" w:hanging="360"/>
      </w:pPr>
      <w:rPr>
        <w:rFonts w:ascii="Courier New" w:hAnsi="Courier New" w:cs="Courier New" w:hint="default"/>
      </w:rPr>
    </w:lvl>
    <w:lvl w:ilvl="5" w:tplc="340C0005" w:tentative="1">
      <w:start w:val="1"/>
      <w:numFmt w:val="bullet"/>
      <w:lvlText w:val=""/>
      <w:lvlJc w:val="left"/>
      <w:pPr>
        <w:ind w:left="4341" w:hanging="360"/>
      </w:pPr>
      <w:rPr>
        <w:rFonts w:ascii="Wingdings" w:hAnsi="Wingdings" w:hint="default"/>
      </w:rPr>
    </w:lvl>
    <w:lvl w:ilvl="6" w:tplc="340C0001" w:tentative="1">
      <w:start w:val="1"/>
      <w:numFmt w:val="bullet"/>
      <w:lvlText w:val=""/>
      <w:lvlJc w:val="left"/>
      <w:pPr>
        <w:ind w:left="5061" w:hanging="360"/>
      </w:pPr>
      <w:rPr>
        <w:rFonts w:ascii="Symbol" w:hAnsi="Symbol" w:hint="default"/>
      </w:rPr>
    </w:lvl>
    <w:lvl w:ilvl="7" w:tplc="340C0003" w:tentative="1">
      <w:start w:val="1"/>
      <w:numFmt w:val="bullet"/>
      <w:lvlText w:val="o"/>
      <w:lvlJc w:val="left"/>
      <w:pPr>
        <w:ind w:left="5781" w:hanging="360"/>
      </w:pPr>
      <w:rPr>
        <w:rFonts w:ascii="Courier New" w:hAnsi="Courier New" w:cs="Courier New" w:hint="default"/>
      </w:rPr>
    </w:lvl>
    <w:lvl w:ilvl="8" w:tplc="340C0005" w:tentative="1">
      <w:start w:val="1"/>
      <w:numFmt w:val="bullet"/>
      <w:lvlText w:val=""/>
      <w:lvlJc w:val="left"/>
      <w:pPr>
        <w:ind w:left="6501" w:hanging="360"/>
      </w:pPr>
      <w:rPr>
        <w:rFonts w:ascii="Wingdings" w:hAnsi="Wingdings" w:hint="default"/>
      </w:rPr>
    </w:lvl>
  </w:abstractNum>
  <w:abstractNum w:abstractNumId="4" w15:restartNumberingAfterBreak="0">
    <w:nsid w:val="0E033E7C"/>
    <w:multiLevelType w:val="hybridMultilevel"/>
    <w:tmpl w:val="CAA46EDE"/>
    <w:lvl w:ilvl="0" w:tplc="340C0005">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5" w15:restartNumberingAfterBreak="0">
    <w:nsid w:val="1BA11F81"/>
    <w:multiLevelType w:val="hybridMultilevel"/>
    <w:tmpl w:val="C2CC8784"/>
    <w:lvl w:ilvl="0" w:tplc="F12CBC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F29066E"/>
    <w:multiLevelType w:val="hybridMultilevel"/>
    <w:tmpl w:val="0B948CE0"/>
    <w:lvl w:ilvl="0" w:tplc="340C0001">
      <w:start w:val="1"/>
      <w:numFmt w:val="bullet"/>
      <w:lvlText w:val=""/>
      <w:lvlJc w:val="left"/>
      <w:pPr>
        <w:ind w:left="360" w:hanging="360"/>
      </w:pPr>
      <w:rPr>
        <w:rFonts w:ascii="Symbol" w:hAnsi="Symbol" w:hint="default"/>
      </w:rPr>
    </w:lvl>
    <w:lvl w:ilvl="1" w:tplc="340C0003">
      <w:start w:val="1"/>
      <w:numFmt w:val="bullet"/>
      <w:lvlText w:val="o"/>
      <w:lvlJc w:val="left"/>
      <w:pPr>
        <w:ind w:left="1080" w:hanging="360"/>
      </w:pPr>
      <w:rPr>
        <w:rFonts w:ascii="Courier New" w:hAnsi="Courier New" w:cs="Courier New" w:hint="default"/>
      </w:rPr>
    </w:lvl>
    <w:lvl w:ilvl="2" w:tplc="340C0005">
      <w:start w:val="1"/>
      <w:numFmt w:val="bullet"/>
      <w:lvlText w:val=""/>
      <w:lvlJc w:val="left"/>
      <w:pPr>
        <w:ind w:left="1800" w:hanging="360"/>
      </w:pPr>
      <w:rPr>
        <w:rFonts w:ascii="Wingdings" w:hAnsi="Wingdings" w:hint="default"/>
      </w:rPr>
    </w:lvl>
    <w:lvl w:ilvl="3" w:tplc="340C0001">
      <w:start w:val="1"/>
      <w:numFmt w:val="bullet"/>
      <w:lvlText w:val=""/>
      <w:lvlJc w:val="left"/>
      <w:pPr>
        <w:ind w:left="2520" w:hanging="360"/>
      </w:pPr>
      <w:rPr>
        <w:rFonts w:ascii="Symbol" w:hAnsi="Symbol" w:hint="default"/>
      </w:rPr>
    </w:lvl>
    <w:lvl w:ilvl="4" w:tplc="340C0003">
      <w:start w:val="1"/>
      <w:numFmt w:val="bullet"/>
      <w:lvlText w:val="o"/>
      <w:lvlJc w:val="left"/>
      <w:pPr>
        <w:ind w:left="3240" w:hanging="360"/>
      </w:pPr>
      <w:rPr>
        <w:rFonts w:ascii="Courier New" w:hAnsi="Courier New" w:cs="Courier New" w:hint="default"/>
      </w:rPr>
    </w:lvl>
    <w:lvl w:ilvl="5" w:tplc="340C0005">
      <w:start w:val="1"/>
      <w:numFmt w:val="bullet"/>
      <w:lvlText w:val=""/>
      <w:lvlJc w:val="left"/>
      <w:pPr>
        <w:ind w:left="3960" w:hanging="360"/>
      </w:pPr>
      <w:rPr>
        <w:rFonts w:ascii="Wingdings" w:hAnsi="Wingdings" w:hint="default"/>
      </w:rPr>
    </w:lvl>
    <w:lvl w:ilvl="6" w:tplc="340C0001">
      <w:start w:val="1"/>
      <w:numFmt w:val="bullet"/>
      <w:lvlText w:val=""/>
      <w:lvlJc w:val="left"/>
      <w:pPr>
        <w:ind w:left="4680" w:hanging="360"/>
      </w:pPr>
      <w:rPr>
        <w:rFonts w:ascii="Symbol" w:hAnsi="Symbol" w:hint="default"/>
      </w:rPr>
    </w:lvl>
    <w:lvl w:ilvl="7" w:tplc="340C0003">
      <w:start w:val="1"/>
      <w:numFmt w:val="bullet"/>
      <w:lvlText w:val="o"/>
      <w:lvlJc w:val="left"/>
      <w:pPr>
        <w:ind w:left="5400" w:hanging="360"/>
      </w:pPr>
      <w:rPr>
        <w:rFonts w:ascii="Courier New" w:hAnsi="Courier New" w:cs="Courier New" w:hint="default"/>
      </w:rPr>
    </w:lvl>
    <w:lvl w:ilvl="8" w:tplc="340C0005">
      <w:start w:val="1"/>
      <w:numFmt w:val="bullet"/>
      <w:lvlText w:val=""/>
      <w:lvlJc w:val="left"/>
      <w:pPr>
        <w:ind w:left="6120" w:hanging="360"/>
      </w:pPr>
      <w:rPr>
        <w:rFonts w:ascii="Wingdings" w:hAnsi="Wingdings" w:hint="default"/>
      </w:rPr>
    </w:lvl>
  </w:abstractNum>
  <w:abstractNum w:abstractNumId="7" w15:restartNumberingAfterBreak="0">
    <w:nsid w:val="39582EDC"/>
    <w:multiLevelType w:val="hybridMultilevel"/>
    <w:tmpl w:val="CF5A54C6"/>
    <w:lvl w:ilvl="0" w:tplc="340C000B">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 w15:restartNumberingAfterBreak="0">
    <w:nsid w:val="40F54166"/>
    <w:multiLevelType w:val="hybridMultilevel"/>
    <w:tmpl w:val="736EE436"/>
    <w:lvl w:ilvl="0" w:tplc="0B8A24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546E88"/>
    <w:multiLevelType w:val="hybridMultilevel"/>
    <w:tmpl w:val="10DC477A"/>
    <w:lvl w:ilvl="0" w:tplc="E670E9CE">
      <w:numFmt w:val="bullet"/>
      <w:lvlText w:val="-"/>
      <w:lvlJc w:val="left"/>
      <w:pPr>
        <w:ind w:left="720" w:hanging="360"/>
      </w:pPr>
      <w:rPr>
        <w:rFonts w:ascii="Times New Roman" w:eastAsia="Calibri" w:hAnsi="Times New Roman"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0" w15:restartNumberingAfterBreak="0">
    <w:nsid w:val="48221344"/>
    <w:multiLevelType w:val="multilevel"/>
    <w:tmpl w:val="A592652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07FD9"/>
    <w:multiLevelType w:val="hybridMultilevel"/>
    <w:tmpl w:val="DEFAD2E2"/>
    <w:lvl w:ilvl="0" w:tplc="184ED668">
      <w:numFmt w:val="bullet"/>
      <w:lvlText w:val="-"/>
      <w:lvlJc w:val="left"/>
      <w:pPr>
        <w:ind w:left="720" w:hanging="360"/>
      </w:pPr>
      <w:rPr>
        <w:rFonts w:ascii="Helvetica" w:eastAsia="Times New Roman" w:hAnsi="Helvetica" w:cs="Helvetica" w:hint="default"/>
      </w:rPr>
    </w:lvl>
    <w:lvl w:ilvl="1" w:tplc="340C0003">
      <w:start w:val="1"/>
      <w:numFmt w:val="bullet"/>
      <w:lvlText w:val="o"/>
      <w:lvlJc w:val="left"/>
      <w:pPr>
        <w:ind w:left="1440" w:hanging="360"/>
      </w:pPr>
      <w:rPr>
        <w:rFonts w:ascii="Courier New" w:hAnsi="Courier New" w:cs="Courier New" w:hint="default"/>
      </w:rPr>
    </w:lvl>
    <w:lvl w:ilvl="2" w:tplc="340C0005">
      <w:start w:val="1"/>
      <w:numFmt w:val="bullet"/>
      <w:lvlText w:val=""/>
      <w:lvlJc w:val="left"/>
      <w:pPr>
        <w:ind w:left="2160" w:hanging="360"/>
      </w:pPr>
      <w:rPr>
        <w:rFonts w:ascii="Wingdings" w:hAnsi="Wingdings" w:hint="default"/>
      </w:rPr>
    </w:lvl>
    <w:lvl w:ilvl="3" w:tplc="340C0001">
      <w:start w:val="1"/>
      <w:numFmt w:val="bullet"/>
      <w:lvlText w:val=""/>
      <w:lvlJc w:val="left"/>
      <w:pPr>
        <w:ind w:left="2880" w:hanging="360"/>
      </w:pPr>
      <w:rPr>
        <w:rFonts w:ascii="Symbol" w:hAnsi="Symbol" w:hint="default"/>
      </w:rPr>
    </w:lvl>
    <w:lvl w:ilvl="4" w:tplc="340C0003">
      <w:start w:val="1"/>
      <w:numFmt w:val="bullet"/>
      <w:lvlText w:val="o"/>
      <w:lvlJc w:val="left"/>
      <w:pPr>
        <w:ind w:left="3600" w:hanging="360"/>
      </w:pPr>
      <w:rPr>
        <w:rFonts w:ascii="Courier New" w:hAnsi="Courier New" w:cs="Courier New" w:hint="default"/>
      </w:rPr>
    </w:lvl>
    <w:lvl w:ilvl="5" w:tplc="340C0005">
      <w:start w:val="1"/>
      <w:numFmt w:val="bullet"/>
      <w:lvlText w:val=""/>
      <w:lvlJc w:val="left"/>
      <w:pPr>
        <w:ind w:left="4320" w:hanging="360"/>
      </w:pPr>
      <w:rPr>
        <w:rFonts w:ascii="Wingdings" w:hAnsi="Wingdings" w:hint="default"/>
      </w:rPr>
    </w:lvl>
    <w:lvl w:ilvl="6" w:tplc="340C0001">
      <w:start w:val="1"/>
      <w:numFmt w:val="bullet"/>
      <w:lvlText w:val=""/>
      <w:lvlJc w:val="left"/>
      <w:pPr>
        <w:ind w:left="5040" w:hanging="360"/>
      </w:pPr>
      <w:rPr>
        <w:rFonts w:ascii="Symbol" w:hAnsi="Symbol" w:hint="default"/>
      </w:rPr>
    </w:lvl>
    <w:lvl w:ilvl="7" w:tplc="340C0003">
      <w:start w:val="1"/>
      <w:numFmt w:val="bullet"/>
      <w:lvlText w:val="o"/>
      <w:lvlJc w:val="left"/>
      <w:pPr>
        <w:ind w:left="5760" w:hanging="360"/>
      </w:pPr>
      <w:rPr>
        <w:rFonts w:ascii="Courier New" w:hAnsi="Courier New" w:cs="Courier New" w:hint="default"/>
      </w:rPr>
    </w:lvl>
    <w:lvl w:ilvl="8" w:tplc="340C0005">
      <w:start w:val="1"/>
      <w:numFmt w:val="bullet"/>
      <w:lvlText w:val=""/>
      <w:lvlJc w:val="left"/>
      <w:pPr>
        <w:ind w:left="6480" w:hanging="360"/>
      </w:pPr>
      <w:rPr>
        <w:rFonts w:ascii="Wingdings" w:hAnsi="Wingdings" w:hint="default"/>
      </w:rPr>
    </w:lvl>
  </w:abstractNum>
  <w:abstractNum w:abstractNumId="12" w15:restartNumberingAfterBreak="0">
    <w:nsid w:val="4C825E29"/>
    <w:multiLevelType w:val="hybridMultilevel"/>
    <w:tmpl w:val="28FA733E"/>
    <w:lvl w:ilvl="0" w:tplc="340C000F">
      <w:start w:val="1"/>
      <w:numFmt w:val="decimal"/>
      <w:lvlText w:val="%1."/>
      <w:lvlJc w:val="left"/>
      <w:pPr>
        <w:ind w:left="720" w:hanging="360"/>
      </w:p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3" w15:restartNumberingAfterBreak="0">
    <w:nsid w:val="4EB664E1"/>
    <w:multiLevelType w:val="hybridMultilevel"/>
    <w:tmpl w:val="9D985066"/>
    <w:lvl w:ilvl="0" w:tplc="0B8A2400">
      <w:numFmt w:val="bullet"/>
      <w:lvlText w:val="-"/>
      <w:lvlJc w:val="left"/>
      <w:pPr>
        <w:ind w:left="720" w:hanging="360"/>
      </w:pPr>
      <w:rPr>
        <w:rFonts w:ascii="Arial" w:eastAsia="Times New Roman" w:hAnsi="Arial" w:cs="Aria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4" w15:restartNumberingAfterBreak="0">
    <w:nsid w:val="54574CB9"/>
    <w:multiLevelType w:val="hybridMultilevel"/>
    <w:tmpl w:val="1A8E1B38"/>
    <w:lvl w:ilvl="0" w:tplc="040C0017">
      <w:start w:val="1"/>
      <w:numFmt w:val="lowerLetter"/>
      <w:lvlText w:val="%1)"/>
      <w:lvlJc w:val="left"/>
      <w:pPr>
        <w:ind w:left="780" w:hanging="360"/>
      </w:pPr>
    </w:lvl>
    <w:lvl w:ilvl="1" w:tplc="340C0019" w:tentative="1">
      <w:start w:val="1"/>
      <w:numFmt w:val="lowerLetter"/>
      <w:lvlText w:val="%2."/>
      <w:lvlJc w:val="left"/>
      <w:pPr>
        <w:ind w:left="1500" w:hanging="360"/>
      </w:pPr>
    </w:lvl>
    <w:lvl w:ilvl="2" w:tplc="340C001B" w:tentative="1">
      <w:start w:val="1"/>
      <w:numFmt w:val="lowerRoman"/>
      <w:lvlText w:val="%3."/>
      <w:lvlJc w:val="right"/>
      <w:pPr>
        <w:ind w:left="2220" w:hanging="180"/>
      </w:pPr>
    </w:lvl>
    <w:lvl w:ilvl="3" w:tplc="340C000F" w:tentative="1">
      <w:start w:val="1"/>
      <w:numFmt w:val="decimal"/>
      <w:lvlText w:val="%4."/>
      <w:lvlJc w:val="left"/>
      <w:pPr>
        <w:ind w:left="2940" w:hanging="360"/>
      </w:pPr>
    </w:lvl>
    <w:lvl w:ilvl="4" w:tplc="340C0019" w:tentative="1">
      <w:start w:val="1"/>
      <w:numFmt w:val="lowerLetter"/>
      <w:lvlText w:val="%5."/>
      <w:lvlJc w:val="left"/>
      <w:pPr>
        <w:ind w:left="3660" w:hanging="360"/>
      </w:pPr>
    </w:lvl>
    <w:lvl w:ilvl="5" w:tplc="340C001B" w:tentative="1">
      <w:start w:val="1"/>
      <w:numFmt w:val="lowerRoman"/>
      <w:lvlText w:val="%6."/>
      <w:lvlJc w:val="right"/>
      <w:pPr>
        <w:ind w:left="4380" w:hanging="180"/>
      </w:pPr>
    </w:lvl>
    <w:lvl w:ilvl="6" w:tplc="340C000F" w:tentative="1">
      <w:start w:val="1"/>
      <w:numFmt w:val="decimal"/>
      <w:lvlText w:val="%7."/>
      <w:lvlJc w:val="left"/>
      <w:pPr>
        <w:ind w:left="5100" w:hanging="360"/>
      </w:pPr>
    </w:lvl>
    <w:lvl w:ilvl="7" w:tplc="340C0019" w:tentative="1">
      <w:start w:val="1"/>
      <w:numFmt w:val="lowerLetter"/>
      <w:lvlText w:val="%8."/>
      <w:lvlJc w:val="left"/>
      <w:pPr>
        <w:ind w:left="5820" w:hanging="360"/>
      </w:pPr>
    </w:lvl>
    <w:lvl w:ilvl="8" w:tplc="340C001B" w:tentative="1">
      <w:start w:val="1"/>
      <w:numFmt w:val="lowerRoman"/>
      <w:lvlText w:val="%9."/>
      <w:lvlJc w:val="right"/>
      <w:pPr>
        <w:ind w:left="6540" w:hanging="180"/>
      </w:pPr>
    </w:lvl>
  </w:abstractNum>
  <w:abstractNum w:abstractNumId="15" w15:restartNumberingAfterBreak="0">
    <w:nsid w:val="5E194050"/>
    <w:multiLevelType w:val="hybridMultilevel"/>
    <w:tmpl w:val="0DB077E0"/>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6" w15:restartNumberingAfterBreak="0">
    <w:nsid w:val="710C278A"/>
    <w:multiLevelType w:val="hybridMultilevel"/>
    <w:tmpl w:val="17823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0615010">
    <w:abstractNumId w:val="1"/>
  </w:num>
  <w:num w:numId="2" w16cid:durableId="2075005793">
    <w:abstractNumId w:val="0"/>
  </w:num>
  <w:num w:numId="3" w16cid:durableId="823739101">
    <w:abstractNumId w:val="4"/>
  </w:num>
  <w:num w:numId="4" w16cid:durableId="1315916325">
    <w:abstractNumId w:val="7"/>
  </w:num>
  <w:num w:numId="5" w16cid:durableId="734007776">
    <w:abstractNumId w:val="12"/>
  </w:num>
  <w:num w:numId="6" w16cid:durableId="1960991092">
    <w:abstractNumId w:val="10"/>
  </w:num>
  <w:num w:numId="7" w16cid:durableId="118762447">
    <w:abstractNumId w:val="8"/>
  </w:num>
  <w:num w:numId="8" w16cid:durableId="1749771479">
    <w:abstractNumId w:val="16"/>
  </w:num>
  <w:num w:numId="9" w16cid:durableId="1458908836">
    <w:abstractNumId w:val="3"/>
  </w:num>
  <w:num w:numId="10" w16cid:durableId="11886214">
    <w:abstractNumId w:val="11"/>
    <w:lvlOverride w:ilvl="0"/>
    <w:lvlOverride w:ilvl="1"/>
    <w:lvlOverride w:ilvl="2"/>
    <w:lvlOverride w:ilvl="3"/>
    <w:lvlOverride w:ilvl="4"/>
    <w:lvlOverride w:ilvl="5"/>
    <w:lvlOverride w:ilvl="6"/>
    <w:lvlOverride w:ilvl="7"/>
    <w:lvlOverride w:ilvl="8"/>
  </w:num>
  <w:num w:numId="11" w16cid:durableId="1954052136">
    <w:abstractNumId w:val="6"/>
  </w:num>
  <w:num w:numId="12" w16cid:durableId="1496605812">
    <w:abstractNumId w:val="9"/>
  </w:num>
  <w:num w:numId="13" w16cid:durableId="1989551250">
    <w:abstractNumId w:val="14"/>
  </w:num>
  <w:num w:numId="14" w16cid:durableId="642468019">
    <w:abstractNumId w:val="15"/>
  </w:num>
  <w:num w:numId="15" w16cid:durableId="1179734513">
    <w:abstractNumId w:val="5"/>
    <w:lvlOverride w:ilvl="0"/>
    <w:lvlOverride w:ilvl="1"/>
    <w:lvlOverride w:ilvl="2"/>
    <w:lvlOverride w:ilvl="3"/>
    <w:lvlOverride w:ilvl="4"/>
    <w:lvlOverride w:ilvl="5"/>
    <w:lvlOverride w:ilvl="6"/>
    <w:lvlOverride w:ilvl="7"/>
    <w:lvlOverride w:ilvl="8"/>
  </w:num>
  <w:num w:numId="16" w16cid:durableId="1345859086">
    <w:abstractNumId w:val="5"/>
  </w:num>
  <w:num w:numId="17" w16cid:durableId="195970525">
    <w:abstractNumId w:val="2"/>
  </w:num>
  <w:num w:numId="18" w16cid:durableId="2137869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77D"/>
    <w:rsid w:val="000022D6"/>
    <w:rsid w:val="0000247E"/>
    <w:rsid w:val="00002EBD"/>
    <w:rsid w:val="00007284"/>
    <w:rsid w:val="00010590"/>
    <w:rsid w:val="00014F09"/>
    <w:rsid w:val="00015E2B"/>
    <w:rsid w:val="000256BF"/>
    <w:rsid w:val="0003432C"/>
    <w:rsid w:val="00034874"/>
    <w:rsid w:val="00035E25"/>
    <w:rsid w:val="00062036"/>
    <w:rsid w:val="00062583"/>
    <w:rsid w:val="00063508"/>
    <w:rsid w:val="00064A0F"/>
    <w:rsid w:val="00075764"/>
    <w:rsid w:val="0007659D"/>
    <w:rsid w:val="00086A0C"/>
    <w:rsid w:val="00091A0C"/>
    <w:rsid w:val="00094EA2"/>
    <w:rsid w:val="00096551"/>
    <w:rsid w:val="000B7BE7"/>
    <w:rsid w:val="000C1909"/>
    <w:rsid w:val="000C364C"/>
    <w:rsid w:val="000C4CD6"/>
    <w:rsid w:val="000C5203"/>
    <w:rsid w:val="000E06ED"/>
    <w:rsid w:val="000E1A06"/>
    <w:rsid w:val="000E347B"/>
    <w:rsid w:val="000F2FCA"/>
    <w:rsid w:val="0010404C"/>
    <w:rsid w:val="00111BDA"/>
    <w:rsid w:val="00115D42"/>
    <w:rsid w:val="0012213E"/>
    <w:rsid w:val="00125AC9"/>
    <w:rsid w:val="0012607E"/>
    <w:rsid w:val="00130F1A"/>
    <w:rsid w:val="0013677C"/>
    <w:rsid w:val="00140A85"/>
    <w:rsid w:val="00140D60"/>
    <w:rsid w:val="00145477"/>
    <w:rsid w:val="001509F5"/>
    <w:rsid w:val="00161AF9"/>
    <w:rsid w:val="00172905"/>
    <w:rsid w:val="001840E7"/>
    <w:rsid w:val="00193CCA"/>
    <w:rsid w:val="001A28AD"/>
    <w:rsid w:val="001B476C"/>
    <w:rsid w:val="001B6106"/>
    <w:rsid w:val="001C4ACC"/>
    <w:rsid w:val="001D14B3"/>
    <w:rsid w:val="001D2DDA"/>
    <w:rsid w:val="001D3EF0"/>
    <w:rsid w:val="001D6074"/>
    <w:rsid w:val="001D670D"/>
    <w:rsid w:val="00210733"/>
    <w:rsid w:val="00210796"/>
    <w:rsid w:val="002114A8"/>
    <w:rsid w:val="00220168"/>
    <w:rsid w:val="00221200"/>
    <w:rsid w:val="00221F9D"/>
    <w:rsid w:val="00225EF5"/>
    <w:rsid w:val="002262E0"/>
    <w:rsid w:val="0023216D"/>
    <w:rsid w:val="00235581"/>
    <w:rsid w:val="002401FD"/>
    <w:rsid w:val="002410EE"/>
    <w:rsid w:val="00252A3E"/>
    <w:rsid w:val="00256FA1"/>
    <w:rsid w:val="00257B8D"/>
    <w:rsid w:val="00260A62"/>
    <w:rsid w:val="00263889"/>
    <w:rsid w:val="0027319B"/>
    <w:rsid w:val="002735A4"/>
    <w:rsid w:val="00274422"/>
    <w:rsid w:val="0027754E"/>
    <w:rsid w:val="00283032"/>
    <w:rsid w:val="00284300"/>
    <w:rsid w:val="00295B0A"/>
    <w:rsid w:val="00297E01"/>
    <w:rsid w:val="002A0395"/>
    <w:rsid w:val="002A39F9"/>
    <w:rsid w:val="002A598D"/>
    <w:rsid w:val="002B7C1B"/>
    <w:rsid w:val="002C09B0"/>
    <w:rsid w:val="002C7B46"/>
    <w:rsid w:val="002D103B"/>
    <w:rsid w:val="002D177C"/>
    <w:rsid w:val="002D1939"/>
    <w:rsid w:val="002D6757"/>
    <w:rsid w:val="002E29E1"/>
    <w:rsid w:val="002E75F3"/>
    <w:rsid w:val="002F095A"/>
    <w:rsid w:val="002F14D9"/>
    <w:rsid w:val="002F2364"/>
    <w:rsid w:val="002F5EA7"/>
    <w:rsid w:val="003058B2"/>
    <w:rsid w:val="00321E74"/>
    <w:rsid w:val="0032248D"/>
    <w:rsid w:val="00331703"/>
    <w:rsid w:val="00332728"/>
    <w:rsid w:val="00336B09"/>
    <w:rsid w:val="00340742"/>
    <w:rsid w:val="003418EF"/>
    <w:rsid w:val="00344F4F"/>
    <w:rsid w:val="003501A6"/>
    <w:rsid w:val="0036484B"/>
    <w:rsid w:val="00382104"/>
    <w:rsid w:val="003868B3"/>
    <w:rsid w:val="00392EB2"/>
    <w:rsid w:val="0039710B"/>
    <w:rsid w:val="003A1721"/>
    <w:rsid w:val="003A216E"/>
    <w:rsid w:val="003A3ABA"/>
    <w:rsid w:val="003B10BD"/>
    <w:rsid w:val="003B38BE"/>
    <w:rsid w:val="003B7C18"/>
    <w:rsid w:val="003C2B79"/>
    <w:rsid w:val="003C3E29"/>
    <w:rsid w:val="003C7083"/>
    <w:rsid w:val="003E07E7"/>
    <w:rsid w:val="003F26F5"/>
    <w:rsid w:val="003F4731"/>
    <w:rsid w:val="003F582B"/>
    <w:rsid w:val="00411C6F"/>
    <w:rsid w:val="00415210"/>
    <w:rsid w:val="004175B6"/>
    <w:rsid w:val="00420175"/>
    <w:rsid w:val="00421550"/>
    <w:rsid w:val="0042398E"/>
    <w:rsid w:val="00434CB6"/>
    <w:rsid w:val="00437C9A"/>
    <w:rsid w:val="00442730"/>
    <w:rsid w:val="00453259"/>
    <w:rsid w:val="004538F2"/>
    <w:rsid w:val="0045624D"/>
    <w:rsid w:val="00465968"/>
    <w:rsid w:val="00465D78"/>
    <w:rsid w:val="0046611D"/>
    <w:rsid w:val="00466416"/>
    <w:rsid w:val="00471B3F"/>
    <w:rsid w:val="004773DA"/>
    <w:rsid w:val="00482B3B"/>
    <w:rsid w:val="0048373C"/>
    <w:rsid w:val="004873A7"/>
    <w:rsid w:val="0049091E"/>
    <w:rsid w:val="004A2344"/>
    <w:rsid w:val="004A625E"/>
    <w:rsid w:val="004B3726"/>
    <w:rsid w:val="004C1296"/>
    <w:rsid w:val="004C5330"/>
    <w:rsid w:val="004D318B"/>
    <w:rsid w:val="004D4DBD"/>
    <w:rsid w:val="004E2F95"/>
    <w:rsid w:val="004E38D7"/>
    <w:rsid w:val="004E77AC"/>
    <w:rsid w:val="004F26D1"/>
    <w:rsid w:val="004F3015"/>
    <w:rsid w:val="00505B89"/>
    <w:rsid w:val="00510143"/>
    <w:rsid w:val="00513957"/>
    <w:rsid w:val="00520800"/>
    <w:rsid w:val="005261DE"/>
    <w:rsid w:val="00532D72"/>
    <w:rsid w:val="00533212"/>
    <w:rsid w:val="00537574"/>
    <w:rsid w:val="00544630"/>
    <w:rsid w:val="00550413"/>
    <w:rsid w:val="0055374F"/>
    <w:rsid w:val="00563DC4"/>
    <w:rsid w:val="00571DB9"/>
    <w:rsid w:val="00575A69"/>
    <w:rsid w:val="00575F74"/>
    <w:rsid w:val="00592763"/>
    <w:rsid w:val="00593393"/>
    <w:rsid w:val="00593D36"/>
    <w:rsid w:val="00593FAB"/>
    <w:rsid w:val="005948FA"/>
    <w:rsid w:val="005A6FA5"/>
    <w:rsid w:val="005A7BD0"/>
    <w:rsid w:val="005B5312"/>
    <w:rsid w:val="005B6E21"/>
    <w:rsid w:val="005C3083"/>
    <w:rsid w:val="005C31AF"/>
    <w:rsid w:val="005C5734"/>
    <w:rsid w:val="005D2308"/>
    <w:rsid w:val="005D7107"/>
    <w:rsid w:val="005E0136"/>
    <w:rsid w:val="005E2DE1"/>
    <w:rsid w:val="005E6DFD"/>
    <w:rsid w:val="005F3E6B"/>
    <w:rsid w:val="005F7CFF"/>
    <w:rsid w:val="00606F59"/>
    <w:rsid w:val="00613F5F"/>
    <w:rsid w:val="0062791D"/>
    <w:rsid w:val="00630221"/>
    <w:rsid w:val="00630B9F"/>
    <w:rsid w:val="00634774"/>
    <w:rsid w:val="00640BA2"/>
    <w:rsid w:val="00643A16"/>
    <w:rsid w:val="0064759D"/>
    <w:rsid w:val="0065194D"/>
    <w:rsid w:val="006520E0"/>
    <w:rsid w:val="0065377C"/>
    <w:rsid w:val="00666EB4"/>
    <w:rsid w:val="00676704"/>
    <w:rsid w:val="00680D76"/>
    <w:rsid w:val="00686F25"/>
    <w:rsid w:val="00692CF5"/>
    <w:rsid w:val="006A46AE"/>
    <w:rsid w:val="006B6FFE"/>
    <w:rsid w:val="006C1CDD"/>
    <w:rsid w:val="006C493E"/>
    <w:rsid w:val="006C5282"/>
    <w:rsid w:val="006D6893"/>
    <w:rsid w:val="006E377D"/>
    <w:rsid w:val="006F0A7D"/>
    <w:rsid w:val="006F59ED"/>
    <w:rsid w:val="0071243D"/>
    <w:rsid w:val="00721273"/>
    <w:rsid w:val="007226A7"/>
    <w:rsid w:val="00731B0F"/>
    <w:rsid w:val="00740C78"/>
    <w:rsid w:val="00740EA4"/>
    <w:rsid w:val="00755775"/>
    <w:rsid w:val="00755ABD"/>
    <w:rsid w:val="007560F2"/>
    <w:rsid w:val="00756290"/>
    <w:rsid w:val="00756B70"/>
    <w:rsid w:val="0076365A"/>
    <w:rsid w:val="00785A7A"/>
    <w:rsid w:val="007965E1"/>
    <w:rsid w:val="007A15AC"/>
    <w:rsid w:val="007A187E"/>
    <w:rsid w:val="007B432B"/>
    <w:rsid w:val="007C4818"/>
    <w:rsid w:val="007C6461"/>
    <w:rsid w:val="007C65FD"/>
    <w:rsid w:val="007E084A"/>
    <w:rsid w:val="007E20DD"/>
    <w:rsid w:val="007E6492"/>
    <w:rsid w:val="007F06E6"/>
    <w:rsid w:val="007F4026"/>
    <w:rsid w:val="007F6C06"/>
    <w:rsid w:val="007F75FD"/>
    <w:rsid w:val="008002E7"/>
    <w:rsid w:val="00806C39"/>
    <w:rsid w:val="0080746C"/>
    <w:rsid w:val="008159C4"/>
    <w:rsid w:val="00821809"/>
    <w:rsid w:val="00823442"/>
    <w:rsid w:val="00827C8B"/>
    <w:rsid w:val="00827EAD"/>
    <w:rsid w:val="00830347"/>
    <w:rsid w:val="008305C6"/>
    <w:rsid w:val="00834D5A"/>
    <w:rsid w:val="0084378D"/>
    <w:rsid w:val="00852FAF"/>
    <w:rsid w:val="00863F4A"/>
    <w:rsid w:val="00870AAD"/>
    <w:rsid w:val="00873E9D"/>
    <w:rsid w:val="00874789"/>
    <w:rsid w:val="00874E6C"/>
    <w:rsid w:val="00885129"/>
    <w:rsid w:val="00890E93"/>
    <w:rsid w:val="0089520D"/>
    <w:rsid w:val="008A4BB7"/>
    <w:rsid w:val="008B067A"/>
    <w:rsid w:val="008B073A"/>
    <w:rsid w:val="008B2A42"/>
    <w:rsid w:val="008C044B"/>
    <w:rsid w:val="008D4D1F"/>
    <w:rsid w:val="008D509C"/>
    <w:rsid w:val="008F4FC4"/>
    <w:rsid w:val="00903143"/>
    <w:rsid w:val="00904221"/>
    <w:rsid w:val="00906F86"/>
    <w:rsid w:val="0091291B"/>
    <w:rsid w:val="009213E6"/>
    <w:rsid w:val="00926B8D"/>
    <w:rsid w:val="0093178A"/>
    <w:rsid w:val="00934A65"/>
    <w:rsid w:val="00935404"/>
    <w:rsid w:val="00943218"/>
    <w:rsid w:val="00944FDE"/>
    <w:rsid w:val="00945CBC"/>
    <w:rsid w:val="00946079"/>
    <w:rsid w:val="0095394E"/>
    <w:rsid w:val="00954206"/>
    <w:rsid w:val="00962634"/>
    <w:rsid w:val="00962DA3"/>
    <w:rsid w:val="00966784"/>
    <w:rsid w:val="00972633"/>
    <w:rsid w:val="00972E7F"/>
    <w:rsid w:val="00976880"/>
    <w:rsid w:val="00982C5C"/>
    <w:rsid w:val="00990306"/>
    <w:rsid w:val="00991012"/>
    <w:rsid w:val="00992528"/>
    <w:rsid w:val="009938D5"/>
    <w:rsid w:val="009A38AD"/>
    <w:rsid w:val="009A3979"/>
    <w:rsid w:val="009A4518"/>
    <w:rsid w:val="009A7B17"/>
    <w:rsid w:val="009B45DF"/>
    <w:rsid w:val="009B66E7"/>
    <w:rsid w:val="009B70B6"/>
    <w:rsid w:val="009E51C4"/>
    <w:rsid w:val="009E5A4C"/>
    <w:rsid w:val="009E774A"/>
    <w:rsid w:val="009F42AB"/>
    <w:rsid w:val="009F45AE"/>
    <w:rsid w:val="009F56C2"/>
    <w:rsid w:val="00A22007"/>
    <w:rsid w:val="00A24BD5"/>
    <w:rsid w:val="00A3775B"/>
    <w:rsid w:val="00A459E1"/>
    <w:rsid w:val="00A524F6"/>
    <w:rsid w:val="00A52756"/>
    <w:rsid w:val="00A52D72"/>
    <w:rsid w:val="00A5706F"/>
    <w:rsid w:val="00A6087F"/>
    <w:rsid w:val="00A63747"/>
    <w:rsid w:val="00A66217"/>
    <w:rsid w:val="00A7298F"/>
    <w:rsid w:val="00A75B5C"/>
    <w:rsid w:val="00A76A2D"/>
    <w:rsid w:val="00A77575"/>
    <w:rsid w:val="00AA21CC"/>
    <w:rsid w:val="00AA2FA8"/>
    <w:rsid w:val="00AB032B"/>
    <w:rsid w:val="00AB2B44"/>
    <w:rsid w:val="00AC00AE"/>
    <w:rsid w:val="00AC0E2D"/>
    <w:rsid w:val="00AC6612"/>
    <w:rsid w:val="00AC7C1C"/>
    <w:rsid w:val="00AE134C"/>
    <w:rsid w:val="00AE4150"/>
    <w:rsid w:val="00AF189C"/>
    <w:rsid w:val="00AF33FB"/>
    <w:rsid w:val="00B049A4"/>
    <w:rsid w:val="00B114F9"/>
    <w:rsid w:val="00B16DF4"/>
    <w:rsid w:val="00B25460"/>
    <w:rsid w:val="00B26118"/>
    <w:rsid w:val="00B3085A"/>
    <w:rsid w:val="00B31157"/>
    <w:rsid w:val="00B32D15"/>
    <w:rsid w:val="00B34B74"/>
    <w:rsid w:val="00B360A3"/>
    <w:rsid w:val="00B41384"/>
    <w:rsid w:val="00B459A4"/>
    <w:rsid w:val="00B53589"/>
    <w:rsid w:val="00B6495A"/>
    <w:rsid w:val="00B649E8"/>
    <w:rsid w:val="00B741C8"/>
    <w:rsid w:val="00B859EB"/>
    <w:rsid w:val="00B86EAB"/>
    <w:rsid w:val="00B875A4"/>
    <w:rsid w:val="00B9186E"/>
    <w:rsid w:val="00BA1D95"/>
    <w:rsid w:val="00BB639B"/>
    <w:rsid w:val="00BC1A3B"/>
    <w:rsid w:val="00BC2413"/>
    <w:rsid w:val="00BD5637"/>
    <w:rsid w:val="00BE1329"/>
    <w:rsid w:val="00BF2096"/>
    <w:rsid w:val="00C053D4"/>
    <w:rsid w:val="00C053E6"/>
    <w:rsid w:val="00C07FAE"/>
    <w:rsid w:val="00C17EC5"/>
    <w:rsid w:val="00C2538C"/>
    <w:rsid w:val="00C27F2E"/>
    <w:rsid w:val="00C30281"/>
    <w:rsid w:val="00C32689"/>
    <w:rsid w:val="00C37B2D"/>
    <w:rsid w:val="00C43791"/>
    <w:rsid w:val="00C4427B"/>
    <w:rsid w:val="00C445DD"/>
    <w:rsid w:val="00C473B5"/>
    <w:rsid w:val="00C4798D"/>
    <w:rsid w:val="00C50C75"/>
    <w:rsid w:val="00C52274"/>
    <w:rsid w:val="00C66866"/>
    <w:rsid w:val="00C80C7E"/>
    <w:rsid w:val="00C8474E"/>
    <w:rsid w:val="00C85525"/>
    <w:rsid w:val="00C90382"/>
    <w:rsid w:val="00C94D13"/>
    <w:rsid w:val="00C9607E"/>
    <w:rsid w:val="00CA5742"/>
    <w:rsid w:val="00CA5DA3"/>
    <w:rsid w:val="00CA6600"/>
    <w:rsid w:val="00CB189D"/>
    <w:rsid w:val="00CC7289"/>
    <w:rsid w:val="00CC7567"/>
    <w:rsid w:val="00CE0863"/>
    <w:rsid w:val="00CE47C7"/>
    <w:rsid w:val="00CF62E2"/>
    <w:rsid w:val="00D05402"/>
    <w:rsid w:val="00D12819"/>
    <w:rsid w:val="00D14382"/>
    <w:rsid w:val="00D15A71"/>
    <w:rsid w:val="00D22F53"/>
    <w:rsid w:val="00D23B41"/>
    <w:rsid w:val="00D2478C"/>
    <w:rsid w:val="00D3139F"/>
    <w:rsid w:val="00D37D5B"/>
    <w:rsid w:val="00D51089"/>
    <w:rsid w:val="00D5525E"/>
    <w:rsid w:val="00D578E8"/>
    <w:rsid w:val="00D61837"/>
    <w:rsid w:val="00D65367"/>
    <w:rsid w:val="00D6674D"/>
    <w:rsid w:val="00D67CAA"/>
    <w:rsid w:val="00D71B1F"/>
    <w:rsid w:val="00D907A8"/>
    <w:rsid w:val="00D9087A"/>
    <w:rsid w:val="00DA0522"/>
    <w:rsid w:val="00DA4757"/>
    <w:rsid w:val="00DC1C0F"/>
    <w:rsid w:val="00DC55B5"/>
    <w:rsid w:val="00DC72D9"/>
    <w:rsid w:val="00DD1D2C"/>
    <w:rsid w:val="00DE23F5"/>
    <w:rsid w:val="00DE6778"/>
    <w:rsid w:val="00DE7995"/>
    <w:rsid w:val="00DF2B89"/>
    <w:rsid w:val="00DF3329"/>
    <w:rsid w:val="00E00B65"/>
    <w:rsid w:val="00E03D8F"/>
    <w:rsid w:val="00E06A9D"/>
    <w:rsid w:val="00E11C42"/>
    <w:rsid w:val="00E126FF"/>
    <w:rsid w:val="00E13562"/>
    <w:rsid w:val="00E235CA"/>
    <w:rsid w:val="00E30365"/>
    <w:rsid w:val="00E33EED"/>
    <w:rsid w:val="00E35781"/>
    <w:rsid w:val="00E5001B"/>
    <w:rsid w:val="00E50AF4"/>
    <w:rsid w:val="00E57BBD"/>
    <w:rsid w:val="00E74FD1"/>
    <w:rsid w:val="00E75D75"/>
    <w:rsid w:val="00E83634"/>
    <w:rsid w:val="00E868AB"/>
    <w:rsid w:val="00E92BCD"/>
    <w:rsid w:val="00E9751F"/>
    <w:rsid w:val="00EA25B3"/>
    <w:rsid w:val="00EA2C09"/>
    <w:rsid w:val="00EA5A12"/>
    <w:rsid w:val="00EA6417"/>
    <w:rsid w:val="00EB2866"/>
    <w:rsid w:val="00EC5B2C"/>
    <w:rsid w:val="00EC64AE"/>
    <w:rsid w:val="00EC7473"/>
    <w:rsid w:val="00EC75A2"/>
    <w:rsid w:val="00EC76DB"/>
    <w:rsid w:val="00ED3FE9"/>
    <w:rsid w:val="00ED4F84"/>
    <w:rsid w:val="00ED7863"/>
    <w:rsid w:val="00ED7B75"/>
    <w:rsid w:val="00EE23D2"/>
    <w:rsid w:val="00EE2F92"/>
    <w:rsid w:val="00EE3F1C"/>
    <w:rsid w:val="00EF11E2"/>
    <w:rsid w:val="00EF37BE"/>
    <w:rsid w:val="00EF5B61"/>
    <w:rsid w:val="00EF7FC0"/>
    <w:rsid w:val="00F01E25"/>
    <w:rsid w:val="00F10CC0"/>
    <w:rsid w:val="00F24117"/>
    <w:rsid w:val="00F32501"/>
    <w:rsid w:val="00F34443"/>
    <w:rsid w:val="00F452AA"/>
    <w:rsid w:val="00F46131"/>
    <w:rsid w:val="00F47A72"/>
    <w:rsid w:val="00F47A7E"/>
    <w:rsid w:val="00F513F2"/>
    <w:rsid w:val="00F51E63"/>
    <w:rsid w:val="00F55A76"/>
    <w:rsid w:val="00F7107C"/>
    <w:rsid w:val="00F81FBF"/>
    <w:rsid w:val="00F839B6"/>
    <w:rsid w:val="00F86445"/>
    <w:rsid w:val="00F9435D"/>
    <w:rsid w:val="00F9585D"/>
    <w:rsid w:val="00FA1B5C"/>
    <w:rsid w:val="00FA3851"/>
    <w:rsid w:val="00FA52DC"/>
    <w:rsid w:val="00FB3D77"/>
    <w:rsid w:val="00FB4A0A"/>
    <w:rsid w:val="00FC30B2"/>
    <w:rsid w:val="00FC7504"/>
    <w:rsid w:val="00FD2B04"/>
    <w:rsid w:val="00FD4F5B"/>
    <w:rsid w:val="00FD5C88"/>
    <w:rsid w:val="00FE266C"/>
    <w:rsid w:val="00FE58AF"/>
    <w:rsid w:val="00FE61AC"/>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5794"/>
  <w15:docId w15:val="{90726F56-E1DA-4D50-9C59-BC999A44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paragraph" w:styleId="Heading1">
    <w:name w:val="heading 1"/>
    <w:basedOn w:val="Normal"/>
    <w:next w:val="Normal"/>
    <w:link w:val="Heading1Char"/>
    <w:uiPriority w:val="9"/>
    <w:qFormat/>
    <w:rsid w:val="006E37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0C190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
    <w:semiHidden/>
    <w:unhideWhenUsed/>
    <w:qFormat/>
    <w:rsid w:val="00982C5C"/>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377D"/>
    <w:rPr>
      <w:rFonts w:ascii="Cambria" w:eastAsia="Times New Roman" w:hAnsi="Cambria" w:cs="Times New Roman"/>
      <w:b/>
      <w:bCs/>
      <w:color w:val="365F91"/>
      <w:sz w:val="28"/>
      <w:szCs w:val="28"/>
    </w:rPr>
  </w:style>
  <w:style w:type="table" w:styleId="TableGrid">
    <w:name w:val="Table Grid"/>
    <w:basedOn w:val="TableNormal"/>
    <w:uiPriority w:val="59"/>
    <w:rsid w:val="006E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ar2"/>
    <w:basedOn w:val="Normal"/>
    <w:link w:val="HeaderChar"/>
    <w:unhideWhenUsed/>
    <w:rsid w:val="006520E0"/>
    <w:pPr>
      <w:tabs>
        <w:tab w:val="center" w:pos="4536"/>
        <w:tab w:val="right" w:pos="9072"/>
      </w:tabs>
      <w:spacing w:after="0" w:line="240" w:lineRule="auto"/>
    </w:pPr>
  </w:style>
  <w:style w:type="character" w:customStyle="1" w:styleId="HeaderChar">
    <w:name w:val="Header Char"/>
    <w:aliases w:val="Car2 Char"/>
    <w:basedOn w:val="DefaultParagraphFont"/>
    <w:link w:val="Header"/>
    <w:rsid w:val="006520E0"/>
  </w:style>
  <w:style w:type="paragraph" w:styleId="Footer">
    <w:name w:val="footer"/>
    <w:basedOn w:val="Normal"/>
    <w:link w:val="FooterChar"/>
    <w:uiPriority w:val="99"/>
    <w:unhideWhenUsed/>
    <w:rsid w:val="006520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20E0"/>
  </w:style>
  <w:style w:type="paragraph" w:styleId="BalloonText">
    <w:name w:val="Balloon Text"/>
    <w:basedOn w:val="Normal"/>
    <w:link w:val="BalloonTextChar"/>
    <w:uiPriority w:val="99"/>
    <w:semiHidden/>
    <w:unhideWhenUsed/>
    <w:rsid w:val="006520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0E0"/>
    <w:rPr>
      <w:rFonts w:ascii="Tahoma" w:hAnsi="Tahoma" w:cs="Tahoma"/>
      <w:sz w:val="16"/>
      <w:szCs w:val="16"/>
    </w:rPr>
  </w:style>
  <w:style w:type="paragraph" w:styleId="BodyText">
    <w:name w:val="Body Text"/>
    <w:basedOn w:val="Normal"/>
    <w:link w:val="BodyTextChar"/>
    <w:rsid w:val="006520E0"/>
    <w:pPr>
      <w:spacing w:after="0" w:line="240" w:lineRule="auto"/>
    </w:pPr>
    <w:rPr>
      <w:rFonts w:ascii="Arial" w:hAnsi="Arial"/>
      <w:b/>
      <w:snapToGrid w:val="0"/>
      <w:color w:val="000000"/>
      <w:sz w:val="28"/>
      <w:szCs w:val="20"/>
      <w:lang w:val="en-US"/>
    </w:rPr>
  </w:style>
  <w:style w:type="character" w:customStyle="1" w:styleId="BodyTextChar">
    <w:name w:val="Body Text Char"/>
    <w:link w:val="BodyText"/>
    <w:rsid w:val="006520E0"/>
    <w:rPr>
      <w:rFonts w:ascii="Arial" w:eastAsia="Times New Roman" w:hAnsi="Arial" w:cs="Times New Roman"/>
      <w:b/>
      <w:snapToGrid w:val="0"/>
      <w:color w:val="000000"/>
      <w:sz w:val="28"/>
      <w:szCs w:val="20"/>
      <w:lang w:val="en-US" w:eastAsia="fr-FR"/>
    </w:rPr>
  </w:style>
  <w:style w:type="character" w:styleId="Hyperlink">
    <w:name w:val="Hyperlink"/>
    <w:uiPriority w:val="99"/>
    <w:unhideWhenUsed/>
    <w:rsid w:val="005F7CFF"/>
    <w:rPr>
      <w:color w:val="0000FF"/>
      <w:u w:val="single"/>
    </w:rPr>
  </w:style>
  <w:style w:type="paragraph" w:styleId="ListParagraph">
    <w:name w:val="List Paragraph"/>
    <w:basedOn w:val="Normal"/>
    <w:link w:val="ListParagraphChar"/>
    <w:uiPriority w:val="34"/>
    <w:qFormat/>
    <w:rsid w:val="00571DB9"/>
    <w:pPr>
      <w:ind w:left="720"/>
      <w:contextualSpacing/>
    </w:pPr>
  </w:style>
  <w:style w:type="paragraph" w:styleId="NoSpacing">
    <w:name w:val="No Spacing"/>
    <w:uiPriority w:val="1"/>
    <w:qFormat/>
    <w:rsid w:val="00130F1A"/>
    <w:rPr>
      <w:sz w:val="22"/>
      <w:szCs w:val="22"/>
      <w:lang w:val="fr-FR" w:eastAsia="fr-FR"/>
    </w:rPr>
  </w:style>
  <w:style w:type="character" w:styleId="UnresolvedMention">
    <w:name w:val="Unresolved Mention"/>
    <w:uiPriority w:val="99"/>
    <w:semiHidden/>
    <w:unhideWhenUsed/>
    <w:rsid w:val="00A76A2D"/>
    <w:rPr>
      <w:color w:val="605E5C"/>
      <w:shd w:val="clear" w:color="auto" w:fill="E1DFDD"/>
    </w:rPr>
  </w:style>
  <w:style w:type="character" w:customStyle="1" w:styleId="Heading3Char">
    <w:name w:val="Heading 3 Char"/>
    <w:link w:val="Heading3"/>
    <w:uiPriority w:val="9"/>
    <w:rsid w:val="000C1909"/>
    <w:rPr>
      <w:rFonts w:ascii="Cambria" w:eastAsia="Times New Roman" w:hAnsi="Cambria" w:cs="Times New Roman"/>
      <w:color w:val="243F60"/>
      <w:sz w:val="24"/>
      <w:szCs w:val="24"/>
    </w:rPr>
  </w:style>
  <w:style w:type="character" w:customStyle="1" w:styleId="Heading4Char">
    <w:name w:val="Heading 4 Char"/>
    <w:link w:val="Heading4"/>
    <w:uiPriority w:val="9"/>
    <w:semiHidden/>
    <w:rsid w:val="00982C5C"/>
    <w:rPr>
      <w:rFonts w:ascii="Aptos" w:eastAsia="Times New Roman" w:hAnsi="Aptos" w:cs="Times New Roman"/>
      <w:b/>
      <w:bCs/>
      <w:sz w:val="28"/>
      <w:szCs w:val="28"/>
      <w:lang w:val="fr-FR" w:eastAsia="fr-FR"/>
    </w:rPr>
  </w:style>
  <w:style w:type="paragraph" w:styleId="BodyTextIndent">
    <w:name w:val="Body Text Indent"/>
    <w:basedOn w:val="Normal"/>
    <w:link w:val="BodyTextIndentChar"/>
    <w:uiPriority w:val="99"/>
    <w:semiHidden/>
    <w:unhideWhenUsed/>
    <w:rsid w:val="00220168"/>
    <w:pPr>
      <w:spacing w:after="120"/>
      <w:ind w:left="283"/>
    </w:pPr>
  </w:style>
  <w:style w:type="character" w:customStyle="1" w:styleId="BodyTextIndentChar">
    <w:name w:val="Body Text Indent Char"/>
    <w:link w:val="BodyTextIndent"/>
    <w:uiPriority w:val="99"/>
    <w:semiHidden/>
    <w:rsid w:val="00220168"/>
    <w:rPr>
      <w:sz w:val="22"/>
      <w:szCs w:val="22"/>
      <w:lang w:val="fr-FR" w:eastAsia="fr-FR"/>
    </w:rPr>
  </w:style>
  <w:style w:type="character" w:customStyle="1" w:styleId="ListParagraphChar">
    <w:name w:val="List Paragraph Char"/>
    <w:link w:val="ListParagraph"/>
    <w:locked/>
    <w:rsid w:val="00220168"/>
    <w:rPr>
      <w:sz w:val="22"/>
      <w:szCs w:val="22"/>
      <w:lang w:val="fr-FR" w:eastAsia="fr-FR"/>
    </w:rPr>
  </w:style>
  <w:style w:type="paragraph" w:styleId="Title">
    <w:name w:val="Title"/>
    <w:basedOn w:val="Normal"/>
    <w:next w:val="Normal"/>
    <w:link w:val="TitleChar"/>
    <w:qFormat/>
    <w:rsid w:val="00064A0F"/>
    <w:pPr>
      <w:widowControl w:val="0"/>
      <w:suppressAutoHyphens/>
      <w:spacing w:after="80" w:line="240" w:lineRule="auto"/>
      <w:contextualSpacing/>
    </w:pPr>
    <w:rPr>
      <w:rFonts w:ascii="Aptos Display" w:hAnsi="Aptos Display"/>
      <w:spacing w:val="-10"/>
      <w:kern w:val="28"/>
      <w:sz w:val="56"/>
      <w:szCs w:val="56"/>
      <w:lang w:eastAsia="en-US"/>
    </w:rPr>
  </w:style>
  <w:style w:type="character" w:customStyle="1" w:styleId="TitleChar">
    <w:name w:val="Title Char"/>
    <w:link w:val="Title"/>
    <w:rsid w:val="00064A0F"/>
    <w:rPr>
      <w:rFonts w:ascii="Aptos Display" w:hAnsi="Aptos Display"/>
      <w:spacing w:val="-10"/>
      <w:kern w:val="28"/>
      <w:sz w:val="56"/>
      <w:szCs w:val="56"/>
      <w:lang w:val="fr-FR" w:eastAsia="en-US"/>
    </w:rPr>
  </w:style>
  <w:style w:type="paragraph" w:customStyle="1" w:styleId="Modelelettrecorps">
    <w:name w:val="Modele lettre corps"/>
    <w:basedOn w:val="Normal"/>
    <w:rsid w:val="00064A0F"/>
    <w:pPr>
      <w:widowControl w:val="0"/>
      <w:suppressAutoHyphens/>
      <w:spacing w:after="0" w:line="240" w:lineRule="auto"/>
      <w:jc w:val="both"/>
    </w:pPr>
    <w:rPr>
      <w:rFonts w:ascii="Arial" w:eastAsia="Arial Unicode MS"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78390">
      <w:bodyDiv w:val="1"/>
      <w:marLeft w:val="0"/>
      <w:marRight w:val="0"/>
      <w:marTop w:val="0"/>
      <w:marBottom w:val="0"/>
      <w:divBdr>
        <w:top w:val="none" w:sz="0" w:space="0" w:color="auto"/>
        <w:left w:val="none" w:sz="0" w:space="0" w:color="auto"/>
        <w:bottom w:val="none" w:sz="0" w:space="0" w:color="auto"/>
        <w:right w:val="none" w:sz="0" w:space="0" w:color="auto"/>
      </w:divBdr>
    </w:div>
    <w:div w:id="1123228220">
      <w:bodyDiv w:val="1"/>
      <w:marLeft w:val="0"/>
      <w:marRight w:val="0"/>
      <w:marTop w:val="0"/>
      <w:marBottom w:val="0"/>
      <w:divBdr>
        <w:top w:val="none" w:sz="0" w:space="0" w:color="auto"/>
        <w:left w:val="none" w:sz="0" w:space="0" w:color="auto"/>
        <w:bottom w:val="none" w:sz="0" w:space="0" w:color="auto"/>
        <w:right w:val="none" w:sz="0" w:space="0" w:color="auto"/>
      </w:divBdr>
    </w:div>
    <w:div w:id="1297687161">
      <w:bodyDiv w:val="1"/>
      <w:marLeft w:val="0"/>
      <w:marRight w:val="0"/>
      <w:marTop w:val="0"/>
      <w:marBottom w:val="0"/>
      <w:divBdr>
        <w:top w:val="none" w:sz="0" w:space="0" w:color="auto"/>
        <w:left w:val="none" w:sz="0" w:space="0" w:color="auto"/>
        <w:bottom w:val="none" w:sz="0" w:space="0" w:color="auto"/>
        <w:right w:val="none" w:sz="0" w:space="0" w:color="auto"/>
      </w:divBdr>
    </w:div>
    <w:div w:id="16518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maiga@edmsa.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m-sa.com.ml" TargetMode="External"/><Relationship Id="rId5" Type="http://schemas.openxmlformats.org/officeDocument/2006/relationships/webSettings" Target="webSettings.xml"/><Relationship Id="rId10" Type="http://schemas.openxmlformats.org/officeDocument/2006/relationships/hyperlink" Target="mailto:hteguete@edmsa.ml" TargetMode="External"/><Relationship Id="rId4" Type="http://schemas.openxmlformats.org/officeDocument/2006/relationships/settings" Target="settings.xml"/><Relationship Id="rId9" Type="http://schemas.openxmlformats.org/officeDocument/2006/relationships/hyperlink" Target="http://www.edm-sa.com.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42F64-1755-48BF-A6F5-5C36DDAA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4890</Characters>
  <Application>Microsoft Office Word</Application>
  <DocSecurity>0</DocSecurity>
  <Lines>106</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5619</CharactersWithSpaces>
  <SharedDoc>false</SharedDoc>
  <HLinks>
    <vt:vector size="24" baseType="variant">
      <vt:variant>
        <vt:i4>5439515</vt:i4>
      </vt:variant>
      <vt:variant>
        <vt:i4>9</vt:i4>
      </vt:variant>
      <vt:variant>
        <vt:i4>0</vt:i4>
      </vt:variant>
      <vt:variant>
        <vt:i4>5</vt:i4>
      </vt:variant>
      <vt:variant>
        <vt:lpwstr>http://www.edm-sa.com.ml/</vt:lpwstr>
      </vt:variant>
      <vt:variant>
        <vt:lpwstr/>
      </vt:variant>
      <vt:variant>
        <vt:i4>8061021</vt:i4>
      </vt:variant>
      <vt:variant>
        <vt:i4>6</vt:i4>
      </vt:variant>
      <vt:variant>
        <vt:i4>0</vt:i4>
      </vt:variant>
      <vt:variant>
        <vt:i4>5</vt:i4>
      </vt:variant>
      <vt:variant>
        <vt:lpwstr>mailto:hteguete@edmsa.ml</vt:lpwstr>
      </vt:variant>
      <vt:variant>
        <vt:lpwstr/>
      </vt:variant>
      <vt:variant>
        <vt:i4>5439515</vt:i4>
      </vt:variant>
      <vt:variant>
        <vt:i4>3</vt:i4>
      </vt:variant>
      <vt:variant>
        <vt:i4>0</vt:i4>
      </vt:variant>
      <vt:variant>
        <vt:i4>5</vt:i4>
      </vt:variant>
      <vt:variant>
        <vt:lpwstr>http://www.edm-sa.com.ml/</vt:lpwstr>
      </vt:variant>
      <vt:variant>
        <vt:lpwstr/>
      </vt:variant>
      <vt:variant>
        <vt:i4>7209041</vt:i4>
      </vt:variant>
      <vt:variant>
        <vt:i4>0</vt:i4>
      </vt:variant>
      <vt:variant>
        <vt:i4>0</vt:i4>
      </vt:variant>
      <vt:variant>
        <vt:i4>5</vt:i4>
      </vt:variant>
      <vt:variant>
        <vt:lpwstr>mailto:mdmaiga@edmsa.ml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mftraore</dc:creator>
  <cp:keywords/>
  <cp:lastModifiedBy>Tahseen Ali</cp:lastModifiedBy>
  <cp:revision>2</cp:revision>
  <cp:lastPrinted>2024-05-06T06:50:00Z</cp:lastPrinted>
  <dcterms:created xsi:type="dcterms:W3CDTF">2024-12-24T10:29:00Z</dcterms:created>
  <dcterms:modified xsi:type="dcterms:W3CDTF">2024-12-24T10:29:00Z</dcterms:modified>
</cp:coreProperties>
</file>