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0FCE" w14:textId="4E1C6413" w:rsidR="004F5ECD" w:rsidRPr="005705FF" w:rsidRDefault="004B5355" w:rsidP="00092F22">
      <w:pPr>
        <w:spacing w:after="33" w:line="360" w:lineRule="auto"/>
        <w:ind w:right="3"/>
        <w:jc w:val="center"/>
        <w:rPr>
          <w:b/>
          <w:bCs/>
          <w:sz w:val="24"/>
          <w:szCs w:val="24"/>
        </w:rPr>
      </w:pPr>
      <w:r w:rsidRPr="004B5355">
        <w:rPr>
          <w:b/>
          <w:bCs/>
          <w:sz w:val="24"/>
          <w:szCs w:val="24"/>
        </w:rPr>
        <w:t>TERMS OF REFERENCE FOR TECHNICAL ASSI</w:t>
      </w:r>
      <w:r w:rsidR="00837135">
        <w:rPr>
          <w:b/>
          <w:bCs/>
          <w:sz w:val="24"/>
          <w:szCs w:val="24"/>
        </w:rPr>
        <w:t>S</w:t>
      </w:r>
      <w:r w:rsidRPr="004B5355">
        <w:rPr>
          <w:b/>
          <w:bCs/>
          <w:sz w:val="24"/>
          <w:szCs w:val="24"/>
        </w:rPr>
        <w:t>TANCE FROM THE ISLAMIC DEVELOPMENT BANK TO ENHANCE THE REGULATORY AND SUPERVISORY CAPACITY OF THE C</w:t>
      </w:r>
      <w:r w:rsidR="001A2A5D">
        <w:rPr>
          <w:b/>
          <w:bCs/>
          <w:sz w:val="24"/>
          <w:szCs w:val="24"/>
        </w:rPr>
        <w:t>ENTR</w:t>
      </w:r>
      <w:r w:rsidR="001F6437">
        <w:rPr>
          <w:b/>
          <w:bCs/>
          <w:sz w:val="24"/>
          <w:szCs w:val="24"/>
        </w:rPr>
        <w:t>A</w:t>
      </w:r>
      <w:r w:rsidR="0037683D">
        <w:rPr>
          <w:b/>
          <w:bCs/>
          <w:sz w:val="24"/>
          <w:szCs w:val="24"/>
        </w:rPr>
        <w:t xml:space="preserve">L </w:t>
      </w:r>
      <w:r w:rsidRPr="004B5355">
        <w:rPr>
          <w:b/>
          <w:bCs/>
          <w:sz w:val="24"/>
          <w:szCs w:val="24"/>
        </w:rPr>
        <w:t>B</w:t>
      </w:r>
      <w:r w:rsidR="0037683D">
        <w:rPr>
          <w:b/>
          <w:bCs/>
          <w:sz w:val="24"/>
          <w:szCs w:val="24"/>
        </w:rPr>
        <w:t xml:space="preserve">ANK OF </w:t>
      </w:r>
      <w:r w:rsidRPr="004B5355">
        <w:rPr>
          <w:b/>
          <w:bCs/>
          <w:sz w:val="24"/>
          <w:szCs w:val="24"/>
        </w:rPr>
        <w:t>N</w:t>
      </w:r>
      <w:r w:rsidR="0037683D">
        <w:rPr>
          <w:b/>
          <w:bCs/>
          <w:sz w:val="24"/>
          <w:szCs w:val="24"/>
        </w:rPr>
        <w:t>IGERIA</w:t>
      </w:r>
    </w:p>
    <w:p w14:paraId="3B5FDBFA" w14:textId="77777777" w:rsidR="0010770F" w:rsidRPr="005705FF" w:rsidRDefault="0010770F" w:rsidP="00153CE5">
      <w:pPr>
        <w:spacing w:line="360" w:lineRule="auto"/>
        <w:rPr>
          <w:sz w:val="24"/>
          <w:szCs w:val="24"/>
        </w:rPr>
      </w:pPr>
    </w:p>
    <w:tbl>
      <w:tblPr>
        <w:tblStyle w:val="TableGrid"/>
        <w:tblW w:w="9328" w:type="dxa"/>
        <w:tblInd w:w="62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8670"/>
      </w:tblGrid>
      <w:tr w:rsidR="00676FF5" w:rsidRPr="005705FF" w14:paraId="0BE6C5F5" w14:textId="77777777" w:rsidTr="0097367F">
        <w:trPr>
          <w:trHeight w:val="3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DB4FDDC" w14:textId="1FD5DFBA" w:rsidR="00676FF5" w:rsidRPr="005705FF" w:rsidRDefault="00064F54" w:rsidP="00153CE5">
            <w:pPr>
              <w:spacing w:line="360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1.</w:t>
            </w:r>
            <w:r w:rsidRPr="005705FF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37BB54B" w14:textId="4899A914" w:rsidR="00676FF5" w:rsidRPr="005705FF" w:rsidRDefault="00064F54" w:rsidP="00153CE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 xml:space="preserve">INTRODUCTION </w:t>
            </w:r>
          </w:p>
        </w:tc>
      </w:tr>
    </w:tbl>
    <w:p w14:paraId="3B4DAB64" w14:textId="77777777" w:rsidR="00676FF5" w:rsidRPr="005705FF" w:rsidRDefault="00676FF5" w:rsidP="00153CE5">
      <w:pPr>
        <w:spacing w:line="360" w:lineRule="auto"/>
        <w:rPr>
          <w:sz w:val="24"/>
          <w:szCs w:val="24"/>
        </w:rPr>
      </w:pPr>
    </w:p>
    <w:p w14:paraId="3DF2FA17" w14:textId="291EDB01" w:rsidR="00C54DAF" w:rsidRDefault="00AB6E6D" w:rsidP="00771BFC">
      <w:pPr>
        <w:suppressAutoHyphens/>
        <w:spacing w:line="360" w:lineRule="auto"/>
        <w:jc w:val="both"/>
        <w:rPr>
          <w:spacing w:val="-2"/>
          <w:sz w:val="24"/>
          <w:szCs w:val="24"/>
        </w:rPr>
      </w:pPr>
      <w:r w:rsidRPr="005705FF">
        <w:rPr>
          <w:spacing w:val="-2"/>
          <w:sz w:val="24"/>
          <w:szCs w:val="24"/>
        </w:rPr>
        <w:t xml:space="preserve">Central Bank of Nigeria (CBN) </w:t>
      </w:r>
      <w:r w:rsidRPr="005705FF">
        <w:rPr>
          <w:iCs/>
          <w:spacing w:val="-2"/>
          <w:sz w:val="24"/>
          <w:szCs w:val="24"/>
        </w:rPr>
        <w:t>has received</w:t>
      </w:r>
      <w:r w:rsidR="00093A2C">
        <w:rPr>
          <w:iCs/>
          <w:spacing w:val="-2"/>
          <w:sz w:val="24"/>
          <w:szCs w:val="24"/>
        </w:rPr>
        <w:t xml:space="preserve"> a</w:t>
      </w:r>
      <w:r w:rsidRPr="005705FF">
        <w:rPr>
          <w:iCs/>
          <w:spacing w:val="-2"/>
          <w:sz w:val="24"/>
          <w:szCs w:val="24"/>
        </w:rPr>
        <w:t xml:space="preserve"> </w:t>
      </w:r>
      <w:r w:rsidR="00771BFC" w:rsidRPr="005705FF">
        <w:rPr>
          <w:spacing w:val="-2"/>
          <w:sz w:val="24"/>
          <w:szCs w:val="24"/>
        </w:rPr>
        <w:t>Grant</w:t>
      </w:r>
      <w:r w:rsidR="00771BFC" w:rsidRPr="005705FF">
        <w:rPr>
          <w:iCs/>
          <w:spacing w:val="-2"/>
          <w:sz w:val="24"/>
          <w:szCs w:val="24"/>
        </w:rPr>
        <w:t xml:space="preserve"> </w:t>
      </w:r>
      <w:r w:rsidRPr="005705FF">
        <w:rPr>
          <w:spacing w:val="-2"/>
          <w:sz w:val="24"/>
          <w:szCs w:val="24"/>
        </w:rPr>
        <w:t xml:space="preserve">from the Islamic Development Bank </w:t>
      </w:r>
      <w:r w:rsidR="00AC04C6" w:rsidRPr="005705FF">
        <w:rPr>
          <w:spacing w:val="-2"/>
          <w:sz w:val="24"/>
          <w:szCs w:val="24"/>
        </w:rPr>
        <w:t xml:space="preserve">(IsDB) </w:t>
      </w:r>
      <w:r w:rsidRPr="005705FF">
        <w:rPr>
          <w:spacing w:val="-2"/>
          <w:sz w:val="24"/>
          <w:szCs w:val="24"/>
        </w:rPr>
        <w:t>to enhance the Regulatory and Supervisory Capacity of the CBN</w:t>
      </w:r>
      <w:r w:rsidR="00AC04C6" w:rsidRPr="005705FF">
        <w:rPr>
          <w:spacing w:val="-2"/>
          <w:sz w:val="24"/>
          <w:szCs w:val="24"/>
        </w:rPr>
        <w:t xml:space="preserve"> </w:t>
      </w:r>
      <w:r w:rsidR="00586344">
        <w:rPr>
          <w:spacing w:val="-2"/>
          <w:sz w:val="24"/>
          <w:szCs w:val="24"/>
        </w:rPr>
        <w:t xml:space="preserve">in the areas </w:t>
      </w:r>
      <w:r w:rsidR="00E30D35">
        <w:rPr>
          <w:spacing w:val="-2"/>
          <w:sz w:val="24"/>
          <w:szCs w:val="24"/>
        </w:rPr>
        <w:t xml:space="preserve">of </w:t>
      </w:r>
      <w:r w:rsidR="006827EB">
        <w:rPr>
          <w:spacing w:val="-2"/>
          <w:sz w:val="24"/>
          <w:szCs w:val="24"/>
        </w:rPr>
        <w:t>L</w:t>
      </w:r>
      <w:r w:rsidR="00E30D35">
        <w:rPr>
          <w:spacing w:val="-2"/>
          <w:sz w:val="24"/>
          <w:szCs w:val="24"/>
        </w:rPr>
        <w:t xml:space="preserve">iquidity </w:t>
      </w:r>
      <w:r w:rsidR="000337A4">
        <w:rPr>
          <w:spacing w:val="-2"/>
          <w:sz w:val="24"/>
          <w:szCs w:val="24"/>
        </w:rPr>
        <w:t>M</w:t>
      </w:r>
      <w:r w:rsidR="00E30D35">
        <w:rPr>
          <w:spacing w:val="-2"/>
          <w:sz w:val="24"/>
          <w:szCs w:val="24"/>
        </w:rPr>
        <w:t>anagement</w:t>
      </w:r>
      <w:r w:rsidR="000337A4">
        <w:rPr>
          <w:spacing w:val="-2"/>
          <w:sz w:val="24"/>
          <w:szCs w:val="24"/>
        </w:rPr>
        <w:t xml:space="preserve">, </w:t>
      </w:r>
      <w:r w:rsidR="006827EB">
        <w:rPr>
          <w:spacing w:val="-2"/>
          <w:sz w:val="24"/>
          <w:szCs w:val="24"/>
        </w:rPr>
        <w:t>Shari’ah Audit</w:t>
      </w:r>
      <w:r w:rsidR="000337A4">
        <w:rPr>
          <w:spacing w:val="-2"/>
          <w:sz w:val="24"/>
          <w:szCs w:val="24"/>
        </w:rPr>
        <w:t xml:space="preserve"> and Conversion of Conventional Banks to Non-Interest Banks</w:t>
      </w:r>
      <w:r w:rsidRPr="005705FF">
        <w:rPr>
          <w:spacing w:val="-2"/>
          <w:sz w:val="24"/>
          <w:szCs w:val="24"/>
        </w:rPr>
        <w:t>.</w:t>
      </w:r>
    </w:p>
    <w:p w14:paraId="6028730E" w14:textId="77777777" w:rsidR="00C54DAF" w:rsidRDefault="00C54DAF" w:rsidP="00771BFC">
      <w:pPr>
        <w:suppressAutoHyphens/>
        <w:spacing w:line="360" w:lineRule="auto"/>
        <w:jc w:val="both"/>
        <w:rPr>
          <w:spacing w:val="-2"/>
          <w:sz w:val="24"/>
          <w:szCs w:val="24"/>
        </w:rPr>
      </w:pPr>
    </w:p>
    <w:p w14:paraId="215091DB" w14:textId="18E69695" w:rsidR="00AB6E6D" w:rsidRPr="00771BFC" w:rsidRDefault="00AC74FC" w:rsidP="00771BFC">
      <w:pPr>
        <w:suppressAutoHyphens/>
        <w:spacing w:line="360" w:lineRule="auto"/>
        <w:jc w:val="both"/>
        <w:rPr>
          <w:spacing w:val="-2"/>
          <w:sz w:val="24"/>
          <w:szCs w:val="24"/>
          <w:lang w:val="en-GB"/>
        </w:rPr>
      </w:pPr>
      <w:r w:rsidRPr="005705FF">
        <w:rPr>
          <w:spacing w:val="-2"/>
          <w:sz w:val="24"/>
          <w:szCs w:val="24"/>
        </w:rPr>
        <w:t xml:space="preserve">The CBN </w:t>
      </w:r>
      <w:r w:rsidR="0066155F" w:rsidRPr="005705FF">
        <w:rPr>
          <w:spacing w:val="-2"/>
          <w:sz w:val="24"/>
          <w:szCs w:val="24"/>
        </w:rPr>
        <w:t xml:space="preserve">had </w:t>
      </w:r>
      <w:r w:rsidR="00771BFC">
        <w:rPr>
          <w:spacing w:val="-2"/>
          <w:sz w:val="24"/>
          <w:szCs w:val="24"/>
        </w:rPr>
        <w:t>in</w:t>
      </w:r>
      <w:r w:rsidR="0066155F" w:rsidRPr="005705FF">
        <w:rPr>
          <w:spacing w:val="-2"/>
          <w:sz w:val="24"/>
          <w:szCs w:val="24"/>
        </w:rPr>
        <w:t xml:space="preserve"> 2011 issued</w:t>
      </w:r>
      <w:r w:rsidR="00B13E6F">
        <w:rPr>
          <w:spacing w:val="-2"/>
          <w:sz w:val="24"/>
          <w:szCs w:val="24"/>
        </w:rPr>
        <w:t xml:space="preserve"> the</w:t>
      </w:r>
      <w:r w:rsidR="0066155F" w:rsidRPr="005705FF">
        <w:rPr>
          <w:spacing w:val="-2"/>
          <w:sz w:val="24"/>
          <w:szCs w:val="24"/>
        </w:rPr>
        <w:t xml:space="preserve"> </w:t>
      </w:r>
      <w:r w:rsidR="00B13E6F">
        <w:rPr>
          <w:spacing w:val="-2"/>
          <w:sz w:val="24"/>
          <w:szCs w:val="24"/>
        </w:rPr>
        <w:t>F</w:t>
      </w:r>
      <w:r w:rsidR="0066155F" w:rsidRPr="005705FF">
        <w:rPr>
          <w:spacing w:val="-2"/>
          <w:sz w:val="24"/>
          <w:szCs w:val="24"/>
        </w:rPr>
        <w:t xml:space="preserve">ramework for the </w:t>
      </w:r>
      <w:r w:rsidR="00B13E6F">
        <w:rPr>
          <w:spacing w:val="-2"/>
          <w:sz w:val="24"/>
          <w:szCs w:val="24"/>
        </w:rPr>
        <w:t>R</w:t>
      </w:r>
      <w:r w:rsidR="00B13E6F" w:rsidRPr="005705FF">
        <w:rPr>
          <w:spacing w:val="-2"/>
          <w:sz w:val="24"/>
          <w:szCs w:val="24"/>
        </w:rPr>
        <w:t xml:space="preserve">egulation </w:t>
      </w:r>
      <w:r w:rsidR="00522584">
        <w:rPr>
          <w:spacing w:val="-2"/>
          <w:sz w:val="24"/>
          <w:szCs w:val="24"/>
        </w:rPr>
        <w:t xml:space="preserve">and Supervision </w:t>
      </w:r>
      <w:r w:rsidR="0066155F" w:rsidRPr="005705FF">
        <w:rPr>
          <w:spacing w:val="-2"/>
          <w:sz w:val="24"/>
          <w:szCs w:val="24"/>
        </w:rPr>
        <w:t>of Islamic banks</w:t>
      </w:r>
      <w:r w:rsidR="00771BFC">
        <w:rPr>
          <w:spacing w:val="-2"/>
          <w:sz w:val="24"/>
          <w:szCs w:val="24"/>
        </w:rPr>
        <w:t xml:space="preserve"> </w:t>
      </w:r>
      <w:r w:rsidR="00771BFC" w:rsidRPr="005705FF">
        <w:rPr>
          <w:spacing w:val="-2"/>
          <w:sz w:val="24"/>
          <w:szCs w:val="24"/>
        </w:rPr>
        <w:t>(called non-interest banks in Nigeria</w:t>
      </w:r>
      <w:r w:rsidR="00771BFC">
        <w:rPr>
          <w:spacing w:val="-2"/>
          <w:sz w:val="24"/>
          <w:szCs w:val="24"/>
        </w:rPr>
        <w:t xml:space="preserve">), and the Guidelines </w:t>
      </w:r>
      <w:r w:rsidR="00771BFC" w:rsidRPr="00771BFC">
        <w:rPr>
          <w:spacing w:val="-2"/>
          <w:sz w:val="24"/>
          <w:szCs w:val="24"/>
          <w:lang w:val="en-GB"/>
        </w:rPr>
        <w:t xml:space="preserve">on </w:t>
      </w:r>
      <w:r w:rsidR="00771BFC">
        <w:rPr>
          <w:spacing w:val="-2"/>
          <w:sz w:val="24"/>
          <w:szCs w:val="24"/>
          <w:lang w:val="en-GB"/>
        </w:rPr>
        <w:t>N</w:t>
      </w:r>
      <w:r w:rsidR="00771BFC" w:rsidRPr="00771BFC">
        <w:rPr>
          <w:spacing w:val="-2"/>
          <w:sz w:val="24"/>
          <w:szCs w:val="24"/>
          <w:lang w:val="en-GB"/>
        </w:rPr>
        <w:t>on-</w:t>
      </w:r>
      <w:r w:rsidR="00771BFC">
        <w:rPr>
          <w:spacing w:val="-2"/>
          <w:sz w:val="24"/>
          <w:szCs w:val="24"/>
          <w:lang w:val="en-GB"/>
        </w:rPr>
        <w:t>I</w:t>
      </w:r>
      <w:r w:rsidR="00771BFC" w:rsidRPr="00771BFC">
        <w:rPr>
          <w:spacing w:val="-2"/>
          <w:sz w:val="24"/>
          <w:szCs w:val="24"/>
          <w:lang w:val="en-GB"/>
        </w:rPr>
        <w:t xml:space="preserve">nterest </w:t>
      </w:r>
      <w:r w:rsidR="00771BFC">
        <w:rPr>
          <w:spacing w:val="-2"/>
          <w:sz w:val="24"/>
          <w:szCs w:val="24"/>
          <w:lang w:val="en-GB"/>
        </w:rPr>
        <w:t>W</w:t>
      </w:r>
      <w:r w:rsidR="00771BFC" w:rsidRPr="00771BFC">
        <w:rPr>
          <w:spacing w:val="-2"/>
          <w:sz w:val="24"/>
          <w:szCs w:val="24"/>
          <w:lang w:val="en-GB"/>
        </w:rPr>
        <w:t xml:space="preserve">indow and </w:t>
      </w:r>
      <w:r w:rsidR="00771BFC">
        <w:rPr>
          <w:spacing w:val="-2"/>
          <w:sz w:val="24"/>
          <w:szCs w:val="24"/>
          <w:lang w:val="en-GB"/>
        </w:rPr>
        <w:t>B</w:t>
      </w:r>
      <w:r w:rsidR="00771BFC" w:rsidRPr="00771BFC">
        <w:rPr>
          <w:spacing w:val="-2"/>
          <w:sz w:val="24"/>
          <w:szCs w:val="24"/>
          <w:lang w:val="en-GB"/>
        </w:rPr>
        <w:t>ranch operations</w:t>
      </w:r>
      <w:r w:rsidR="00771BFC">
        <w:rPr>
          <w:spacing w:val="-2"/>
          <w:sz w:val="24"/>
          <w:szCs w:val="24"/>
          <w:lang w:val="en-GB"/>
        </w:rPr>
        <w:t xml:space="preserve"> </w:t>
      </w:r>
      <w:r w:rsidR="00771BFC" w:rsidRPr="00771BFC">
        <w:rPr>
          <w:spacing w:val="-2"/>
          <w:sz w:val="24"/>
          <w:szCs w:val="24"/>
          <w:lang w:val="en-GB"/>
        </w:rPr>
        <w:t xml:space="preserve">of </w:t>
      </w:r>
      <w:r w:rsidR="00771BFC">
        <w:rPr>
          <w:spacing w:val="-2"/>
          <w:sz w:val="24"/>
          <w:szCs w:val="24"/>
          <w:lang w:val="en-GB"/>
        </w:rPr>
        <w:t>C</w:t>
      </w:r>
      <w:r w:rsidR="00771BFC" w:rsidRPr="00771BFC">
        <w:rPr>
          <w:spacing w:val="-2"/>
          <w:sz w:val="24"/>
          <w:szCs w:val="24"/>
          <w:lang w:val="en-GB"/>
        </w:rPr>
        <w:t xml:space="preserve">onventional </w:t>
      </w:r>
      <w:r w:rsidR="00771BFC">
        <w:rPr>
          <w:spacing w:val="-2"/>
          <w:sz w:val="24"/>
          <w:szCs w:val="24"/>
          <w:lang w:val="en-GB"/>
        </w:rPr>
        <w:t>B</w:t>
      </w:r>
      <w:r w:rsidR="00771BFC" w:rsidRPr="00771BFC">
        <w:rPr>
          <w:spacing w:val="-2"/>
          <w:sz w:val="24"/>
          <w:szCs w:val="24"/>
          <w:lang w:val="en-GB"/>
        </w:rPr>
        <w:t xml:space="preserve">anks and </w:t>
      </w:r>
      <w:r w:rsidR="00771BFC">
        <w:rPr>
          <w:spacing w:val="-2"/>
          <w:sz w:val="24"/>
          <w:szCs w:val="24"/>
          <w:lang w:val="en-GB"/>
        </w:rPr>
        <w:t>O</w:t>
      </w:r>
      <w:r w:rsidR="00771BFC" w:rsidRPr="00771BFC">
        <w:rPr>
          <w:spacing w:val="-2"/>
          <w:sz w:val="24"/>
          <w:szCs w:val="24"/>
          <w:lang w:val="en-GB"/>
        </w:rPr>
        <w:t xml:space="preserve">ther </w:t>
      </w:r>
      <w:r w:rsidR="00771BFC">
        <w:rPr>
          <w:spacing w:val="-2"/>
          <w:sz w:val="24"/>
          <w:szCs w:val="24"/>
          <w:lang w:val="en-GB"/>
        </w:rPr>
        <w:t>F</w:t>
      </w:r>
      <w:r w:rsidR="00771BFC" w:rsidRPr="00771BFC">
        <w:rPr>
          <w:spacing w:val="-2"/>
          <w:sz w:val="24"/>
          <w:szCs w:val="24"/>
          <w:lang w:val="en-GB"/>
        </w:rPr>
        <w:t xml:space="preserve">inancial </w:t>
      </w:r>
      <w:r w:rsidR="00771BFC">
        <w:rPr>
          <w:spacing w:val="-2"/>
          <w:sz w:val="24"/>
          <w:szCs w:val="24"/>
          <w:lang w:val="en-GB"/>
        </w:rPr>
        <w:t>I</w:t>
      </w:r>
      <w:r w:rsidR="00771BFC" w:rsidRPr="00771BFC">
        <w:rPr>
          <w:spacing w:val="-2"/>
          <w:sz w:val="24"/>
          <w:szCs w:val="24"/>
          <w:lang w:val="en-GB"/>
        </w:rPr>
        <w:t>nstitutions</w:t>
      </w:r>
      <w:r w:rsidR="00771BFC">
        <w:rPr>
          <w:spacing w:val="-2"/>
          <w:sz w:val="24"/>
          <w:szCs w:val="24"/>
          <w:lang w:val="en-GB"/>
        </w:rPr>
        <w:t>. Also,</w:t>
      </w:r>
      <w:r w:rsidR="00810492">
        <w:rPr>
          <w:spacing w:val="-2"/>
          <w:sz w:val="24"/>
          <w:szCs w:val="24"/>
          <w:lang w:val="en-GB"/>
        </w:rPr>
        <w:t xml:space="preserve"> </w:t>
      </w:r>
      <w:r w:rsidR="00771BFC">
        <w:rPr>
          <w:spacing w:val="-2"/>
          <w:sz w:val="24"/>
          <w:szCs w:val="24"/>
        </w:rPr>
        <w:t xml:space="preserve">in 2017, </w:t>
      </w:r>
      <w:r w:rsidR="00B13E6F">
        <w:rPr>
          <w:spacing w:val="-2"/>
          <w:sz w:val="24"/>
          <w:szCs w:val="24"/>
        </w:rPr>
        <w:t xml:space="preserve">the </w:t>
      </w:r>
      <w:r w:rsidR="00771BFC" w:rsidRPr="00771BFC">
        <w:rPr>
          <w:spacing w:val="-2"/>
          <w:sz w:val="24"/>
          <w:szCs w:val="24"/>
          <w:lang w:val="en-GB"/>
        </w:rPr>
        <w:t xml:space="preserve">Guidelines </w:t>
      </w:r>
      <w:r w:rsidR="00771BFC">
        <w:rPr>
          <w:spacing w:val="-2"/>
          <w:sz w:val="24"/>
          <w:szCs w:val="24"/>
          <w:lang w:val="en-GB"/>
        </w:rPr>
        <w:t>o</w:t>
      </w:r>
      <w:r w:rsidR="00771BFC" w:rsidRPr="00771BFC">
        <w:rPr>
          <w:spacing w:val="-2"/>
          <w:sz w:val="24"/>
          <w:szCs w:val="24"/>
          <w:lang w:val="en-GB"/>
        </w:rPr>
        <w:t xml:space="preserve">n </w:t>
      </w:r>
      <w:r w:rsidR="00771BFC">
        <w:rPr>
          <w:spacing w:val="-2"/>
          <w:sz w:val="24"/>
          <w:szCs w:val="24"/>
          <w:lang w:val="en-GB"/>
        </w:rPr>
        <w:t>t</w:t>
      </w:r>
      <w:r w:rsidR="00771BFC" w:rsidRPr="00771BFC">
        <w:rPr>
          <w:spacing w:val="-2"/>
          <w:sz w:val="24"/>
          <w:szCs w:val="24"/>
          <w:lang w:val="en-GB"/>
        </w:rPr>
        <w:t xml:space="preserve">he Regulation </w:t>
      </w:r>
      <w:r w:rsidR="00771BFC">
        <w:rPr>
          <w:spacing w:val="-2"/>
          <w:sz w:val="24"/>
          <w:szCs w:val="24"/>
          <w:lang w:val="en-GB"/>
        </w:rPr>
        <w:t>a</w:t>
      </w:r>
      <w:r w:rsidR="00771BFC" w:rsidRPr="00771BFC">
        <w:rPr>
          <w:spacing w:val="-2"/>
          <w:sz w:val="24"/>
          <w:szCs w:val="24"/>
          <w:lang w:val="en-GB"/>
        </w:rPr>
        <w:t xml:space="preserve">nd Supervision </w:t>
      </w:r>
      <w:r w:rsidR="00771BFC">
        <w:rPr>
          <w:spacing w:val="-2"/>
          <w:sz w:val="24"/>
          <w:szCs w:val="24"/>
          <w:lang w:val="en-GB"/>
        </w:rPr>
        <w:t>o</w:t>
      </w:r>
      <w:r w:rsidR="00771BFC" w:rsidRPr="00771BFC">
        <w:rPr>
          <w:spacing w:val="-2"/>
          <w:sz w:val="24"/>
          <w:szCs w:val="24"/>
          <w:lang w:val="en-GB"/>
        </w:rPr>
        <w:t xml:space="preserve">f Non-Interest (Islamic) Microfinance Banks </w:t>
      </w:r>
      <w:r w:rsidR="00771BFC">
        <w:rPr>
          <w:spacing w:val="-2"/>
          <w:sz w:val="24"/>
          <w:szCs w:val="24"/>
          <w:lang w:val="en-GB"/>
        </w:rPr>
        <w:t>i</w:t>
      </w:r>
      <w:r w:rsidR="00771BFC" w:rsidRPr="00771BFC">
        <w:rPr>
          <w:spacing w:val="-2"/>
          <w:sz w:val="24"/>
          <w:szCs w:val="24"/>
          <w:lang w:val="en-GB"/>
        </w:rPr>
        <w:t>n Nigeria</w:t>
      </w:r>
      <w:r w:rsidR="00B13E6F">
        <w:rPr>
          <w:spacing w:val="-2"/>
          <w:sz w:val="24"/>
          <w:szCs w:val="24"/>
          <w:lang w:val="en-GB"/>
        </w:rPr>
        <w:t xml:space="preserve"> was released</w:t>
      </w:r>
      <w:r w:rsidR="00771BFC">
        <w:rPr>
          <w:spacing w:val="-2"/>
          <w:sz w:val="24"/>
          <w:szCs w:val="24"/>
          <w:lang w:val="en-GB"/>
        </w:rPr>
        <w:t>. In addition, the CBN had</w:t>
      </w:r>
      <w:r w:rsidR="004021A2">
        <w:rPr>
          <w:spacing w:val="-2"/>
          <w:sz w:val="24"/>
          <w:szCs w:val="24"/>
          <w:lang w:val="en-GB"/>
        </w:rPr>
        <w:t xml:space="preserve"> </w:t>
      </w:r>
      <w:r w:rsidR="00771BFC">
        <w:rPr>
          <w:spacing w:val="-2"/>
          <w:sz w:val="24"/>
          <w:szCs w:val="24"/>
          <w:lang w:val="en-GB"/>
        </w:rPr>
        <w:t xml:space="preserve">issued </w:t>
      </w:r>
      <w:proofErr w:type="gramStart"/>
      <w:r w:rsidR="00771BFC">
        <w:rPr>
          <w:spacing w:val="-2"/>
          <w:sz w:val="24"/>
          <w:szCs w:val="24"/>
          <w:lang w:val="en-GB"/>
        </w:rPr>
        <w:t>a</w:t>
      </w:r>
      <w:r w:rsidR="00015360">
        <w:rPr>
          <w:spacing w:val="-2"/>
          <w:sz w:val="24"/>
          <w:szCs w:val="24"/>
          <w:lang w:val="en-GB"/>
        </w:rPr>
        <w:t xml:space="preserve"> </w:t>
      </w:r>
      <w:r w:rsidR="00771BFC">
        <w:rPr>
          <w:spacing w:val="-2"/>
          <w:sz w:val="24"/>
          <w:szCs w:val="24"/>
          <w:lang w:val="en-GB"/>
        </w:rPr>
        <w:t>number</w:t>
      </w:r>
      <w:r w:rsidR="00015360">
        <w:rPr>
          <w:spacing w:val="-2"/>
          <w:sz w:val="24"/>
          <w:szCs w:val="24"/>
          <w:lang w:val="en-GB"/>
        </w:rPr>
        <w:t xml:space="preserve"> </w:t>
      </w:r>
      <w:r w:rsidR="00771BFC">
        <w:rPr>
          <w:spacing w:val="-2"/>
          <w:sz w:val="24"/>
          <w:szCs w:val="24"/>
          <w:lang w:val="en-GB"/>
        </w:rPr>
        <w:t>of</w:t>
      </w:r>
      <w:proofErr w:type="gramEnd"/>
      <w:r w:rsidR="00771BFC">
        <w:rPr>
          <w:spacing w:val="-2"/>
          <w:sz w:val="24"/>
          <w:szCs w:val="24"/>
          <w:lang w:val="en-GB"/>
        </w:rPr>
        <w:t xml:space="preserve"> policies towards the regulation and supervision of</w:t>
      </w:r>
      <w:r w:rsidR="00B13E6F">
        <w:rPr>
          <w:spacing w:val="-2"/>
          <w:sz w:val="24"/>
          <w:szCs w:val="24"/>
          <w:lang w:val="en-GB"/>
        </w:rPr>
        <w:t xml:space="preserve"> non-interest</w:t>
      </w:r>
      <w:r w:rsidR="00771BFC">
        <w:rPr>
          <w:spacing w:val="-2"/>
          <w:sz w:val="24"/>
          <w:szCs w:val="24"/>
          <w:lang w:val="en-GB"/>
        </w:rPr>
        <w:t xml:space="preserve"> </w:t>
      </w:r>
      <w:r w:rsidR="00B13E6F">
        <w:rPr>
          <w:spacing w:val="-2"/>
          <w:sz w:val="24"/>
          <w:szCs w:val="24"/>
          <w:lang w:val="en-GB"/>
        </w:rPr>
        <w:t>(</w:t>
      </w:r>
      <w:r w:rsidR="00771BFC">
        <w:rPr>
          <w:spacing w:val="-2"/>
          <w:sz w:val="24"/>
          <w:szCs w:val="24"/>
          <w:lang w:val="en-GB"/>
        </w:rPr>
        <w:t>Islamic</w:t>
      </w:r>
      <w:r w:rsidR="00B13E6F">
        <w:rPr>
          <w:spacing w:val="-2"/>
          <w:sz w:val="24"/>
          <w:szCs w:val="24"/>
          <w:lang w:val="en-GB"/>
        </w:rPr>
        <w:t>)</w:t>
      </w:r>
      <w:r w:rsidR="00771BFC">
        <w:rPr>
          <w:spacing w:val="-2"/>
          <w:sz w:val="24"/>
          <w:szCs w:val="24"/>
          <w:lang w:val="en-GB"/>
        </w:rPr>
        <w:t xml:space="preserve"> banks in Nigeria.</w:t>
      </w:r>
      <w:r w:rsidR="004021A2">
        <w:rPr>
          <w:spacing w:val="-2"/>
          <w:sz w:val="24"/>
          <w:szCs w:val="24"/>
          <w:lang w:val="en-GB"/>
        </w:rPr>
        <w:t xml:space="preserve"> However, one of the challenges faced by the Islamic banks is dearth of competitive Shari’ah-compliant liquidity management instruments and lack of sufficient knowledge of the Shari’ah by examiners while supervising the </w:t>
      </w:r>
      <w:r w:rsidR="004021A2" w:rsidRPr="007453DD">
        <w:rPr>
          <w:spacing w:val="-2"/>
          <w:sz w:val="24"/>
          <w:szCs w:val="24"/>
          <w:lang w:val="en-GB"/>
        </w:rPr>
        <w:t>banks.</w:t>
      </w:r>
      <w:r w:rsidR="00771BFC" w:rsidRPr="00771BFC">
        <w:rPr>
          <w:spacing w:val="-2"/>
          <w:sz w:val="24"/>
          <w:szCs w:val="24"/>
        </w:rPr>
        <w:tab/>
      </w:r>
    </w:p>
    <w:p w14:paraId="126FFB5D" w14:textId="77777777" w:rsidR="00676FF5" w:rsidRPr="00771BFC" w:rsidRDefault="00676FF5" w:rsidP="00153CE5">
      <w:pPr>
        <w:spacing w:line="360" w:lineRule="auto"/>
        <w:rPr>
          <w:sz w:val="24"/>
          <w:szCs w:val="24"/>
        </w:rPr>
      </w:pPr>
    </w:p>
    <w:tbl>
      <w:tblPr>
        <w:tblStyle w:val="TableGrid"/>
        <w:tblW w:w="9328" w:type="dxa"/>
        <w:tblInd w:w="62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8670"/>
      </w:tblGrid>
      <w:tr w:rsidR="00F438FC" w:rsidRPr="005705FF" w14:paraId="13952C64" w14:textId="77777777" w:rsidTr="0097367F">
        <w:trPr>
          <w:trHeight w:val="36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F736F41" w14:textId="7586A740" w:rsidR="00F438FC" w:rsidRPr="005705FF" w:rsidRDefault="00064F54" w:rsidP="00153CE5">
            <w:pPr>
              <w:spacing w:line="360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2.</w:t>
            </w:r>
            <w:r w:rsidRPr="005705FF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7A7FCAD4" w14:textId="126E542C" w:rsidR="00F438FC" w:rsidRPr="005705FF" w:rsidRDefault="00064F54" w:rsidP="00153CE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 xml:space="preserve">BACKGROUND </w:t>
            </w:r>
          </w:p>
        </w:tc>
      </w:tr>
    </w:tbl>
    <w:p w14:paraId="470BEC42" w14:textId="77777777" w:rsidR="00F438FC" w:rsidRPr="005705FF" w:rsidRDefault="00F438FC" w:rsidP="00153CE5">
      <w:pPr>
        <w:spacing w:line="360" w:lineRule="auto"/>
        <w:rPr>
          <w:sz w:val="24"/>
          <w:szCs w:val="24"/>
        </w:rPr>
      </w:pPr>
    </w:p>
    <w:p w14:paraId="2EDA0527" w14:textId="278FAEDE" w:rsidR="00D967B5" w:rsidRPr="004459B6" w:rsidRDefault="00D967B5" w:rsidP="00D967B5">
      <w:pPr>
        <w:suppressAutoHyphens/>
        <w:spacing w:line="360" w:lineRule="auto"/>
        <w:jc w:val="both"/>
        <w:rPr>
          <w:sz w:val="24"/>
          <w:szCs w:val="24"/>
        </w:rPr>
      </w:pPr>
      <w:r w:rsidRPr="000E3FD7">
        <w:rPr>
          <w:sz w:val="24"/>
          <w:szCs w:val="24"/>
        </w:rPr>
        <w:t>Nigeria has made significant progress in the development of its</w:t>
      </w:r>
      <w:r>
        <w:rPr>
          <w:sz w:val="24"/>
          <w:szCs w:val="24"/>
        </w:rPr>
        <w:t xml:space="preserve"> non-interest</w:t>
      </w:r>
      <w:r w:rsidRPr="000E3FD7">
        <w:rPr>
          <w:sz w:val="24"/>
          <w:szCs w:val="24"/>
        </w:rPr>
        <w:t xml:space="preserve"> banking industry. This progress is evidenced by the licensing of four (4) full-fledged non-interest banks (NIBs), one (1) window operating within a conventional bank, and five (5) Islamic microfinance banks (MFBs). The Central Bank of Nigeria (CBN) has further supported this growth by issuing a comprehensive framework of policies and guidelines for the regulation and supervision of </w:t>
      </w:r>
      <w:r w:rsidR="005275F5">
        <w:rPr>
          <w:sz w:val="24"/>
          <w:szCs w:val="24"/>
        </w:rPr>
        <w:t>non-interest</w:t>
      </w:r>
      <w:r w:rsidRPr="000E3FD7">
        <w:rPr>
          <w:sz w:val="24"/>
          <w:szCs w:val="24"/>
        </w:rPr>
        <w:t xml:space="preserve"> banking institutions. Additionally, the CBN has taken the initiative to develop a set of Sharia-compliant financial instruments, with a total of six (6) instruments currently available</w:t>
      </w:r>
      <w:r w:rsidRPr="004459B6">
        <w:rPr>
          <w:b/>
          <w:bCs/>
          <w:sz w:val="24"/>
          <w:szCs w:val="24"/>
        </w:rPr>
        <w:t>.</w:t>
      </w:r>
    </w:p>
    <w:p w14:paraId="0D2B9EAD" w14:textId="77777777" w:rsidR="00BC6F16" w:rsidRPr="005705FF" w:rsidRDefault="00BC6F16" w:rsidP="00153CE5">
      <w:pPr>
        <w:suppressAutoHyphens/>
        <w:spacing w:line="360" w:lineRule="auto"/>
        <w:jc w:val="both"/>
        <w:rPr>
          <w:spacing w:val="-2"/>
          <w:sz w:val="24"/>
          <w:szCs w:val="24"/>
        </w:rPr>
      </w:pPr>
    </w:p>
    <w:p w14:paraId="2C3AE7E1" w14:textId="71A52218" w:rsidR="00F438FC" w:rsidRPr="005705FF" w:rsidRDefault="00BC6F16" w:rsidP="00153CE5">
      <w:pPr>
        <w:suppressAutoHyphens/>
        <w:spacing w:line="360" w:lineRule="auto"/>
        <w:jc w:val="both"/>
        <w:rPr>
          <w:spacing w:val="-2"/>
          <w:sz w:val="24"/>
          <w:szCs w:val="24"/>
        </w:rPr>
      </w:pPr>
      <w:r w:rsidRPr="005705FF">
        <w:rPr>
          <w:spacing w:val="-2"/>
          <w:sz w:val="24"/>
          <w:szCs w:val="24"/>
        </w:rPr>
        <w:t>H</w:t>
      </w:r>
      <w:r w:rsidR="002F0852" w:rsidRPr="005705FF">
        <w:rPr>
          <w:spacing w:val="-2"/>
          <w:sz w:val="24"/>
          <w:szCs w:val="24"/>
        </w:rPr>
        <w:t>owever</w:t>
      </w:r>
      <w:r w:rsidR="009070BD" w:rsidRPr="005705FF">
        <w:rPr>
          <w:spacing w:val="-2"/>
          <w:sz w:val="24"/>
          <w:szCs w:val="24"/>
        </w:rPr>
        <w:t>,</w:t>
      </w:r>
      <w:r w:rsidR="00CD7E61">
        <w:rPr>
          <w:spacing w:val="-2"/>
          <w:sz w:val="24"/>
          <w:szCs w:val="24"/>
        </w:rPr>
        <w:t xml:space="preserve"> </w:t>
      </w:r>
      <w:r w:rsidR="009070BD" w:rsidRPr="005705FF">
        <w:rPr>
          <w:spacing w:val="-2"/>
          <w:sz w:val="24"/>
          <w:szCs w:val="24"/>
        </w:rPr>
        <w:t>compare</w:t>
      </w:r>
      <w:r w:rsidR="00B13E6F">
        <w:rPr>
          <w:spacing w:val="-2"/>
          <w:sz w:val="24"/>
          <w:szCs w:val="24"/>
        </w:rPr>
        <w:t>d</w:t>
      </w:r>
      <w:r w:rsidR="009070BD" w:rsidRPr="005705FF">
        <w:rPr>
          <w:spacing w:val="-2"/>
          <w:sz w:val="24"/>
          <w:szCs w:val="24"/>
        </w:rPr>
        <w:t xml:space="preserve"> with the number of liquidity management</w:t>
      </w:r>
      <w:r w:rsidR="002F0852" w:rsidRPr="005705FF">
        <w:rPr>
          <w:spacing w:val="-2"/>
          <w:sz w:val="24"/>
          <w:szCs w:val="24"/>
        </w:rPr>
        <w:t xml:space="preserve"> instruments</w:t>
      </w:r>
      <w:r w:rsidR="009070BD" w:rsidRPr="005705FF">
        <w:rPr>
          <w:spacing w:val="-2"/>
          <w:sz w:val="24"/>
          <w:szCs w:val="24"/>
        </w:rPr>
        <w:t xml:space="preserve"> available for the conventional banks, the</w:t>
      </w:r>
      <w:r w:rsidR="004E669D" w:rsidRPr="005705FF">
        <w:rPr>
          <w:spacing w:val="-2"/>
          <w:sz w:val="24"/>
          <w:szCs w:val="24"/>
        </w:rPr>
        <w:t xml:space="preserve"> Shari’ah</w:t>
      </w:r>
      <w:r w:rsidR="00832E90" w:rsidRPr="005705FF">
        <w:rPr>
          <w:spacing w:val="-2"/>
          <w:sz w:val="24"/>
          <w:szCs w:val="24"/>
        </w:rPr>
        <w:t>-compliant instruments issued by the CBN are still grossly inadequate</w:t>
      </w:r>
      <w:r w:rsidR="00D06C61" w:rsidRPr="005705FF">
        <w:rPr>
          <w:spacing w:val="-2"/>
          <w:sz w:val="24"/>
          <w:szCs w:val="24"/>
        </w:rPr>
        <w:t xml:space="preserve">. More so, the </w:t>
      </w:r>
      <w:r w:rsidRPr="005705FF">
        <w:rPr>
          <w:spacing w:val="-2"/>
          <w:sz w:val="24"/>
          <w:szCs w:val="24"/>
        </w:rPr>
        <w:t>instruments are not as competitive as the</w:t>
      </w:r>
      <w:r w:rsidR="00D06C61" w:rsidRPr="005705FF">
        <w:rPr>
          <w:spacing w:val="-2"/>
          <w:sz w:val="24"/>
          <w:szCs w:val="24"/>
        </w:rPr>
        <w:t xml:space="preserve"> conventional </w:t>
      </w:r>
      <w:r w:rsidR="00CD0912" w:rsidRPr="005705FF">
        <w:rPr>
          <w:spacing w:val="-2"/>
          <w:sz w:val="24"/>
          <w:szCs w:val="24"/>
        </w:rPr>
        <w:t xml:space="preserve">instruments. This is because whereas the conventional instruments are readily available and </w:t>
      </w:r>
      <w:r w:rsidR="00586F6E" w:rsidRPr="005705FF">
        <w:rPr>
          <w:spacing w:val="-2"/>
          <w:sz w:val="24"/>
          <w:szCs w:val="24"/>
        </w:rPr>
        <w:t xml:space="preserve">return on them is </w:t>
      </w:r>
      <w:r w:rsidR="00B13E6F">
        <w:rPr>
          <w:spacing w:val="-2"/>
          <w:sz w:val="24"/>
          <w:szCs w:val="24"/>
        </w:rPr>
        <w:lastRenderedPageBreak/>
        <w:t>assured</w:t>
      </w:r>
      <w:r w:rsidR="00B13E6F" w:rsidRPr="005705FF">
        <w:rPr>
          <w:spacing w:val="-2"/>
          <w:sz w:val="24"/>
          <w:szCs w:val="24"/>
        </w:rPr>
        <w:t xml:space="preserve"> </w:t>
      </w:r>
      <w:r w:rsidR="00F00207" w:rsidRPr="005705FF">
        <w:rPr>
          <w:spacing w:val="-2"/>
          <w:sz w:val="24"/>
          <w:szCs w:val="24"/>
        </w:rPr>
        <w:t>and predictable, the Shari’ah-compliant instruments are scarce</w:t>
      </w:r>
      <w:r w:rsidR="00EB0C97" w:rsidRPr="005705FF">
        <w:rPr>
          <w:spacing w:val="-2"/>
          <w:sz w:val="24"/>
          <w:szCs w:val="24"/>
        </w:rPr>
        <w:t>,</w:t>
      </w:r>
      <w:r w:rsidR="00F00207" w:rsidRPr="005705FF">
        <w:rPr>
          <w:spacing w:val="-2"/>
          <w:sz w:val="24"/>
          <w:szCs w:val="24"/>
        </w:rPr>
        <w:t xml:space="preserve"> </w:t>
      </w:r>
      <w:r w:rsidR="009D6650" w:rsidRPr="005705FF">
        <w:rPr>
          <w:spacing w:val="-2"/>
          <w:sz w:val="24"/>
          <w:szCs w:val="24"/>
        </w:rPr>
        <w:t xml:space="preserve">and </w:t>
      </w:r>
      <w:r w:rsidR="00572F09" w:rsidRPr="005705FF">
        <w:rPr>
          <w:spacing w:val="-2"/>
          <w:sz w:val="24"/>
          <w:szCs w:val="24"/>
        </w:rPr>
        <w:t>apart from</w:t>
      </w:r>
      <w:r w:rsidR="009D6650" w:rsidRPr="005705FF">
        <w:rPr>
          <w:spacing w:val="-2"/>
          <w:sz w:val="24"/>
          <w:szCs w:val="24"/>
        </w:rPr>
        <w:t xml:space="preserve"> the sovereign sukuk issued by the Federal Government of Nigeria (FGN), </w:t>
      </w:r>
      <w:r w:rsidR="00EB0C97" w:rsidRPr="005705FF">
        <w:rPr>
          <w:spacing w:val="-2"/>
          <w:sz w:val="24"/>
          <w:szCs w:val="24"/>
        </w:rPr>
        <w:t xml:space="preserve">return is </w:t>
      </w:r>
      <w:r w:rsidR="006C36C7" w:rsidRPr="005705FF">
        <w:rPr>
          <w:spacing w:val="-2"/>
          <w:sz w:val="24"/>
          <w:szCs w:val="24"/>
        </w:rPr>
        <w:t>unpredictable,</w:t>
      </w:r>
      <w:r w:rsidR="00D12CC3" w:rsidRPr="005705FF">
        <w:rPr>
          <w:spacing w:val="-2"/>
          <w:sz w:val="24"/>
          <w:szCs w:val="24"/>
        </w:rPr>
        <w:t xml:space="preserve"> and payment is at the discretion of the CBN.</w:t>
      </w:r>
      <w:r w:rsidR="00D85C6F" w:rsidRPr="005705FF">
        <w:rPr>
          <w:spacing w:val="-2"/>
          <w:sz w:val="24"/>
          <w:szCs w:val="24"/>
        </w:rPr>
        <w:t xml:space="preserve"> This </w:t>
      </w:r>
      <w:r w:rsidR="00D74657" w:rsidRPr="005705FF">
        <w:rPr>
          <w:spacing w:val="-2"/>
          <w:sz w:val="24"/>
          <w:szCs w:val="24"/>
        </w:rPr>
        <w:t>makes</w:t>
      </w:r>
      <w:r w:rsidR="00673749" w:rsidRPr="005705FF">
        <w:rPr>
          <w:spacing w:val="-2"/>
          <w:sz w:val="24"/>
          <w:szCs w:val="24"/>
        </w:rPr>
        <w:t xml:space="preserve"> the instruments unattractive to the banks</w:t>
      </w:r>
      <w:r w:rsidR="00D74657" w:rsidRPr="005705FF">
        <w:rPr>
          <w:spacing w:val="-2"/>
          <w:sz w:val="24"/>
          <w:szCs w:val="24"/>
        </w:rPr>
        <w:t>.</w:t>
      </w:r>
      <w:r w:rsidR="00673749" w:rsidRPr="005705FF">
        <w:rPr>
          <w:spacing w:val="-2"/>
          <w:sz w:val="24"/>
          <w:szCs w:val="24"/>
        </w:rPr>
        <w:t xml:space="preserve"> </w:t>
      </w:r>
    </w:p>
    <w:p w14:paraId="5D98027F" w14:textId="77777777" w:rsidR="00D12CC3" w:rsidRPr="005705FF" w:rsidRDefault="00D12CC3" w:rsidP="00153CE5">
      <w:pPr>
        <w:suppressAutoHyphens/>
        <w:spacing w:line="360" w:lineRule="auto"/>
        <w:jc w:val="both"/>
        <w:rPr>
          <w:spacing w:val="-2"/>
          <w:sz w:val="24"/>
          <w:szCs w:val="24"/>
        </w:rPr>
      </w:pPr>
    </w:p>
    <w:p w14:paraId="699562BA" w14:textId="197C087A" w:rsidR="00D12CC3" w:rsidRPr="005705FF" w:rsidRDefault="00D12CC3" w:rsidP="00153CE5">
      <w:pPr>
        <w:suppressAutoHyphens/>
        <w:spacing w:line="360" w:lineRule="auto"/>
        <w:jc w:val="both"/>
        <w:rPr>
          <w:sz w:val="24"/>
          <w:szCs w:val="24"/>
        </w:rPr>
      </w:pPr>
      <w:r w:rsidRPr="005705FF">
        <w:rPr>
          <w:spacing w:val="-2"/>
          <w:sz w:val="24"/>
          <w:szCs w:val="24"/>
        </w:rPr>
        <w:t>In the same vein,</w:t>
      </w:r>
      <w:r w:rsidR="00C1695F" w:rsidRPr="005705FF">
        <w:rPr>
          <w:spacing w:val="-2"/>
          <w:sz w:val="24"/>
          <w:szCs w:val="24"/>
        </w:rPr>
        <w:t xml:space="preserve"> whereas</w:t>
      </w:r>
      <w:r w:rsidRPr="005705FF">
        <w:rPr>
          <w:spacing w:val="-2"/>
          <w:sz w:val="24"/>
          <w:szCs w:val="24"/>
        </w:rPr>
        <w:t xml:space="preserve"> there is a vibrant interbank market that exist</w:t>
      </w:r>
      <w:r w:rsidR="004C2426">
        <w:rPr>
          <w:spacing w:val="-2"/>
          <w:sz w:val="24"/>
          <w:szCs w:val="24"/>
        </w:rPr>
        <w:t>s</w:t>
      </w:r>
      <w:r w:rsidRPr="005705FF">
        <w:rPr>
          <w:spacing w:val="-2"/>
          <w:sz w:val="24"/>
          <w:szCs w:val="24"/>
        </w:rPr>
        <w:t xml:space="preserve"> among the conventional banks, the </w:t>
      </w:r>
      <w:r w:rsidR="005833A0">
        <w:rPr>
          <w:spacing w:val="-2"/>
          <w:sz w:val="24"/>
          <w:szCs w:val="24"/>
        </w:rPr>
        <w:t>non-interest</w:t>
      </w:r>
      <w:r w:rsidR="004201AC" w:rsidRPr="005705FF">
        <w:rPr>
          <w:spacing w:val="-2"/>
          <w:sz w:val="24"/>
          <w:szCs w:val="24"/>
        </w:rPr>
        <w:t xml:space="preserve"> interbank market is shallow or almost non-existent</w:t>
      </w:r>
      <w:r w:rsidR="00F3229D" w:rsidRPr="005705FF">
        <w:rPr>
          <w:spacing w:val="-2"/>
          <w:sz w:val="24"/>
          <w:szCs w:val="24"/>
        </w:rPr>
        <w:t xml:space="preserve"> in Nigeria</w:t>
      </w:r>
      <w:r w:rsidR="004201AC" w:rsidRPr="005705FF">
        <w:rPr>
          <w:spacing w:val="-2"/>
          <w:sz w:val="24"/>
          <w:szCs w:val="24"/>
        </w:rPr>
        <w:t xml:space="preserve">. This </w:t>
      </w:r>
      <w:r w:rsidR="0006543B" w:rsidRPr="005705FF">
        <w:rPr>
          <w:spacing w:val="-2"/>
          <w:sz w:val="24"/>
          <w:szCs w:val="24"/>
        </w:rPr>
        <w:t xml:space="preserve">further aggravates the liquidity </w:t>
      </w:r>
      <w:r w:rsidR="000E7436" w:rsidRPr="005705FF">
        <w:rPr>
          <w:spacing w:val="-2"/>
          <w:sz w:val="24"/>
          <w:szCs w:val="24"/>
        </w:rPr>
        <w:t>managem</w:t>
      </w:r>
      <w:r w:rsidR="00272918" w:rsidRPr="005705FF">
        <w:rPr>
          <w:spacing w:val="-2"/>
          <w:sz w:val="24"/>
          <w:szCs w:val="24"/>
        </w:rPr>
        <w:t xml:space="preserve">ent </w:t>
      </w:r>
      <w:r w:rsidR="00F3229D" w:rsidRPr="005705FF">
        <w:rPr>
          <w:spacing w:val="-2"/>
          <w:sz w:val="24"/>
          <w:szCs w:val="24"/>
        </w:rPr>
        <w:t>probl</w:t>
      </w:r>
      <w:r w:rsidR="004077D2" w:rsidRPr="005705FF">
        <w:rPr>
          <w:spacing w:val="-2"/>
          <w:sz w:val="24"/>
          <w:szCs w:val="24"/>
        </w:rPr>
        <w:t>em</w:t>
      </w:r>
      <w:r w:rsidR="00272918" w:rsidRPr="005705FF">
        <w:rPr>
          <w:spacing w:val="-2"/>
          <w:sz w:val="24"/>
          <w:szCs w:val="24"/>
        </w:rPr>
        <w:t xml:space="preserve"> for </w:t>
      </w:r>
      <w:r w:rsidR="005833A0">
        <w:rPr>
          <w:spacing w:val="-2"/>
          <w:sz w:val="24"/>
          <w:szCs w:val="24"/>
        </w:rPr>
        <w:t>non-interest</w:t>
      </w:r>
      <w:r w:rsidR="00272918" w:rsidRPr="005705FF">
        <w:rPr>
          <w:spacing w:val="-2"/>
          <w:sz w:val="24"/>
          <w:szCs w:val="24"/>
        </w:rPr>
        <w:t xml:space="preserve"> banks in Nigeria</w:t>
      </w:r>
      <w:r w:rsidR="00B13E6F">
        <w:rPr>
          <w:spacing w:val="-2"/>
          <w:sz w:val="24"/>
          <w:szCs w:val="24"/>
        </w:rPr>
        <w:t>.</w:t>
      </w:r>
      <w:r w:rsidR="00272918" w:rsidRPr="005705FF">
        <w:rPr>
          <w:spacing w:val="-2"/>
          <w:sz w:val="24"/>
          <w:szCs w:val="24"/>
        </w:rPr>
        <w:t xml:space="preserve"> </w:t>
      </w:r>
      <w:r w:rsidR="00B13E6F">
        <w:rPr>
          <w:spacing w:val="-2"/>
          <w:sz w:val="24"/>
          <w:szCs w:val="24"/>
        </w:rPr>
        <w:t>H</w:t>
      </w:r>
      <w:r w:rsidR="00B13E6F" w:rsidRPr="005705FF">
        <w:rPr>
          <w:spacing w:val="-2"/>
          <w:sz w:val="24"/>
          <w:szCs w:val="24"/>
        </w:rPr>
        <w:t>ence</w:t>
      </w:r>
      <w:r w:rsidR="00B13E6F">
        <w:rPr>
          <w:spacing w:val="-2"/>
          <w:sz w:val="24"/>
          <w:szCs w:val="24"/>
        </w:rPr>
        <w:t>,</w:t>
      </w:r>
      <w:r w:rsidR="00B13E6F" w:rsidRPr="005705FF">
        <w:rPr>
          <w:spacing w:val="-2"/>
          <w:sz w:val="24"/>
          <w:szCs w:val="24"/>
        </w:rPr>
        <w:t xml:space="preserve"> </w:t>
      </w:r>
      <w:r w:rsidR="00272918" w:rsidRPr="005705FF">
        <w:rPr>
          <w:spacing w:val="-2"/>
          <w:sz w:val="24"/>
          <w:szCs w:val="24"/>
        </w:rPr>
        <w:t>the</w:t>
      </w:r>
      <w:r w:rsidR="00833EEE">
        <w:rPr>
          <w:spacing w:val="-2"/>
          <w:sz w:val="24"/>
          <w:szCs w:val="24"/>
        </w:rPr>
        <w:t>re is a</w:t>
      </w:r>
      <w:r w:rsidR="00272918" w:rsidRPr="005705FF">
        <w:rPr>
          <w:spacing w:val="-2"/>
          <w:sz w:val="24"/>
          <w:szCs w:val="24"/>
        </w:rPr>
        <w:t xml:space="preserve"> need to train </w:t>
      </w:r>
      <w:r w:rsidR="000475F8" w:rsidRPr="005705FF">
        <w:rPr>
          <w:spacing w:val="-2"/>
          <w:sz w:val="24"/>
          <w:szCs w:val="24"/>
        </w:rPr>
        <w:t xml:space="preserve">CBN staff on developing competitive Shari’ah-compliant instruments and </w:t>
      </w:r>
      <w:r w:rsidR="00A4167C" w:rsidRPr="005705FF">
        <w:rPr>
          <w:spacing w:val="-2"/>
          <w:sz w:val="24"/>
          <w:szCs w:val="24"/>
        </w:rPr>
        <w:t xml:space="preserve">to build a vibrant interbank </w:t>
      </w:r>
      <w:r w:rsidR="005833A0">
        <w:rPr>
          <w:spacing w:val="-2"/>
          <w:sz w:val="24"/>
          <w:szCs w:val="24"/>
        </w:rPr>
        <w:t>non-interest</w:t>
      </w:r>
      <w:r w:rsidR="00A4167C" w:rsidRPr="005705FF">
        <w:rPr>
          <w:spacing w:val="-2"/>
          <w:sz w:val="24"/>
          <w:szCs w:val="24"/>
        </w:rPr>
        <w:t xml:space="preserve"> market as obtain</w:t>
      </w:r>
      <w:r w:rsidR="00C01489">
        <w:rPr>
          <w:spacing w:val="-2"/>
          <w:sz w:val="24"/>
          <w:szCs w:val="24"/>
        </w:rPr>
        <w:t>ed</w:t>
      </w:r>
      <w:r w:rsidR="00A4167C" w:rsidRPr="005705FF">
        <w:rPr>
          <w:spacing w:val="-2"/>
          <w:sz w:val="24"/>
          <w:szCs w:val="24"/>
        </w:rPr>
        <w:t xml:space="preserve"> in other developed Islamic banking jurisdictions.</w:t>
      </w:r>
    </w:p>
    <w:p w14:paraId="148FA4B4" w14:textId="400816D8" w:rsidR="00367190" w:rsidRPr="005705FF" w:rsidRDefault="00367190" w:rsidP="00153CE5">
      <w:pPr>
        <w:spacing w:line="360" w:lineRule="auto"/>
        <w:rPr>
          <w:sz w:val="24"/>
          <w:szCs w:val="24"/>
        </w:rPr>
      </w:pPr>
    </w:p>
    <w:p w14:paraId="0D8BF171" w14:textId="4060A4A3" w:rsidR="00427D26" w:rsidRDefault="00742241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Furthermore, as the </w:t>
      </w:r>
      <w:r w:rsidR="00627DEF" w:rsidRPr="005705FF">
        <w:rPr>
          <w:sz w:val="24"/>
          <w:szCs w:val="24"/>
        </w:rPr>
        <w:t xml:space="preserve">Nigerian </w:t>
      </w:r>
      <w:r w:rsidR="005833A0">
        <w:rPr>
          <w:spacing w:val="-2"/>
          <w:sz w:val="24"/>
          <w:szCs w:val="24"/>
        </w:rPr>
        <w:t>non-interest</w:t>
      </w:r>
      <w:r w:rsidR="005833A0" w:rsidRPr="005705FF">
        <w:rPr>
          <w:spacing w:val="-2"/>
          <w:sz w:val="24"/>
          <w:szCs w:val="24"/>
        </w:rPr>
        <w:t xml:space="preserve"> </w:t>
      </w:r>
      <w:r w:rsidR="00486A01" w:rsidRPr="005705FF">
        <w:rPr>
          <w:sz w:val="24"/>
          <w:szCs w:val="24"/>
        </w:rPr>
        <w:t xml:space="preserve">banking </w:t>
      </w:r>
      <w:r w:rsidR="004077D2" w:rsidRPr="005705FF">
        <w:rPr>
          <w:sz w:val="24"/>
          <w:szCs w:val="24"/>
        </w:rPr>
        <w:t>industry evolve</w:t>
      </w:r>
      <w:r w:rsidR="00627DEF" w:rsidRPr="005705FF">
        <w:rPr>
          <w:sz w:val="24"/>
          <w:szCs w:val="24"/>
        </w:rPr>
        <w:t>s</w:t>
      </w:r>
      <w:r w:rsidR="004077D2" w:rsidRPr="005705FF">
        <w:rPr>
          <w:sz w:val="24"/>
          <w:szCs w:val="24"/>
        </w:rPr>
        <w:t xml:space="preserve"> </w:t>
      </w:r>
      <w:r w:rsidR="00EB3DB2" w:rsidRPr="005705FF">
        <w:rPr>
          <w:sz w:val="24"/>
          <w:szCs w:val="24"/>
        </w:rPr>
        <w:t>(</w:t>
      </w:r>
      <w:r w:rsidR="004077D2" w:rsidRPr="005705FF">
        <w:rPr>
          <w:sz w:val="24"/>
          <w:szCs w:val="24"/>
        </w:rPr>
        <w:t>o</w:t>
      </w:r>
      <w:r w:rsidR="00EB3DB2" w:rsidRPr="005705FF">
        <w:rPr>
          <w:sz w:val="24"/>
          <w:szCs w:val="24"/>
        </w:rPr>
        <w:t>v</w:t>
      </w:r>
      <w:r w:rsidR="004077D2" w:rsidRPr="005705FF">
        <w:rPr>
          <w:sz w:val="24"/>
          <w:szCs w:val="24"/>
        </w:rPr>
        <w:t xml:space="preserve">er </w:t>
      </w:r>
      <w:r w:rsidR="00E73CAE" w:rsidRPr="005705FF">
        <w:rPr>
          <w:sz w:val="24"/>
          <w:szCs w:val="24"/>
        </w:rPr>
        <w:t xml:space="preserve">a decade since </w:t>
      </w:r>
      <w:r w:rsidR="003B7493" w:rsidRPr="005705FF">
        <w:rPr>
          <w:sz w:val="24"/>
          <w:szCs w:val="24"/>
        </w:rPr>
        <w:t>its</w:t>
      </w:r>
      <w:r w:rsidR="00EB3DB2" w:rsidRPr="005705FF">
        <w:rPr>
          <w:sz w:val="24"/>
          <w:szCs w:val="24"/>
        </w:rPr>
        <w:t xml:space="preserve"> inception), the need to develop the capacity of the CBN</w:t>
      </w:r>
      <w:r w:rsidR="000A2813" w:rsidRPr="005705FF">
        <w:rPr>
          <w:sz w:val="24"/>
          <w:szCs w:val="24"/>
        </w:rPr>
        <w:t xml:space="preserve"> staff in </w:t>
      </w:r>
      <w:r w:rsidR="007F2071" w:rsidRPr="005705FF">
        <w:rPr>
          <w:sz w:val="24"/>
          <w:szCs w:val="24"/>
        </w:rPr>
        <w:t xml:space="preserve">the field of </w:t>
      </w:r>
      <w:r w:rsidR="003C25B9" w:rsidRPr="005705FF">
        <w:rPr>
          <w:sz w:val="24"/>
          <w:szCs w:val="24"/>
        </w:rPr>
        <w:t xml:space="preserve">Shari’ah </w:t>
      </w:r>
      <w:r w:rsidR="00C22633" w:rsidRPr="005705FF">
        <w:rPr>
          <w:sz w:val="24"/>
          <w:szCs w:val="24"/>
        </w:rPr>
        <w:t>A</w:t>
      </w:r>
      <w:r w:rsidR="003C25B9" w:rsidRPr="005705FF">
        <w:rPr>
          <w:sz w:val="24"/>
          <w:szCs w:val="24"/>
        </w:rPr>
        <w:t>udit</w:t>
      </w:r>
      <w:r w:rsidR="003B7493" w:rsidRPr="005705FF">
        <w:rPr>
          <w:sz w:val="24"/>
          <w:szCs w:val="24"/>
        </w:rPr>
        <w:t xml:space="preserve"> </w:t>
      </w:r>
      <w:r w:rsidR="00D74657" w:rsidRPr="005705FF">
        <w:rPr>
          <w:sz w:val="24"/>
          <w:szCs w:val="24"/>
        </w:rPr>
        <w:t xml:space="preserve">becomes </w:t>
      </w:r>
      <w:r w:rsidR="000334EF" w:rsidRPr="005705FF">
        <w:rPr>
          <w:sz w:val="24"/>
          <w:szCs w:val="24"/>
        </w:rPr>
        <w:t>paramount. This is because compliance with the Shari’ah P</w:t>
      </w:r>
      <w:r w:rsidR="00F95B8C" w:rsidRPr="005705FF">
        <w:rPr>
          <w:sz w:val="24"/>
          <w:szCs w:val="24"/>
        </w:rPr>
        <w:t>r</w:t>
      </w:r>
      <w:r w:rsidR="000334EF" w:rsidRPr="005705FF">
        <w:rPr>
          <w:sz w:val="24"/>
          <w:szCs w:val="24"/>
        </w:rPr>
        <w:t>inci</w:t>
      </w:r>
      <w:r w:rsidR="00F95B8C" w:rsidRPr="005705FF">
        <w:rPr>
          <w:sz w:val="24"/>
          <w:szCs w:val="24"/>
        </w:rPr>
        <w:t xml:space="preserve">ples is the bedrock of Islamic banks and is the </w:t>
      </w:r>
      <w:r w:rsidR="001401E1" w:rsidRPr="005705FF">
        <w:rPr>
          <w:sz w:val="24"/>
          <w:szCs w:val="24"/>
        </w:rPr>
        <w:t>ke</w:t>
      </w:r>
      <w:r w:rsidR="00F95B8C" w:rsidRPr="005705FF">
        <w:rPr>
          <w:sz w:val="24"/>
          <w:szCs w:val="24"/>
        </w:rPr>
        <w:t>y distinguis</w:t>
      </w:r>
      <w:r w:rsidR="001401E1" w:rsidRPr="005705FF">
        <w:rPr>
          <w:sz w:val="24"/>
          <w:szCs w:val="24"/>
        </w:rPr>
        <w:t>hing factor that set</w:t>
      </w:r>
      <w:r w:rsidR="000B047E">
        <w:rPr>
          <w:sz w:val="24"/>
          <w:szCs w:val="24"/>
        </w:rPr>
        <w:t>s</w:t>
      </w:r>
      <w:r w:rsidR="001401E1" w:rsidRPr="005705FF">
        <w:rPr>
          <w:sz w:val="24"/>
          <w:szCs w:val="24"/>
        </w:rPr>
        <w:t xml:space="preserve"> apart Islamic banks from conventional banks. </w:t>
      </w:r>
      <w:r w:rsidR="00043926" w:rsidRPr="00AF46EF">
        <w:rPr>
          <w:sz w:val="24"/>
          <w:szCs w:val="24"/>
        </w:rPr>
        <w:t>The development of a Shari'ah Audit Manual would equip Central Bank of Nigeria (CBN) examiners with a standardized reference guide</w:t>
      </w:r>
      <w:r w:rsidR="00043926">
        <w:rPr>
          <w:sz w:val="24"/>
          <w:szCs w:val="24"/>
        </w:rPr>
        <w:t xml:space="preserve"> that </w:t>
      </w:r>
      <w:r w:rsidR="00043926" w:rsidRPr="00AF46EF">
        <w:rPr>
          <w:sz w:val="24"/>
          <w:szCs w:val="24"/>
        </w:rPr>
        <w:t>would outline key steps involved in auditing critical products offered by Islamic banks</w:t>
      </w:r>
      <w:r w:rsidR="006505D8">
        <w:rPr>
          <w:sz w:val="24"/>
          <w:szCs w:val="24"/>
        </w:rPr>
        <w:t xml:space="preserve"> as well as their processes</w:t>
      </w:r>
      <w:r w:rsidR="00043926" w:rsidRPr="00AF46EF">
        <w:rPr>
          <w:sz w:val="24"/>
          <w:szCs w:val="24"/>
        </w:rPr>
        <w:t>. By providing clear expectations, the manual can help identify potential violations of Sharia principles. Early detection and mitigation of such violations are crucial, as Sharia non-compliance risk represents a significant threat to the stability of Islamic banks</w:t>
      </w:r>
      <w:r w:rsidR="00073B4C">
        <w:rPr>
          <w:sz w:val="24"/>
          <w:szCs w:val="24"/>
        </w:rPr>
        <w:t>.</w:t>
      </w:r>
    </w:p>
    <w:p w14:paraId="15F5F021" w14:textId="77777777" w:rsidR="00073B4C" w:rsidRPr="005705FF" w:rsidRDefault="00073B4C" w:rsidP="00153CE5">
      <w:pPr>
        <w:spacing w:line="360" w:lineRule="auto"/>
        <w:jc w:val="both"/>
        <w:rPr>
          <w:sz w:val="24"/>
          <w:szCs w:val="24"/>
        </w:rPr>
      </w:pPr>
    </w:p>
    <w:p w14:paraId="240EE023" w14:textId="62143636" w:rsidR="00C64AA9" w:rsidRPr="005705FF" w:rsidRDefault="00E6290C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In addition to the above, the CBN receives lots of </w:t>
      </w:r>
      <w:r w:rsidR="00A72FF8" w:rsidRPr="005705FF">
        <w:rPr>
          <w:sz w:val="24"/>
          <w:szCs w:val="24"/>
        </w:rPr>
        <w:t>applications</w:t>
      </w:r>
      <w:r w:rsidRPr="005705FF">
        <w:rPr>
          <w:sz w:val="24"/>
          <w:szCs w:val="24"/>
        </w:rPr>
        <w:t xml:space="preserve"> </w:t>
      </w:r>
      <w:r w:rsidR="00A176DB" w:rsidRPr="005705FF">
        <w:rPr>
          <w:sz w:val="24"/>
          <w:szCs w:val="24"/>
        </w:rPr>
        <w:t xml:space="preserve">from conventional banks (especially microfinance banks) </w:t>
      </w:r>
      <w:r w:rsidR="00A72FF8" w:rsidRPr="005705FF">
        <w:rPr>
          <w:sz w:val="24"/>
          <w:szCs w:val="24"/>
        </w:rPr>
        <w:t xml:space="preserve">requesting to convert their operations to </w:t>
      </w:r>
      <w:r w:rsidR="000449F2">
        <w:rPr>
          <w:spacing w:val="-2"/>
          <w:sz w:val="24"/>
          <w:szCs w:val="24"/>
        </w:rPr>
        <w:t>non-interest</w:t>
      </w:r>
      <w:r w:rsidR="008154FB" w:rsidRPr="005705FF">
        <w:rPr>
          <w:sz w:val="24"/>
          <w:szCs w:val="24"/>
        </w:rPr>
        <w:t>. Given the complexity involve</w:t>
      </w:r>
      <w:r w:rsidR="00CA0D11">
        <w:rPr>
          <w:sz w:val="24"/>
          <w:szCs w:val="24"/>
        </w:rPr>
        <w:t>d</w:t>
      </w:r>
      <w:r w:rsidR="008154FB" w:rsidRPr="005705FF">
        <w:rPr>
          <w:sz w:val="24"/>
          <w:szCs w:val="24"/>
        </w:rPr>
        <w:t xml:space="preserve"> in converting conventional banks to </w:t>
      </w:r>
      <w:r w:rsidR="00AF291F">
        <w:rPr>
          <w:spacing w:val="-2"/>
          <w:sz w:val="24"/>
          <w:szCs w:val="24"/>
        </w:rPr>
        <w:t>non-interest</w:t>
      </w:r>
      <w:r w:rsidR="008154FB" w:rsidRPr="005705FF">
        <w:rPr>
          <w:sz w:val="24"/>
          <w:szCs w:val="24"/>
        </w:rPr>
        <w:t xml:space="preserve">, </w:t>
      </w:r>
      <w:r w:rsidR="00203F7A" w:rsidRPr="005705FF">
        <w:rPr>
          <w:sz w:val="24"/>
          <w:szCs w:val="24"/>
        </w:rPr>
        <w:t>receiving hands</w:t>
      </w:r>
      <w:r w:rsidR="000759CF">
        <w:rPr>
          <w:sz w:val="24"/>
          <w:szCs w:val="24"/>
        </w:rPr>
        <w:t xml:space="preserve"> </w:t>
      </w:r>
      <w:r w:rsidR="00203F7A" w:rsidRPr="005705FF">
        <w:rPr>
          <w:sz w:val="24"/>
          <w:szCs w:val="24"/>
        </w:rPr>
        <w:t xml:space="preserve">on training </w:t>
      </w:r>
      <w:r w:rsidR="00B5205E">
        <w:rPr>
          <w:sz w:val="24"/>
          <w:szCs w:val="24"/>
        </w:rPr>
        <w:t>o</w:t>
      </w:r>
      <w:r w:rsidR="00203F7A" w:rsidRPr="005705FF">
        <w:rPr>
          <w:sz w:val="24"/>
          <w:szCs w:val="24"/>
        </w:rPr>
        <w:t xml:space="preserve">n the process involved would greatly assist the CBN in handling </w:t>
      </w:r>
      <w:r w:rsidR="00B50AF0" w:rsidRPr="005705FF">
        <w:rPr>
          <w:sz w:val="24"/>
          <w:szCs w:val="24"/>
        </w:rPr>
        <w:t>such requests</w:t>
      </w:r>
      <w:r w:rsidR="00153CE5" w:rsidRPr="005705FF">
        <w:rPr>
          <w:sz w:val="24"/>
          <w:szCs w:val="24"/>
        </w:rPr>
        <w:t>.</w:t>
      </w:r>
    </w:p>
    <w:p w14:paraId="06127C2C" w14:textId="77777777" w:rsidR="00C64AA9" w:rsidRPr="005705FF" w:rsidRDefault="00C64AA9" w:rsidP="00153CE5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9328" w:type="dxa"/>
        <w:tblInd w:w="62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8670"/>
      </w:tblGrid>
      <w:tr w:rsidR="00C64AA9" w:rsidRPr="005705FF" w14:paraId="3DDCB12A" w14:textId="77777777" w:rsidTr="0097367F">
        <w:trPr>
          <w:trHeight w:val="3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1B433AC" w14:textId="77777777" w:rsidR="00C64AA9" w:rsidRPr="005705FF" w:rsidRDefault="00C64AA9" w:rsidP="00153CE5">
            <w:pPr>
              <w:spacing w:line="360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3.</w:t>
            </w:r>
            <w:r w:rsidRPr="005705FF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92F1245" w14:textId="66B5D5BC" w:rsidR="00C64AA9" w:rsidRPr="005705FF" w:rsidRDefault="00064F54" w:rsidP="00153CE5">
            <w:pPr>
              <w:spacing w:line="360" w:lineRule="auto"/>
              <w:rPr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OBJECTIVE, METHODOLOGY, SCOPE OF SERVICES &amp; DELIVERABLES</w:t>
            </w:r>
          </w:p>
        </w:tc>
      </w:tr>
    </w:tbl>
    <w:p w14:paraId="083C34D3" w14:textId="77777777" w:rsidR="00C64AA9" w:rsidRPr="005705FF" w:rsidRDefault="00C64AA9" w:rsidP="00153CE5">
      <w:pPr>
        <w:spacing w:line="360" w:lineRule="auto"/>
        <w:jc w:val="both"/>
        <w:rPr>
          <w:sz w:val="24"/>
          <w:szCs w:val="24"/>
        </w:rPr>
      </w:pPr>
    </w:p>
    <w:p w14:paraId="78F6ED2D" w14:textId="77777777" w:rsidR="00736A23" w:rsidRPr="005705FF" w:rsidRDefault="008358F9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The </w:t>
      </w:r>
      <w:r w:rsidR="00736A23" w:rsidRPr="005705FF">
        <w:rPr>
          <w:sz w:val="24"/>
          <w:szCs w:val="24"/>
        </w:rPr>
        <w:t xml:space="preserve">Technical Assistant (T.A) is expected to achieve the </w:t>
      </w:r>
      <w:r w:rsidR="00D010F5" w:rsidRPr="005705FF">
        <w:rPr>
          <w:sz w:val="24"/>
          <w:szCs w:val="24"/>
        </w:rPr>
        <w:t>following</w:t>
      </w:r>
      <w:r w:rsidR="006860EB" w:rsidRPr="005705FF">
        <w:rPr>
          <w:sz w:val="24"/>
          <w:szCs w:val="24"/>
        </w:rPr>
        <w:t xml:space="preserve"> key </w:t>
      </w:r>
      <w:r w:rsidRPr="005705FF">
        <w:rPr>
          <w:sz w:val="24"/>
          <w:szCs w:val="24"/>
        </w:rPr>
        <w:t>objective</w:t>
      </w:r>
      <w:r w:rsidR="006860EB" w:rsidRPr="005705FF">
        <w:rPr>
          <w:sz w:val="24"/>
          <w:szCs w:val="24"/>
        </w:rPr>
        <w:t>s</w:t>
      </w:r>
      <w:r w:rsidR="00736A23" w:rsidRPr="005705FF">
        <w:rPr>
          <w:sz w:val="24"/>
          <w:szCs w:val="24"/>
        </w:rPr>
        <w:t>:</w:t>
      </w:r>
    </w:p>
    <w:p w14:paraId="04BEDC28" w14:textId="77777777" w:rsidR="005472AE" w:rsidRPr="005705FF" w:rsidRDefault="00767670" w:rsidP="00153CE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Build the </w:t>
      </w:r>
      <w:r w:rsidR="00CD4BAC" w:rsidRPr="005705FF">
        <w:rPr>
          <w:sz w:val="24"/>
          <w:szCs w:val="24"/>
        </w:rPr>
        <w:t>capacity of the CBN staff and other market players in the Nigerian non</w:t>
      </w:r>
      <w:r w:rsidR="005472AE" w:rsidRPr="005705FF">
        <w:rPr>
          <w:sz w:val="24"/>
          <w:szCs w:val="24"/>
        </w:rPr>
        <w:t>-interest banking industry in the following areas:</w:t>
      </w:r>
    </w:p>
    <w:p w14:paraId="7F8D0D3F" w14:textId="037F4529" w:rsidR="005472AE" w:rsidRPr="005705FF" w:rsidRDefault="00441C3F" w:rsidP="00153CE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lastRenderedPageBreak/>
        <w:t xml:space="preserve">Sharia-compliant </w:t>
      </w:r>
      <w:r w:rsidR="0027269F" w:rsidRPr="005705FF">
        <w:rPr>
          <w:sz w:val="24"/>
          <w:szCs w:val="24"/>
        </w:rPr>
        <w:t>liqui</w:t>
      </w:r>
      <w:r w:rsidR="0029417A" w:rsidRPr="005705FF">
        <w:rPr>
          <w:sz w:val="24"/>
          <w:szCs w:val="24"/>
        </w:rPr>
        <w:t>dity management</w:t>
      </w:r>
      <w:r w:rsidR="00153CE5" w:rsidRPr="005705FF">
        <w:rPr>
          <w:sz w:val="24"/>
          <w:szCs w:val="24"/>
        </w:rPr>
        <w:t xml:space="preserve"> </w:t>
      </w:r>
      <w:r w:rsidRPr="005705FF">
        <w:rPr>
          <w:sz w:val="24"/>
          <w:szCs w:val="24"/>
        </w:rPr>
        <w:t>instruments for managing liquidity in Islamic banks (money market instruments</w:t>
      </w:r>
      <w:proofErr w:type="gramStart"/>
      <w:r w:rsidRPr="005705FF">
        <w:rPr>
          <w:sz w:val="24"/>
          <w:szCs w:val="24"/>
        </w:rPr>
        <w:t>);</w:t>
      </w:r>
      <w:proofErr w:type="gramEnd"/>
    </w:p>
    <w:p w14:paraId="65CFE2FF" w14:textId="633ED1A5" w:rsidR="00441C3F" w:rsidRPr="005705FF" w:rsidRDefault="00874F00" w:rsidP="00153CE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Shari’ah Audit; and</w:t>
      </w:r>
    </w:p>
    <w:p w14:paraId="5FE367EA" w14:textId="664F1EEB" w:rsidR="0020559F" w:rsidRPr="008E1D62" w:rsidRDefault="008925A2" w:rsidP="0020559F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Process for</w:t>
      </w:r>
      <w:r w:rsidR="00570A6D" w:rsidRPr="005705FF">
        <w:rPr>
          <w:spacing w:val="-2"/>
          <w:sz w:val="24"/>
          <w:szCs w:val="24"/>
        </w:rPr>
        <w:t xml:space="preserve"> converting conventional banks to </w:t>
      </w:r>
      <w:r w:rsidR="001321C7">
        <w:rPr>
          <w:spacing w:val="-2"/>
          <w:sz w:val="24"/>
          <w:szCs w:val="24"/>
        </w:rPr>
        <w:t>non-interest banks</w:t>
      </w:r>
      <w:r w:rsidR="00570A6D" w:rsidRPr="005705FF">
        <w:rPr>
          <w:spacing w:val="-2"/>
          <w:sz w:val="24"/>
          <w:szCs w:val="24"/>
        </w:rPr>
        <w:t>.</w:t>
      </w:r>
    </w:p>
    <w:p w14:paraId="34A40412" w14:textId="2C5B2517" w:rsidR="008358F9" w:rsidRPr="005705FF" w:rsidRDefault="00CD4BAC" w:rsidP="00153CE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 </w:t>
      </w:r>
      <w:r w:rsidR="00570A6D" w:rsidRPr="005705FF">
        <w:rPr>
          <w:sz w:val="24"/>
          <w:szCs w:val="24"/>
        </w:rPr>
        <w:t xml:space="preserve">Develop Shari’ah Audit Manual </w:t>
      </w:r>
      <w:r w:rsidR="008017B5" w:rsidRPr="005705FF">
        <w:rPr>
          <w:sz w:val="24"/>
          <w:szCs w:val="24"/>
        </w:rPr>
        <w:t xml:space="preserve">for examination of </w:t>
      </w:r>
      <w:r w:rsidR="00F46D95">
        <w:rPr>
          <w:spacing w:val="-2"/>
          <w:sz w:val="24"/>
          <w:szCs w:val="24"/>
        </w:rPr>
        <w:t>non-interest</w:t>
      </w:r>
      <w:r w:rsidR="008017B5" w:rsidRPr="005705FF">
        <w:rPr>
          <w:sz w:val="24"/>
          <w:szCs w:val="24"/>
        </w:rPr>
        <w:t xml:space="preserve"> banks.</w:t>
      </w:r>
    </w:p>
    <w:p w14:paraId="489F5566" w14:textId="77777777" w:rsidR="008358F9" w:rsidRPr="005705FF" w:rsidRDefault="008358F9" w:rsidP="00153CE5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9328" w:type="dxa"/>
        <w:tblInd w:w="62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8670"/>
      </w:tblGrid>
      <w:tr w:rsidR="004A6634" w:rsidRPr="005705FF" w14:paraId="5E76055E" w14:textId="77777777" w:rsidTr="0097367F">
        <w:trPr>
          <w:trHeight w:val="3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4CD37ED" w14:textId="7E1D958F" w:rsidR="004A6634" w:rsidRPr="005705FF" w:rsidRDefault="004A6634" w:rsidP="00153CE5">
            <w:pPr>
              <w:spacing w:line="360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4.</w:t>
            </w:r>
            <w:r w:rsidRPr="005705FF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FE77B68" w14:textId="62912575" w:rsidR="004A6634" w:rsidRPr="005705FF" w:rsidRDefault="00064F54" w:rsidP="00153CE5">
            <w:pPr>
              <w:spacing w:line="360" w:lineRule="auto"/>
              <w:rPr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SCOPE AND DELIVERABLES</w:t>
            </w:r>
          </w:p>
        </w:tc>
      </w:tr>
    </w:tbl>
    <w:p w14:paraId="7A18A931" w14:textId="77777777" w:rsidR="00612618" w:rsidRPr="005705FF" w:rsidRDefault="00612618" w:rsidP="00153CE5">
      <w:pPr>
        <w:spacing w:line="360" w:lineRule="auto"/>
        <w:jc w:val="both"/>
        <w:rPr>
          <w:b/>
          <w:bCs/>
          <w:sz w:val="24"/>
          <w:szCs w:val="24"/>
        </w:rPr>
      </w:pPr>
    </w:p>
    <w:p w14:paraId="3DEC60F9" w14:textId="11000ED0" w:rsidR="005253C8" w:rsidRPr="005705FF" w:rsidRDefault="005253C8" w:rsidP="00153CE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5705FF">
        <w:rPr>
          <w:b/>
          <w:bCs/>
          <w:sz w:val="24"/>
          <w:szCs w:val="24"/>
        </w:rPr>
        <w:t>Initial Study of the Nigerian Banking Industry</w:t>
      </w:r>
    </w:p>
    <w:p w14:paraId="550F61C5" w14:textId="3C6131B2" w:rsidR="00FD3133" w:rsidRPr="005705FF" w:rsidRDefault="00FD3133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The study </w:t>
      </w:r>
      <w:r w:rsidR="00705994" w:rsidRPr="005705FF">
        <w:rPr>
          <w:sz w:val="24"/>
          <w:szCs w:val="24"/>
        </w:rPr>
        <w:t xml:space="preserve">would </w:t>
      </w:r>
      <w:r w:rsidR="00F11376">
        <w:rPr>
          <w:sz w:val="24"/>
          <w:szCs w:val="24"/>
        </w:rPr>
        <w:t>include a</w:t>
      </w:r>
      <w:r w:rsidR="005575CC">
        <w:rPr>
          <w:sz w:val="24"/>
          <w:szCs w:val="24"/>
        </w:rPr>
        <w:t xml:space="preserve"> </w:t>
      </w:r>
      <w:r w:rsidR="00705994" w:rsidRPr="005705FF">
        <w:rPr>
          <w:sz w:val="24"/>
          <w:szCs w:val="24"/>
        </w:rPr>
        <w:t>survey of the Nigerian banking industry in general and t</w:t>
      </w:r>
      <w:r w:rsidR="0025361D">
        <w:rPr>
          <w:sz w:val="24"/>
          <w:szCs w:val="24"/>
        </w:rPr>
        <w:t xml:space="preserve">he </w:t>
      </w:r>
      <w:r w:rsidR="00705994" w:rsidRPr="005705FF">
        <w:rPr>
          <w:sz w:val="24"/>
          <w:szCs w:val="24"/>
        </w:rPr>
        <w:t xml:space="preserve">non-interest sub-sector </w:t>
      </w:r>
      <w:r w:rsidR="00E229C6" w:rsidRPr="005705FF">
        <w:rPr>
          <w:sz w:val="24"/>
          <w:szCs w:val="24"/>
        </w:rPr>
        <w:t>to</w:t>
      </w:r>
      <w:r w:rsidR="00705994" w:rsidRPr="005705FF">
        <w:rPr>
          <w:sz w:val="24"/>
          <w:szCs w:val="24"/>
        </w:rPr>
        <w:t xml:space="preserve"> have</w:t>
      </w:r>
      <w:r w:rsidR="00936804">
        <w:rPr>
          <w:sz w:val="24"/>
          <w:szCs w:val="24"/>
        </w:rPr>
        <w:t xml:space="preserve"> a</w:t>
      </w:r>
      <w:r w:rsidR="00705994" w:rsidRPr="005705FF">
        <w:rPr>
          <w:sz w:val="24"/>
          <w:szCs w:val="24"/>
        </w:rPr>
        <w:t xml:space="preserve"> </w:t>
      </w:r>
      <w:r w:rsidR="00F92A5A" w:rsidRPr="005705FF">
        <w:rPr>
          <w:sz w:val="24"/>
          <w:szCs w:val="24"/>
        </w:rPr>
        <w:t xml:space="preserve">good understanding of the </w:t>
      </w:r>
      <w:r w:rsidR="006D01A9" w:rsidRPr="005705FF">
        <w:rPr>
          <w:sz w:val="24"/>
          <w:szCs w:val="24"/>
        </w:rPr>
        <w:t>strengths, weaknesses, opportunities</w:t>
      </w:r>
      <w:r w:rsidR="005575CC">
        <w:rPr>
          <w:sz w:val="24"/>
          <w:szCs w:val="24"/>
        </w:rPr>
        <w:t>,</w:t>
      </w:r>
      <w:r w:rsidR="006D01A9" w:rsidRPr="005705FF">
        <w:rPr>
          <w:sz w:val="24"/>
          <w:szCs w:val="24"/>
        </w:rPr>
        <w:t xml:space="preserve"> and </w:t>
      </w:r>
      <w:r w:rsidR="00632F2C" w:rsidRPr="005705FF">
        <w:rPr>
          <w:sz w:val="24"/>
          <w:szCs w:val="24"/>
        </w:rPr>
        <w:t xml:space="preserve">threats facing the industry. This would assist the </w:t>
      </w:r>
      <w:r w:rsidR="00475151">
        <w:rPr>
          <w:sz w:val="24"/>
          <w:szCs w:val="24"/>
        </w:rPr>
        <w:t>C</w:t>
      </w:r>
      <w:r w:rsidR="00475151" w:rsidRPr="005705FF">
        <w:rPr>
          <w:sz w:val="24"/>
          <w:szCs w:val="24"/>
        </w:rPr>
        <w:t xml:space="preserve">onsultant </w:t>
      </w:r>
      <w:r w:rsidR="00814584" w:rsidRPr="005705FF">
        <w:rPr>
          <w:sz w:val="24"/>
          <w:szCs w:val="24"/>
        </w:rPr>
        <w:t>appointed or whoever is to undertake the study</w:t>
      </w:r>
      <w:r w:rsidR="00DE2F7F">
        <w:rPr>
          <w:sz w:val="24"/>
          <w:szCs w:val="24"/>
        </w:rPr>
        <w:t>,</w:t>
      </w:r>
      <w:r w:rsidR="00814584" w:rsidRPr="005705FF">
        <w:rPr>
          <w:sz w:val="24"/>
          <w:szCs w:val="24"/>
        </w:rPr>
        <w:t xml:space="preserve"> the opportunity to understand the </w:t>
      </w:r>
      <w:r w:rsidR="001206AF" w:rsidRPr="005705FF">
        <w:rPr>
          <w:sz w:val="24"/>
          <w:szCs w:val="24"/>
        </w:rPr>
        <w:t xml:space="preserve">industry thoroughly and to proffer the right solutions to </w:t>
      </w:r>
      <w:r w:rsidR="005D03C7" w:rsidRPr="005705FF">
        <w:rPr>
          <w:sz w:val="24"/>
          <w:szCs w:val="24"/>
        </w:rPr>
        <w:t>overcome the identified challenges.</w:t>
      </w:r>
    </w:p>
    <w:p w14:paraId="15A9FC82" w14:textId="77777777" w:rsidR="005D03C7" w:rsidRPr="005705FF" w:rsidRDefault="005D03C7" w:rsidP="00153CE5">
      <w:pPr>
        <w:spacing w:line="360" w:lineRule="auto"/>
        <w:jc w:val="both"/>
        <w:rPr>
          <w:sz w:val="24"/>
          <w:szCs w:val="24"/>
        </w:rPr>
      </w:pPr>
    </w:p>
    <w:p w14:paraId="3C870E06" w14:textId="6DB56F79" w:rsidR="00612618" w:rsidRDefault="005D03C7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The study would equally entail</w:t>
      </w:r>
      <w:r w:rsidR="00E229C6" w:rsidRPr="005705FF">
        <w:rPr>
          <w:sz w:val="24"/>
          <w:szCs w:val="24"/>
        </w:rPr>
        <w:t xml:space="preserve"> reviewing existing legislations</w:t>
      </w:r>
      <w:r w:rsidR="00286B87" w:rsidRPr="005705FF">
        <w:rPr>
          <w:sz w:val="24"/>
          <w:szCs w:val="24"/>
        </w:rPr>
        <w:t xml:space="preserve"> guiding the operation of banks in </w:t>
      </w:r>
      <w:r w:rsidR="001A4188" w:rsidRPr="005705FF">
        <w:rPr>
          <w:sz w:val="24"/>
          <w:szCs w:val="24"/>
        </w:rPr>
        <w:t>Nigeria</w:t>
      </w:r>
      <w:r w:rsidR="00954D7E" w:rsidRPr="005705FF">
        <w:rPr>
          <w:sz w:val="24"/>
          <w:szCs w:val="24"/>
        </w:rPr>
        <w:t>. Laws such as the Banks and Other Financial Institutions Act (BOFIA</w:t>
      </w:r>
      <w:r w:rsidR="00212ECF" w:rsidRPr="005705FF">
        <w:rPr>
          <w:sz w:val="24"/>
          <w:szCs w:val="24"/>
        </w:rPr>
        <w:t>)</w:t>
      </w:r>
      <w:r w:rsidR="00954D7E" w:rsidRPr="005705FF">
        <w:rPr>
          <w:sz w:val="24"/>
          <w:szCs w:val="24"/>
        </w:rPr>
        <w:t>, 2020, C</w:t>
      </w:r>
      <w:r w:rsidR="00776349">
        <w:rPr>
          <w:sz w:val="24"/>
          <w:szCs w:val="24"/>
        </w:rPr>
        <w:t xml:space="preserve">entral </w:t>
      </w:r>
      <w:r w:rsidR="00954D7E" w:rsidRPr="005705FF">
        <w:rPr>
          <w:sz w:val="24"/>
          <w:szCs w:val="24"/>
        </w:rPr>
        <w:t>B</w:t>
      </w:r>
      <w:r w:rsidR="00776349">
        <w:rPr>
          <w:sz w:val="24"/>
          <w:szCs w:val="24"/>
        </w:rPr>
        <w:t xml:space="preserve">ank of </w:t>
      </w:r>
      <w:r w:rsidR="00954D7E" w:rsidRPr="005705FF">
        <w:rPr>
          <w:sz w:val="24"/>
          <w:szCs w:val="24"/>
        </w:rPr>
        <w:t>N</w:t>
      </w:r>
      <w:r w:rsidR="00776349">
        <w:rPr>
          <w:sz w:val="24"/>
          <w:szCs w:val="24"/>
        </w:rPr>
        <w:t>igeria</w:t>
      </w:r>
      <w:r w:rsidR="00954D7E" w:rsidRPr="005705FF">
        <w:rPr>
          <w:sz w:val="24"/>
          <w:szCs w:val="24"/>
        </w:rPr>
        <w:t xml:space="preserve"> Act</w:t>
      </w:r>
      <w:r w:rsidR="00212ECF" w:rsidRPr="005705FF">
        <w:rPr>
          <w:sz w:val="24"/>
          <w:szCs w:val="24"/>
        </w:rPr>
        <w:t xml:space="preserve"> (</w:t>
      </w:r>
      <w:r w:rsidR="009134EB">
        <w:rPr>
          <w:sz w:val="24"/>
          <w:szCs w:val="24"/>
        </w:rPr>
        <w:t xml:space="preserve">CBN) </w:t>
      </w:r>
      <w:r w:rsidR="00212ECF" w:rsidRPr="005705FF">
        <w:rPr>
          <w:sz w:val="24"/>
          <w:szCs w:val="24"/>
        </w:rPr>
        <w:t xml:space="preserve">2007, </w:t>
      </w:r>
      <w:r w:rsidR="00475151">
        <w:rPr>
          <w:sz w:val="24"/>
          <w:szCs w:val="24"/>
        </w:rPr>
        <w:t>C</w:t>
      </w:r>
      <w:r w:rsidR="00475151" w:rsidRPr="005705FF">
        <w:rPr>
          <w:sz w:val="24"/>
          <w:szCs w:val="24"/>
        </w:rPr>
        <w:t>ompan</w:t>
      </w:r>
      <w:r w:rsidR="00D22FDF">
        <w:rPr>
          <w:sz w:val="24"/>
          <w:szCs w:val="24"/>
        </w:rPr>
        <w:t>ies</w:t>
      </w:r>
      <w:r w:rsidR="00475151" w:rsidRPr="005705FF">
        <w:rPr>
          <w:sz w:val="24"/>
          <w:szCs w:val="24"/>
        </w:rPr>
        <w:t xml:space="preserve"> </w:t>
      </w:r>
      <w:r w:rsidR="00212ECF" w:rsidRPr="005705FF">
        <w:rPr>
          <w:sz w:val="24"/>
          <w:szCs w:val="24"/>
        </w:rPr>
        <w:t>and Allied Matters Act (CAMA), 2020</w:t>
      </w:r>
      <w:r w:rsidR="0039706E" w:rsidRPr="005705FF">
        <w:rPr>
          <w:sz w:val="24"/>
          <w:szCs w:val="24"/>
        </w:rPr>
        <w:t xml:space="preserve">, </w:t>
      </w:r>
      <w:r w:rsidR="0047002A" w:rsidRPr="005705FF">
        <w:rPr>
          <w:sz w:val="24"/>
          <w:szCs w:val="24"/>
        </w:rPr>
        <w:t xml:space="preserve">the Money laundering (Prevention and Prohibition) </w:t>
      </w:r>
      <w:r w:rsidR="002F132E" w:rsidRPr="005705FF">
        <w:rPr>
          <w:sz w:val="24"/>
          <w:szCs w:val="24"/>
        </w:rPr>
        <w:t>Act</w:t>
      </w:r>
      <w:r w:rsidR="0047002A" w:rsidRPr="005705FF">
        <w:rPr>
          <w:sz w:val="24"/>
          <w:szCs w:val="24"/>
        </w:rPr>
        <w:t xml:space="preserve">, 2022 or MLA 2022 </w:t>
      </w:r>
      <w:r w:rsidR="002F132E" w:rsidRPr="005705FF">
        <w:rPr>
          <w:sz w:val="24"/>
          <w:szCs w:val="24"/>
        </w:rPr>
        <w:t xml:space="preserve">and other </w:t>
      </w:r>
      <w:r w:rsidR="0000009D" w:rsidRPr="005705FF">
        <w:rPr>
          <w:sz w:val="24"/>
          <w:szCs w:val="24"/>
        </w:rPr>
        <w:t xml:space="preserve">ancillary legislation. </w:t>
      </w:r>
      <w:r w:rsidR="00696270" w:rsidRPr="005705FF">
        <w:rPr>
          <w:sz w:val="24"/>
          <w:szCs w:val="24"/>
        </w:rPr>
        <w:t xml:space="preserve">Reviewing these legislations would assist </w:t>
      </w:r>
      <w:r w:rsidR="005F1639">
        <w:rPr>
          <w:sz w:val="24"/>
          <w:szCs w:val="24"/>
        </w:rPr>
        <w:t xml:space="preserve">the Consultant appointed </w:t>
      </w:r>
      <w:r w:rsidR="00EE1161" w:rsidRPr="005705FF">
        <w:rPr>
          <w:sz w:val="24"/>
          <w:szCs w:val="24"/>
        </w:rPr>
        <w:t xml:space="preserve">in having good understanding of </w:t>
      </w:r>
      <w:r w:rsidR="00671403" w:rsidRPr="005705FF">
        <w:rPr>
          <w:sz w:val="24"/>
          <w:szCs w:val="24"/>
        </w:rPr>
        <w:t>regulations that need to be complied with in developing any product to be used in the Nigerian banking industry</w:t>
      </w:r>
      <w:r w:rsidR="00427D26" w:rsidRPr="005705FF">
        <w:rPr>
          <w:sz w:val="24"/>
          <w:szCs w:val="24"/>
        </w:rPr>
        <w:t>.</w:t>
      </w:r>
    </w:p>
    <w:p w14:paraId="3047CBA7" w14:textId="77777777" w:rsidR="004609D5" w:rsidRPr="005705FF" w:rsidRDefault="004609D5" w:rsidP="00153CE5">
      <w:pPr>
        <w:spacing w:line="360" w:lineRule="auto"/>
        <w:jc w:val="both"/>
        <w:rPr>
          <w:sz w:val="24"/>
          <w:szCs w:val="24"/>
        </w:rPr>
      </w:pPr>
    </w:p>
    <w:p w14:paraId="5867EB9D" w14:textId="4D6B327B" w:rsidR="00052BCD" w:rsidRPr="005705FF" w:rsidRDefault="006B5B66" w:rsidP="00427D26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5705FF">
        <w:rPr>
          <w:b/>
          <w:bCs/>
          <w:sz w:val="24"/>
          <w:szCs w:val="24"/>
        </w:rPr>
        <w:t>Expected Deliverables</w:t>
      </w:r>
    </w:p>
    <w:p w14:paraId="798CC598" w14:textId="6F09DCFB" w:rsidR="006B5B66" w:rsidRPr="005705FF" w:rsidRDefault="006E6D0C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Based on the initial study</w:t>
      </w:r>
      <w:r w:rsidR="00C554D9" w:rsidRPr="005705FF">
        <w:rPr>
          <w:sz w:val="24"/>
          <w:szCs w:val="24"/>
        </w:rPr>
        <w:t xml:space="preserve"> above, </w:t>
      </w:r>
      <w:r w:rsidR="00DE0752" w:rsidRPr="005705FF">
        <w:rPr>
          <w:sz w:val="24"/>
          <w:szCs w:val="24"/>
        </w:rPr>
        <w:t xml:space="preserve">the </w:t>
      </w:r>
      <w:r w:rsidR="00C67335" w:rsidRPr="005705FF">
        <w:rPr>
          <w:sz w:val="24"/>
          <w:szCs w:val="24"/>
        </w:rPr>
        <w:t>programme is expected to achieve the following deliverables:</w:t>
      </w:r>
    </w:p>
    <w:p w14:paraId="1658D65B" w14:textId="16A64BE6" w:rsidR="00C67335" w:rsidRPr="005705FF" w:rsidRDefault="00674E00" w:rsidP="00153CE5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Develop c</w:t>
      </w:r>
      <w:r w:rsidR="00C933FD" w:rsidRPr="005705FF">
        <w:rPr>
          <w:spacing w:val="-2"/>
          <w:sz w:val="24"/>
          <w:szCs w:val="24"/>
        </w:rPr>
        <w:t xml:space="preserve">ompetitive Sharia-compliant </w:t>
      </w:r>
      <w:r w:rsidR="00047726" w:rsidRPr="005705FF">
        <w:rPr>
          <w:spacing w:val="-2"/>
          <w:sz w:val="24"/>
          <w:szCs w:val="24"/>
        </w:rPr>
        <w:t>liqui</w:t>
      </w:r>
      <w:r w:rsidR="0027269F" w:rsidRPr="005705FF">
        <w:rPr>
          <w:spacing w:val="-2"/>
          <w:sz w:val="24"/>
          <w:szCs w:val="24"/>
        </w:rPr>
        <w:t xml:space="preserve">dity management </w:t>
      </w:r>
      <w:r w:rsidR="00C933FD" w:rsidRPr="005705FF">
        <w:rPr>
          <w:spacing w:val="-2"/>
          <w:sz w:val="24"/>
          <w:szCs w:val="24"/>
        </w:rPr>
        <w:t xml:space="preserve">instruments for managing liquidity </w:t>
      </w:r>
      <w:r w:rsidR="00075D74" w:rsidRPr="005705FF">
        <w:rPr>
          <w:spacing w:val="-2"/>
          <w:sz w:val="24"/>
          <w:szCs w:val="24"/>
        </w:rPr>
        <w:t>by</w:t>
      </w:r>
      <w:r w:rsidR="00C933FD" w:rsidRPr="005705FF">
        <w:rPr>
          <w:spacing w:val="-2"/>
          <w:sz w:val="24"/>
          <w:szCs w:val="24"/>
        </w:rPr>
        <w:t xml:space="preserve"> Islamic banks</w:t>
      </w:r>
      <w:r w:rsidR="00075D74" w:rsidRPr="005705FF">
        <w:rPr>
          <w:spacing w:val="-2"/>
          <w:sz w:val="24"/>
          <w:szCs w:val="24"/>
        </w:rPr>
        <w:t xml:space="preserve"> in Nigeria</w:t>
      </w:r>
      <w:r w:rsidR="00FF6689" w:rsidRPr="005705FF">
        <w:rPr>
          <w:spacing w:val="-2"/>
          <w:sz w:val="24"/>
          <w:szCs w:val="24"/>
        </w:rPr>
        <w:t xml:space="preserve"> and train staff </w:t>
      </w:r>
      <w:r w:rsidR="001E3348">
        <w:rPr>
          <w:spacing w:val="-2"/>
          <w:sz w:val="24"/>
          <w:szCs w:val="24"/>
        </w:rPr>
        <w:t xml:space="preserve">of </w:t>
      </w:r>
      <w:r w:rsidR="00FF6689" w:rsidRPr="005705FF">
        <w:rPr>
          <w:spacing w:val="-2"/>
          <w:sz w:val="24"/>
          <w:szCs w:val="24"/>
        </w:rPr>
        <w:t xml:space="preserve">the CBN on the </w:t>
      </w:r>
      <w:r w:rsidR="00EB2368" w:rsidRPr="005705FF">
        <w:rPr>
          <w:spacing w:val="-2"/>
          <w:sz w:val="24"/>
          <w:szCs w:val="24"/>
        </w:rPr>
        <w:t xml:space="preserve">application of the </w:t>
      </w:r>
      <w:proofErr w:type="gramStart"/>
      <w:r w:rsidR="00EB2368" w:rsidRPr="005705FF">
        <w:rPr>
          <w:spacing w:val="-2"/>
          <w:sz w:val="24"/>
          <w:szCs w:val="24"/>
        </w:rPr>
        <w:t>instruments</w:t>
      </w:r>
      <w:r w:rsidR="00075D74" w:rsidRPr="005705FF">
        <w:rPr>
          <w:spacing w:val="-2"/>
          <w:sz w:val="24"/>
          <w:szCs w:val="24"/>
        </w:rPr>
        <w:t>;</w:t>
      </w:r>
      <w:proofErr w:type="gramEnd"/>
    </w:p>
    <w:p w14:paraId="6986270F" w14:textId="7ED8C2B2" w:rsidR="00075D74" w:rsidRPr="005705FF" w:rsidRDefault="00436C16" w:rsidP="00153CE5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Develop </w:t>
      </w:r>
      <w:r w:rsidR="00714F83" w:rsidRPr="005705FF">
        <w:rPr>
          <w:spacing w:val="-2"/>
          <w:sz w:val="24"/>
          <w:szCs w:val="24"/>
        </w:rPr>
        <w:t xml:space="preserve">Sharia </w:t>
      </w:r>
      <w:r w:rsidR="00BF441B" w:rsidRPr="005705FF">
        <w:rPr>
          <w:spacing w:val="-2"/>
          <w:sz w:val="24"/>
          <w:szCs w:val="24"/>
        </w:rPr>
        <w:t>C</w:t>
      </w:r>
      <w:r w:rsidR="00714F83" w:rsidRPr="005705FF">
        <w:rPr>
          <w:spacing w:val="-2"/>
          <w:sz w:val="24"/>
          <w:szCs w:val="24"/>
        </w:rPr>
        <w:t>ompliance Audit Manual and trai</w:t>
      </w:r>
      <w:r>
        <w:rPr>
          <w:spacing w:val="-2"/>
          <w:sz w:val="24"/>
          <w:szCs w:val="24"/>
        </w:rPr>
        <w:t>n</w:t>
      </w:r>
      <w:r w:rsidR="00714F83" w:rsidRPr="005705FF">
        <w:rPr>
          <w:spacing w:val="-2"/>
          <w:sz w:val="24"/>
          <w:szCs w:val="24"/>
        </w:rPr>
        <w:t xml:space="preserve"> staff of the </w:t>
      </w:r>
      <w:r w:rsidR="00A26D2E" w:rsidRPr="005705FF">
        <w:rPr>
          <w:spacing w:val="-2"/>
          <w:sz w:val="24"/>
          <w:szCs w:val="24"/>
        </w:rPr>
        <w:t xml:space="preserve">CBN on the developed </w:t>
      </w:r>
      <w:proofErr w:type="gramStart"/>
      <w:r w:rsidR="008F4FF5" w:rsidRPr="005705FF">
        <w:rPr>
          <w:spacing w:val="-2"/>
          <w:sz w:val="24"/>
          <w:szCs w:val="24"/>
        </w:rPr>
        <w:t>Manual</w:t>
      </w:r>
      <w:r w:rsidR="00594F5C" w:rsidRPr="005705FF">
        <w:rPr>
          <w:spacing w:val="-2"/>
          <w:sz w:val="24"/>
          <w:szCs w:val="24"/>
        </w:rPr>
        <w:t>;</w:t>
      </w:r>
      <w:proofErr w:type="gramEnd"/>
    </w:p>
    <w:p w14:paraId="25383EC4" w14:textId="5CB21DE0" w:rsidR="008F4FF5" w:rsidRPr="005705FF" w:rsidRDefault="00286337" w:rsidP="00153CE5">
      <w:pPr>
        <w:pStyle w:val="ListParagraph"/>
        <w:numPr>
          <w:ilvl w:val="0"/>
          <w:numId w:val="4"/>
        </w:numPr>
        <w:suppressAutoHyphens/>
        <w:spacing w:line="360" w:lineRule="auto"/>
        <w:contextualSpacing w:val="0"/>
        <w:jc w:val="both"/>
        <w:rPr>
          <w:spacing w:val="-2"/>
          <w:sz w:val="24"/>
          <w:szCs w:val="24"/>
        </w:rPr>
      </w:pPr>
      <w:r w:rsidRPr="005705FF">
        <w:rPr>
          <w:spacing w:val="-2"/>
          <w:sz w:val="24"/>
          <w:szCs w:val="24"/>
        </w:rPr>
        <w:t>Refine guidelines for converting conventional banks to Islamic banks</w:t>
      </w:r>
      <w:r w:rsidR="00475151">
        <w:rPr>
          <w:spacing w:val="-2"/>
          <w:sz w:val="24"/>
          <w:szCs w:val="24"/>
        </w:rPr>
        <w:t>,</w:t>
      </w:r>
      <w:r w:rsidR="00CB0CD2" w:rsidRPr="005705FF">
        <w:rPr>
          <w:spacing w:val="-2"/>
          <w:sz w:val="24"/>
          <w:szCs w:val="24"/>
        </w:rPr>
        <w:t xml:space="preserve"> and train CBN staff </w:t>
      </w:r>
      <w:r w:rsidR="0007271C" w:rsidRPr="005705FF">
        <w:rPr>
          <w:spacing w:val="-2"/>
          <w:sz w:val="24"/>
          <w:szCs w:val="24"/>
        </w:rPr>
        <w:t xml:space="preserve">on </w:t>
      </w:r>
      <w:r w:rsidRPr="005705FF">
        <w:rPr>
          <w:spacing w:val="-2"/>
          <w:sz w:val="24"/>
          <w:szCs w:val="24"/>
        </w:rPr>
        <w:t>implementing the guidelines and monitoring the process</w:t>
      </w:r>
      <w:r w:rsidR="00425AE3" w:rsidRPr="005705FF">
        <w:rPr>
          <w:spacing w:val="-2"/>
          <w:sz w:val="24"/>
          <w:szCs w:val="24"/>
        </w:rPr>
        <w:t>;</w:t>
      </w:r>
      <w:r w:rsidR="006775D3" w:rsidRPr="005705FF">
        <w:rPr>
          <w:spacing w:val="-2"/>
          <w:sz w:val="24"/>
          <w:szCs w:val="24"/>
        </w:rPr>
        <w:t xml:space="preserve"> and</w:t>
      </w:r>
    </w:p>
    <w:p w14:paraId="751A19FC" w14:textId="440611AB" w:rsidR="00074A3F" w:rsidRPr="005705FF" w:rsidRDefault="00425AE3" w:rsidP="00153CE5">
      <w:pPr>
        <w:pStyle w:val="ListParagraph"/>
        <w:numPr>
          <w:ilvl w:val="0"/>
          <w:numId w:val="4"/>
        </w:numPr>
        <w:suppressAutoHyphens/>
        <w:spacing w:line="360" w:lineRule="auto"/>
        <w:contextualSpacing w:val="0"/>
        <w:jc w:val="both"/>
        <w:rPr>
          <w:spacing w:val="-2"/>
          <w:sz w:val="24"/>
          <w:szCs w:val="24"/>
        </w:rPr>
      </w:pPr>
      <w:r w:rsidRPr="005705FF">
        <w:rPr>
          <w:spacing w:val="-2"/>
          <w:sz w:val="24"/>
          <w:szCs w:val="24"/>
        </w:rPr>
        <w:lastRenderedPageBreak/>
        <w:t xml:space="preserve">Training of </w:t>
      </w:r>
      <w:r w:rsidR="00436C16">
        <w:rPr>
          <w:spacing w:val="-2"/>
          <w:sz w:val="24"/>
          <w:szCs w:val="24"/>
        </w:rPr>
        <w:t xml:space="preserve">specified </w:t>
      </w:r>
      <w:r w:rsidR="00DC60A4" w:rsidRPr="005705FF">
        <w:rPr>
          <w:spacing w:val="-2"/>
          <w:sz w:val="24"/>
          <w:szCs w:val="24"/>
        </w:rPr>
        <w:t>Islamic bank staff on newly developed liquidity management instruments</w:t>
      </w:r>
      <w:r w:rsidR="006775D3" w:rsidRPr="005705FF">
        <w:rPr>
          <w:spacing w:val="-2"/>
          <w:sz w:val="24"/>
          <w:szCs w:val="24"/>
        </w:rPr>
        <w:t>.</w:t>
      </w:r>
    </w:p>
    <w:p w14:paraId="6D128B49" w14:textId="77777777" w:rsidR="006B5B66" w:rsidRPr="005705FF" w:rsidRDefault="006B5B66" w:rsidP="00153CE5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9328" w:type="dxa"/>
        <w:tblInd w:w="62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8670"/>
      </w:tblGrid>
      <w:tr w:rsidR="00ED0D47" w:rsidRPr="005705FF" w14:paraId="726D2A9D" w14:textId="77777777" w:rsidTr="0097367F">
        <w:trPr>
          <w:trHeight w:val="3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3AF0E6C" w14:textId="0733B48E" w:rsidR="00ED0D47" w:rsidRPr="005705FF" w:rsidRDefault="00ED0D47" w:rsidP="00153CE5">
            <w:pPr>
              <w:spacing w:line="360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5.</w:t>
            </w:r>
            <w:r w:rsidRPr="005705FF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0DC8FBB6" w14:textId="77777777" w:rsidR="00ED0D47" w:rsidRPr="005705FF" w:rsidRDefault="00ED0D47" w:rsidP="00153CE5">
            <w:pPr>
              <w:spacing w:line="360" w:lineRule="auto"/>
              <w:rPr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SELECTION CRITERIA</w:t>
            </w:r>
          </w:p>
        </w:tc>
      </w:tr>
    </w:tbl>
    <w:p w14:paraId="25FDBA39" w14:textId="77777777" w:rsidR="00612618" w:rsidRPr="005705FF" w:rsidRDefault="00612618" w:rsidP="00153CE5">
      <w:pPr>
        <w:spacing w:line="360" w:lineRule="auto"/>
        <w:jc w:val="both"/>
        <w:rPr>
          <w:sz w:val="24"/>
          <w:szCs w:val="24"/>
        </w:rPr>
      </w:pPr>
    </w:p>
    <w:p w14:paraId="3F50FCD5" w14:textId="097895AD" w:rsidR="00B24EBB" w:rsidRPr="005705FF" w:rsidRDefault="00074A3F" w:rsidP="00153CE5">
      <w:pPr>
        <w:spacing w:line="360" w:lineRule="auto"/>
        <w:jc w:val="both"/>
        <w:rPr>
          <w:color w:val="212121"/>
          <w:sz w:val="24"/>
          <w:szCs w:val="24"/>
          <w:lang w:val="en"/>
        </w:rPr>
      </w:pPr>
      <w:r w:rsidRPr="005705FF">
        <w:rPr>
          <w:sz w:val="24"/>
          <w:szCs w:val="24"/>
        </w:rPr>
        <w:t xml:space="preserve">Selection of Consultant </w:t>
      </w:r>
      <w:r w:rsidR="001F14B6" w:rsidRPr="005705FF">
        <w:rPr>
          <w:sz w:val="24"/>
          <w:szCs w:val="24"/>
        </w:rPr>
        <w:t xml:space="preserve">(s) </w:t>
      </w:r>
      <w:r w:rsidRPr="005705FF">
        <w:rPr>
          <w:sz w:val="24"/>
          <w:szCs w:val="24"/>
        </w:rPr>
        <w:t>t</w:t>
      </w:r>
      <w:r w:rsidR="001F14B6" w:rsidRPr="005705FF">
        <w:rPr>
          <w:sz w:val="24"/>
          <w:szCs w:val="24"/>
        </w:rPr>
        <w:t xml:space="preserve">o anchor the programme would be </w:t>
      </w:r>
      <w:r w:rsidR="005C074D" w:rsidRPr="005705FF">
        <w:rPr>
          <w:color w:val="212121"/>
          <w:sz w:val="24"/>
          <w:szCs w:val="24"/>
          <w:lang w:val="en"/>
        </w:rPr>
        <w:t xml:space="preserve">carried out with the use of </w:t>
      </w:r>
      <w:r w:rsidR="002A30B4">
        <w:rPr>
          <w:color w:val="212121"/>
          <w:sz w:val="24"/>
          <w:szCs w:val="24"/>
          <w:lang w:val="en"/>
        </w:rPr>
        <w:t>consultant qualification selection</w:t>
      </w:r>
      <w:r w:rsidR="005C074D" w:rsidRPr="005705FF">
        <w:rPr>
          <w:color w:val="212121"/>
          <w:sz w:val="24"/>
          <w:szCs w:val="24"/>
          <w:lang w:val="en"/>
        </w:rPr>
        <w:t xml:space="preserve"> method (</w:t>
      </w:r>
      <w:r w:rsidR="002A30B4">
        <w:rPr>
          <w:color w:val="212121"/>
          <w:sz w:val="24"/>
          <w:szCs w:val="24"/>
          <w:lang w:val="en"/>
        </w:rPr>
        <w:t>CQS</w:t>
      </w:r>
      <w:r w:rsidR="005C074D" w:rsidRPr="005705FF">
        <w:rPr>
          <w:color w:val="212121"/>
          <w:sz w:val="24"/>
          <w:szCs w:val="24"/>
          <w:lang w:val="en"/>
        </w:rPr>
        <w:t>)</w:t>
      </w:r>
      <w:r w:rsidR="00926EB9">
        <w:rPr>
          <w:color w:val="212121"/>
          <w:sz w:val="24"/>
          <w:szCs w:val="24"/>
          <w:lang w:val="en"/>
        </w:rPr>
        <w:t>,</w:t>
      </w:r>
      <w:r w:rsidR="005C074D" w:rsidRPr="005705FF">
        <w:rPr>
          <w:color w:val="212121"/>
          <w:sz w:val="24"/>
          <w:szCs w:val="24"/>
          <w:lang w:val="en"/>
        </w:rPr>
        <w:t xml:space="preserve"> in accordance with the policies and procedures of the IsDB. The selection criteria will be based on </w:t>
      </w:r>
      <w:r w:rsidR="00B24EBB" w:rsidRPr="005705FF">
        <w:rPr>
          <w:color w:val="212121"/>
          <w:sz w:val="24"/>
          <w:szCs w:val="24"/>
          <w:lang w:val="en"/>
        </w:rPr>
        <w:t xml:space="preserve">the following </w:t>
      </w:r>
      <w:r w:rsidR="005575CC">
        <w:rPr>
          <w:color w:val="212121"/>
          <w:sz w:val="24"/>
          <w:szCs w:val="24"/>
          <w:lang w:val="en"/>
        </w:rPr>
        <w:t>five (</w:t>
      </w:r>
      <w:proofErr w:type="gramStart"/>
      <w:r w:rsidR="005C074D" w:rsidRPr="005705FF">
        <w:rPr>
          <w:color w:val="212121"/>
          <w:sz w:val="24"/>
          <w:szCs w:val="24"/>
          <w:lang w:val="en"/>
        </w:rPr>
        <w:t>5</w:t>
      </w:r>
      <w:r w:rsidR="005575CC">
        <w:rPr>
          <w:color w:val="212121"/>
          <w:sz w:val="24"/>
          <w:szCs w:val="24"/>
          <w:lang w:val="en"/>
        </w:rPr>
        <w:t>)</w:t>
      </w:r>
      <w:r w:rsidR="005C074D" w:rsidRPr="005705FF">
        <w:rPr>
          <w:color w:val="212121"/>
          <w:sz w:val="24"/>
          <w:szCs w:val="24"/>
          <w:lang w:val="en"/>
        </w:rPr>
        <w:t>factors</w:t>
      </w:r>
      <w:proofErr w:type="gramEnd"/>
      <w:r w:rsidR="00B24EBB" w:rsidRPr="005705FF">
        <w:rPr>
          <w:color w:val="212121"/>
          <w:sz w:val="24"/>
          <w:szCs w:val="24"/>
          <w:lang w:val="en"/>
        </w:rPr>
        <w:t>:</w:t>
      </w:r>
    </w:p>
    <w:p w14:paraId="0939F08B" w14:textId="42520A2A" w:rsidR="00B24EBB" w:rsidRPr="005705FF" w:rsidRDefault="00D07E55" w:rsidP="00153CE5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E</w:t>
      </w:r>
      <w:r w:rsidR="005C074D" w:rsidRPr="005705FF">
        <w:rPr>
          <w:sz w:val="24"/>
          <w:szCs w:val="24"/>
        </w:rPr>
        <w:t xml:space="preserve">xperience of the Consultant (as a firm) related to the </w:t>
      </w:r>
      <w:r w:rsidR="00AC461F" w:rsidRPr="005705FF">
        <w:rPr>
          <w:sz w:val="24"/>
          <w:szCs w:val="24"/>
        </w:rPr>
        <w:t xml:space="preserve">entire </w:t>
      </w:r>
      <w:r w:rsidR="005C074D" w:rsidRPr="005705FF">
        <w:rPr>
          <w:sz w:val="24"/>
          <w:szCs w:val="24"/>
        </w:rPr>
        <w:t>assignment</w:t>
      </w:r>
      <w:r w:rsidR="002A30B4">
        <w:rPr>
          <w:sz w:val="24"/>
          <w:szCs w:val="24"/>
        </w:rPr>
        <w:t xml:space="preserve"> (30%</w:t>
      </w:r>
      <w:proofErr w:type="gramStart"/>
      <w:r w:rsidR="002A30B4">
        <w:rPr>
          <w:sz w:val="24"/>
          <w:szCs w:val="24"/>
        </w:rPr>
        <w:t>)</w:t>
      </w:r>
      <w:r w:rsidR="00B24EBB" w:rsidRPr="005705FF">
        <w:rPr>
          <w:sz w:val="24"/>
          <w:szCs w:val="24"/>
        </w:rPr>
        <w:t>;</w:t>
      </w:r>
      <w:proofErr w:type="gramEnd"/>
    </w:p>
    <w:p w14:paraId="4E934A2A" w14:textId="4E10BBBE" w:rsidR="00B24EBB" w:rsidRPr="005705FF" w:rsidRDefault="005C074D" w:rsidP="00153CE5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Adequacy of the proposed work plan and methodology in responding to the Terms of Reference (TOR)</w:t>
      </w:r>
      <w:r w:rsidR="002A30B4">
        <w:rPr>
          <w:sz w:val="24"/>
          <w:szCs w:val="24"/>
        </w:rPr>
        <w:t xml:space="preserve"> (20%</w:t>
      </w:r>
      <w:proofErr w:type="gramStart"/>
      <w:r w:rsidR="002A30B4">
        <w:rPr>
          <w:sz w:val="24"/>
          <w:szCs w:val="24"/>
        </w:rPr>
        <w:t>)</w:t>
      </w:r>
      <w:r w:rsidR="00B24EBB" w:rsidRPr="005705FF">
        <w:rPr>
          <w:sz w:val="24"/>
          <w:szCs w:val="24"/>
        </w:rPr>
        <w:t>;</w:t>
      </w:r>
      <w:proofErr w:type="gramEnd"/>
    </w:p>
    <w:p w14:paraId="560428CB" w14:textId="0B3B5882" w:rsidR="00B24EBB" w:rsidRPr="005705FF" w:rsidRDefault="005C074D" w:rsidP="00153CE5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Qualifications and </w:t>
      </w:r>
      <w:r w:rsidR="00607A3F" w:rsidRPr="005705FF">
        <w:rPr>
          <w:sz w:val="24"/>
          <w:szCs w:val="24"/>
        </w:rPr>
        <w:t xml:space="preserve">experience of the key partners in the Consultant’s firm </w:t>
      </w:r>
      <w:r w:rsidR="002F7418" w:rsidRPr="005705FF">
        <w:rPr>
          <w:sz w:val="24"/>
          <w:szCs w:val="24"/>
        </w:rPr>
        <w:t xml:space="preserve">in relation to the </w:t>
      </w:r>
      <w:r w:rsidRPr="005705FF">
        <w:rPr>
          <w:sz w:val="24"/>
          <w:szCs w:val="24"/>
        </w:rPr>
        <w:t>project</w:t>
      </w:r>
      <w:r w:rsidR="002A30B4">
        <w:rPr>
          <w:sz w:val="24"/>
          <w:szCs w:val="24"/>
        </w:rPr>
        <w:t xml:space="preserve"> (20%</w:t>
      </w:r>
      <w:proofErr w:type="gramStart"/>
      <w:r w:rsidR="002A30B4">
        <w:rPr>
          <w:sz w:val="24"/>
          <w:szCs w:val="24"/>
        </w:rPr>
        <w:t>)</w:t>
      </w:r>
      <w:r w:rsidR="00B24EBB" w:rsidRPr="005705FF">
        <w:rPr>
          <w:sz w:val="24"/>
          <w:szCs w:val="24"/>
        </w:rPr>
        <w:t>;</w:t>
      </w:r>
      <w:proofErr w:type="gramEnd"/>
      <w:r w:rsidRPr="005705FF">
        <w:rPr>
          <w:sz w:val="24"/>
          <w:szCs w:val="24"/>
        </w:rPr>
        <w:t xml:space="preserve">                                                        </w:t>
      </w:r>
    </w:p>
    <w:p w14:paraId="295BD6BB" w14:textId="6EA9A94F" w:rsidR="00B24EBB" w:rsidRPr="005705FF" w:rsidRDefault="002F7418" w:rsidP="00153CE5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Evidence of</w:t>
      </w:r>
      <w:r w:rsidR="00D07E55" w:rsidRPr="005705FF">
        <w:rPr>
          <w:sz w:val="24"/>
          <w:szCs w:val="24"/>
        </w:rPr>
        <w:t xml:space="preserve"> similar </w:t>
      </w:r>
      <w:r w:rsidR="005C074D" w:rsidRPr="005705FF">
        <w:rPr>
          <w:sz w:val="24"/>
          <w:szCs w:val="24"/>
        </w:rPr>
        <w:t xml:space="preserve">trainings </w:t>
      </w:r>
      <w:r w:rsidR="00D07E55" w:rsidRPr="005705FF">
        <w:rPr>
          <w:sz w:val="24"/>
          <w:szCs w:val="24"/>
        </w:rPr>
        <w:t>conducted</w:t>
      </w:r>
      <w:r w:rsidR="005575CC">
        <w:rPr>
          <w:sz w:val="24"/>
          <w:szCs w:val="24"/>
        </w:rPr>
        <w:t>,</w:t>
      </w:r>
      <w:r w:rsidR="00D07E55" w:rsidRPr="005705FF">
        <w:rPr>
          <w:sz w:val="24"/>
          <w:szCs w:val="24"/>
        </w:rPr>
        <w:t xml:space="preserve"> </w:t>
      </w:r>
      <w:r w:rsidR="005C074D" w:rsidRPr="005705FF">
        <w:rPr>
          <w:sz w:val="24"/>
          <w:szCs w:val="24"/>
        </w:rPr>
        <w:t xml:space="preserve">and </w:t>
      </w:r>
      <w:r w:rsidR="00136E72" w:rsidRPr="005705FF">
        <w:rPr>
          <w:sz w:val="24"/>
          <w:szCs w:val="24"/>
        </w:rPr>
        <w:t>results</w:t>
      </w:r>
      <w:r w:rsidR="00085C39" w:rsidRPr="005705FF">
        <w:rPr>
          <w:sz w:val="24"/>
          <w:szCs w:val="24"/>
        </w:rPr>
        <w:t xml:space="preserve"> achieved</w:t>
      </w:r>
      <w:r w:rsidR="00136E72" w:rsidRPr="005705FF">
        <w:rPr>
          <w:sz w:val="24"/>
          <w:szCs w:val="24"/>
        </w:rPr>
        <w:t xml:space="preserve"> after the training</w:t>
      </w:r>
      <w:r w:rsidR="002A30B4">
        <w:rPr>
          <w:sz w:val="24"/>
          <w:szCs w:val="24"/>
        </w:rPr>
        <w:t xml:space="preserve"> (20%)</w:t>
      </w:r>
      <w:r w:rsidR="00085C39" w:rsidRPr="005705FF">
        <w:rPr>
          <w:sz w:val="24"/>
          <w:szCs w:val="24"/>
        </w:rPr>
        <w:t xml:space="preserve">; and </w:t>
      </w:r>
    </w:p>
    <w:p w14:paraId="0057A0F1" w14:textId="07E1CAD8" w:rsidR="00427D26" w:rsidRDefault="009A119B" w:rsidP="00D95166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Evidence of f</w:t>
      </w:r>
      <w:r w:rsidR="00942DDA" w:rsidRPr="005705FF">
        <w:rPr>
          <w:sz w:val="24"/>
          <w:szCs w:val="24"/>
        </w:rPr>
        <w:t xml:space="preserve">amiliarity with the Nigerian economy and the </w:t>
      </w:r>
      <w:r w:rsidR="00942DDA" w:rsidRPr="00E61D6A">
        <w:rPr>
          <w:sz w:val="24"/>
          <w:szCs w:val="24"/>
        </w:rPr>
        <w:t xml:space="preserve">Nigerian banking </w:t>
      </w:r>
      <w:r w:rsidR="00E61D6A" w:rsidRPr="00E61D6A">
        <w:rPr>
          <w:sz w:val="24"/>
          <w:szCs w:val="24"/>
        </w:rPr>
        <w:t>industry</w:t>
      </w:r>
      <w:r w:rsidR="002A30B4">
        <w:rPr>
          <w:sz w:val="24"/>
          <w:szCs w:val="24"/>
        </w:rPr>
        <w:t xml:space="preserve"> (10%)</w:t>
      </w:r>
      <w:r w:rsidR="00427D26" w:rsidRPr="005705FF">
        <w:rPr>
          <w:sz w:val="24"/>
          <w:szCs w:val="24"/>
        </w:rPr>
        <w:t>.</w:t>
      </w:r>
    </w:p>
    <w:p w14:paraId="7E4E9284" w14:textId="77777777" w:rsidR="003B147C" w:rsidRPr="005705FF" w:rsidRDefault="003B147C" w:rsidP="003B147C">
      <w:pPr>
        <w:pStyle w:val="ListParagraph"/>
        <w:spacing w:after="200" w:line="360" w:lineRule="auto"/>
        <w:ind w:left="786"/>
        <w:jc w:val="both"/>
        <w:rPr>
          <w:sz w:val="24"/>
          <w:szCs w:val="24"/>
        </w:rPr>
      </w:pPr>
    </w:p>
    <w:tbl>
      <w:tblPr>
        <w:tblStyle w:val="TableGrid"/>
        <w:tblW w:w="9328" w:type="dxa"/>
        <w:tblInd w:w="62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8670"/>
      </w:tblGrid>
      <w:tr w:rsidR="00C52F7D" w:rsidRPr="005705FF" w14:paraId="14A07BE9" w14:textId="77777777" w:rsidTr="0097367F">
        <w:trPr>
          <w:trHeight w:val="3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E63854B" w14:textId="52195992" w:rsidR="00C52F7D" w:rsidRPr="005705FF" w:rsidRDefault="00C52F7D" w:rsidP="00153CE5">
            <w:pPr>
              <w:spacing w:line="360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6.</w:t>
            </w:r>
            <w:r w:rsidRPr="005705FF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AFD5B32" w14:textId="559FCD8A" w:rsidR="00C52F7D" w:rsidRPr="005705FF" w:rsidRDefault="00064F54" w:rsidP="00153CE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 xml:space="preserve">WORKING MODALITIES </w:t>
            </w:r>
          </w:p>
        </w:tc>
      </w:tr>
    </w:tbl>
    <w:p w14:paraId="62B006F0" w14:textId="463820ED" w:rsidR="00074A3F" w:rsidRPr="005705FF" w:rsidRDefault="00074A3F" w:rsidP="00153CE5">
      <w:pPr>
        <w:spacing w:line="360" w:lineRule="auto"/>
        <w:jc w:val="both"/>
        <w:rPr>
          <w:sz w:val="24"/>
          <w:szCs w:val="24"/>
        </w:rPr>
      </w:pPr>
    </w:p>
    <w:p w14:paraId="2F6B1BEE" w14:textId="1EA324B3" w:rsidR="00153CE5" w:rsidRPr="005705FF" w:rsidRDefault="00254609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The successful </w:t>
      </w:r>
      <w:r w:rsidR="00475151">
        <w:rPr>
          <w:sz w:val="24"/>
          <w:szCs w:val="24"/>
        </w:rPr>
        <w:t>C</w:t>
      </w:r>
      <w:r w:rsidR="00475151" w:rsidRPr="005705FF">
        <w:rPr>
          <w:sz w:val="24"/>
          <w:szCs w:val="24"/>
        </w:rPr>
        <w:t xml:space="preserve">onsultant </w:t>
      </w:r>
      <w:r w:rsidRPr="005705FF">
        <w:rPr>
          <w:sz w:val="24"/>
          <w:szCs w:val="24"/>
        </w:rPr>
        <w:t xml:space="preserve">would be expected to </w:t>
      </w:r>
      <w:r w:rsidR="00523181" w:rsidRPr="005705FF">
        <w:rPr>
          <w:sz w:val="24"/>
          <w:szCs w:val="24"/>
        </w:rPr>
        <w:t xml:space="preserve">work closely with staff of the CBN from the Financial Policy and </w:t>
      </w:r>
      <w:r w:rsidR="0027604C" w:rsidRPr="005705FF">
        <w:rPr>
          <w:sz w:val="24"/>
          <w:szCs w:val="24"/>
        </w:rPr>
        <w:t>Re</w:t>
      </w:r>
      <w:r w:rsidR="004E7B69" w:rsidRPr="005705FF">
        <w:rPr>
          <w:sz w:val="24"/>
          <w:szCs w:val="24"/>
        </w:rPr>
        <w:t>gulation Department</w:t>
      </w:r>
      <w:r w:rsidR="00BD298F" w:rsidRPr="005705FF">
        <w:rPr>
          <w:sz w:val="24"/>
          <w:szCs w:val="24"/>
        </w:rPr>
        <w:t xml:space="preserve"> (</w:t>
      </w:r>
      <w:r w:rsidR="00475151">
        <w:rPr>
          <w:sz w:val="24"/>
          <w:szCs w:val="24"/>
        </w:rPr>
        <w:t>FPRD</w:t>
      </w:r>
      <w:r w:rsidR="00BD298F" w:rsidRPr="005705FF">
        <w:rPr>
          <w:sz w:val="24"/>
          <w:szCs w:val="24"/>
        </w:rPr>
        <w:t>)</w:t>
      </w:r>
      <w:r w:rsidR="009F5144">
        <w:rPr>
          <w:sz w:val="24"/>
          <w:szCs w:val="24"/>
        </w:rPr>
        <w:t xml:space="preserve"> and</w:t>
      </w:r>
      <w:r w:rsidR="00BD298F" w:rsidRPr="005705FF">
        <w:rPr>
          <w:sz w:val="24"/>
          <w:szCs w:val="24"/>
        </w:rPr>
        <w:t xml:space="preserve"> other relevant departments of the CBN including Legal Services </w:t>
      </w:r>
      <w:r w:rsidR="007D0046" w:rsidRPr="005705FF">
        <w:rPr>
          <w:sz w:val="24"/>
          <w:szCs w:val="24"/>
        </w:rPr>
        <w:t xml:space="preserve">Department (LSD), Financial Markets Department (FMD), </w:t>
      </w:r>
      <w:r w:rsidR="008C71F1" w:rsidRPr="005705FF">
        <w:rPr>
          <w:sz w:val="24"/>
          <w:szCs w:val="24"/>
        </w:rPr>
        <w:t xml:space="preserve">Banking Supervision Department </w:t>
      </w:r>
      <w:r w:rsidR="00475151">
        <w:rPr>
          <w:sz w:val="24"/>
          <w:szCs w:val="24"/>
        </w:rPr>
        <w:t xml:space="preserve">(BSD) </w:t>
      </w:r>
      <w:r w:rsidR="008C71F1" w:rsidRPr="005705FF">
        <w:rPr>
          <w:sz w:val="24"/>
          <w:szCs w:val="24"/>
        </w:rPr>
        <w:t>and other agencies in Nigeria as may be rec</w:t>
      </w:r>
      <w:r w:rsidR="00E50620" w:rsidRPr="005705FF">
        <w:rPr>
          <w:sz w:val="24"/>
          <w:szCs w:val="24"/>
        </w:rPr>
        <w:t xml:space="preserve">ommended by the CBN. The </w:t>
      </w:r>
      <w:r w:rsidR="00CC4229" w:rsidRPr="005705FF">
        <w:rPr>
          <w:sz w:val="24"/>
          <w:szCs w:val="24"/>
        </w:rPr>
        <w:t xml:space="preserve">Consultant will also </w:t>
      </w:r>
      <w:r w:rsidR="00E50620" w:rsidRPr="005705FF">
        <w:rPr>
          <w:sz w:val="24"/>
          <w:szCs w:val="24"/>
        </w:rPr>
        <w:t xml:space="preserve">be expected </w:t>
      </w:r>
      <w:r w:rsidR="003B147C" w:rsidRPr="005705FF">
        <w:rPr>
          <w:sz w:val="24"/>
          <w:szCs w:val="24"/>
        </w:rPr>
        <w:t>to participate</w:t>
      </w:r>
      <w:r w:rsidR="00CC4229" w:rsidRPr="005705FF">
        <w:rPr>
          <w:sz w:val="24"/>
          <w:szCs w:val="24"/>
        </w:rPr>
        <w:t xml:space="preserve"> in internal and external stakeholder discussions. </w:t>
      </w:r>
    </w:p>
    <w:p w14:paraId="790CCFDE" w14:textId="77777777" w:rsidR="00475151" w:rsidRDefault="00475151" w:rsidP="00153CE5">
      <w:pPr>
        <w:spacing w:line="360" w:lineRule="auto"/>
        <w:jc w:val="both"/>
        <w:rPr>
          <w:sz w:val="24"/>
          <w:szCs w:val="24"/>
        </w:rPr>
      </w:pPr>
    </w:p>
    <w:p w14:paraId="64E6D3F8" w14:textId="7A82022D" w:rsidR="00153CE5" w:rsidRPr="005705FF" w:rsidRDefault="00CC4229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The </w:t>
      </w:r>
      <w:r w:rsidR="00475151">
        <w:rPr>
          <w:sz w:val="24"/>
          <w:szCs w:val="24"/>
        </w:rPr>
        <w:t>C</w:t>
      </w:r>
      <w:r w:rsidR="00475151" w:rsidRPr="005705FF">
        <w:rPr>
          <w:sz w:val="24"/>
          <w:szCs w:val="24"/>
        </w:rPr>
        <w:t xml:space="preserve">onsultant </w:t>
      </w:r>
      <w:r w:rsidRPr="005705FF">
        <w:rPr>
          <w:sz w:val="24"/>
          <w:szCs w:val="24"/>
        </w:rPr>
        <w:t xml:space="preserve">shall </w:t>
      </w:r>
      <w:r w:rsidR="004125FF" w:rsidRPr="005705FF">
        <w:rPr>
          <w:sz w:val="24"/>
          <w:szCs w:val="24"/>
        </w:rPr>
        <w:t xml:space="preserve">be required to submit </w:t>
      </w:r>
      <w:r w:rsidR="003D1DB1" w:rsidRPr="005705FF">
        <w:rPr>
          <w:sz w:val="24"/>
          <w:szCs w:val="24"/>
        </w:rPr>
        <w:t xml:space="preserve">draft copies of the developed guidelines to FPRD </w:t>
      </w:r>
      <w:r w:rsidRPr="005705FF">
        <w:rPr>
          <w:sz w:val="24"/>
          <w:szCs w:val="24"/>
        </w:rPr>
        <w:t xml:space="preserve">in </w:t>
      </w:r>
      <w:r w:rsidRPr="00E61D6A">
        <w:rPr>
          <w:sz w:val="24"/>
          <w:szCs w:val="24"/>
        </w:rPr>
        <w:t>both</w:t>
      </w:r>
      <w:r w:rsidRPr="005705FF">
        <w:rPr>
          <w:sz w:val="24"/>
          <w:szCs w:val="24"/>
        </w:rPr>
        <w:t xml:space="preserve"> soft (MS Word)</w:t>
      </w:r>
      <w:r w:rsidR="003D1DB1" w:rsidRPr="005705FF">
        <w:rPr>
          <w:sz w:val="24"/>
          <w:szCs w:val="24"/>
        </w:rPr>
        <w:t xml:space="preserve"> </w:t>
      </w:r>
      <w:r w:rsidR="00475151">
        <w:rPr>
          <w:sz w:val="24"/>
          <w:szCs w:val="24"/>
        </w:rPr>
        <w:t xml:space="preserve">and </w:t>
      </w:r>
      <w:r w:rsidR="00E61D6A">
        <w:rPr>
          <w:sz w:val="24"/>
          <w:szCs w:val="24"/>
        </w:rPr>
        <w:t>hard cop</w:t>
      </w:r>
      <w:r w:rsidR="00AD7F2C">
        <w:rPr>
          <w:sz w:val="24"/>
          <w:szCs w:val="24"/>
        </w:rPr>
        <w:t>ies</w:t>
      </w:r>
      <w:r w:rsidR="00475151">
        <w:rPr>
          <w:sz w:val="24"/>
          <w:szCs w:val="24"/>
        </w:rPr>
        <w:t xml:space="preserve"> </w:t>
      </w:r>
      <w:r w:rsidR="003D1DB1" w:rsidRPr="005705FF">
        <w:rPr>
          <w:sz w:val="24"/>
          <w:szCs w:val="24"/>
        </w:rPr>
        <w:t>for review</w:t>
      </w:r>
      <w:r w:rsidRPr="005705FF">
        <w:rPr>
          <w:sz w:val="24"/>
          <w:szCs w:val="24"/>
        </w:rPr>
        <w:t xml:space="preserve">. </w:t>
      </w:r>
      <w:r w:rsidR="002A30B4">
        <w:rPr>
          <w:sz w:val="24"/>
          <w:szCs w:val="24"/>
        </w:rPr>
        <w:t>They</w:t>
      </w:r>
      <w:r w:rsidR="003D1DB1" w:rsidRPr="005705FF">
        <w:rPr>
          <w:sz w:val="24"/>
          <w:szCs w:val="24"/>
        </w:rPr>
        <w:t xml:space="preserve"> would equally be required </w:t>
      </w:r>
      <w:r w:rsidRPr="005705FF">
        <w:rPr>
          <w:sz w:val="24"/>
          <w:szCs w:val="24"/>
        </w:rPr>
        <w:t xml:space="preserve">to make a presentation </w:t>
      </w:r>
      <w:r w:rsidR="00341C26" w:rsidRPr="005705FF">
        <w:rPr>
          <w:sz w:val="24"/>
          <w:szCs w:val="24"/>
        </w:rPr>
        <w:t xml:space="preserve">to the CBN </w:t>
      </w:r>
      <w:r w:rsidR="00332594" w:rsidRPr="005705FF">
        <w:rPr>
          <w:sz w:val="24"/>
          <w:szCs w:val="24"/>
        </w:rPr>
        <w:t xml:space="preserve">for </w:t>
      </w:r>
      <w:r w:rsidRPr="005705FF">
        <w:rPr>
          <w:sz w:val="24"/>
          <w:szCs w:val="24"/>
        </w:rPr>
        <w:t>feedback.</w:t>
      </w:r>
    </w:p>
    <w:p w14:paraId="49579EFB" w14:textId="77777777" w:rsidR="00475151" w:rsidRDefault="00475151" w:rsidP="00153CE5">
      <w:pPr>
        <w:spacing w:line="360" w:lineRule="auto"/>
        <w:jc w:val="both"/>
        <w:rPr>
          <w:sz w:val="24"/>
          <w:szCs w:val="24"/>
        </w:rPr>
      </w:pPr>
    </w:p>
    <w:p w14:paraId="4EB8246C" w14:textId="67257A00" w:rsidR="00CC4229" w:rsidRDefault="00CC4229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lastRenderedPageBreak/>
        <w:t>In addition</w:t>
      </w:r>
      <w:r w:rsidR="005F5CE3" w:rsidRPr="005705FF">
        <w:rPr>
          <w:sz w:val="24"/>
          <w:szCs w:val="24"/>
        </w:rPr>
        <w:t xml:space="preserve"> to the above, the </w:t>
      </w:r>
      <w:r w:rsidR="00B821A8" w:rsidRPr="005705FF">
        <w:rPr>
          <w:sz w:val="24"/>
          <w:szCs w:val="24"/>
        </w:rPr>
        <w:t xml:space="preserve">Consultant would be expected to carry </w:t>
      </w:r>
      <w:r w:rsidR="005061BC" w:rsidRPr="005705FF">
        <w:rPr>
          <w:sz w:val="24"/>
          <w:szCs w:val="24"/>
        </w:rPr>
        <w:t>out</w:t>
      </w:r>
      <w:r w:rsidRPr="005705FF">
        <w:rPr>
          <w:sz w:val="24"/>
          <w:szCs w:val="24"/>
        </w:rPr>
        <w:t xml:space="preserve"> </w:t>
      </w:r>
      <w:r w:rsidR="00475151">
        <w:rPr>
          <w:sz w:val="24"/>
          <w:szCs w:val="24"/>
        </w:rPr>
        <w:t xml:space="preserve">a </w:t>
      </w:r>
      <w:r w:rsidRPr="005705FF">
        <w:rPr>
          <w:sz w:val="24"/>
          <w:szCs w:val="24"/>
        </w:rPr>
        <w:t>desk review, field visit, in person meetings with stakeholders, and</w:t>
      </w:r>
      <w:r w:rsidR="00BF1B7E">
        <w:rPr>
          <w:sz w:val="24"/>
          <w:szCs w:val="24"/>
        </w:rPr>
        <w:t xml:space="preserve"> </w:t>
      </w:r>
      <w:r w:rsidR="0000705E">
        <w:rPr>
          <w:sz w:val="24"/>
          <w:szCs w:val="24"/>
        </w:rPr>
        <w:t>take into</w:t>
      </w:r>
      <w:r w:rsidRPr="005705FF">
        <w:rPr>
          <w:sz w:val="24"/>
          <w:szCs w:val="24"/>
        </w:rPr>
        <w:t xml:space="preserve"> consider</w:t>
      </w:r>
      <w:r w:rsidR="0000705E">
        <w:rPr>
          <w:sz w:val="24"/>
          <w:szCs w:val="24"/>
        </w:rPr>
        <w:t>ation,</w:t>
      </w:r>
      <w:r w:rsidRPr="005705FF">
        <w:rPr>
          <w:sz w:val="24"/>
          <w:szCs w:val="24"/>
        </w:rPr>
        <w:t xml:space="preserve"> international </w:t>
      </w:r>
      <w:r w:rsidR="00FF1FD5">
        <w:rPr>
          <w:sz w:val="24"/>
          <w:szCs w:val="24"/>
        </w:rPr>
        <w:t xml:space="preserve">best </w:t>
      </w:r>
      <w:r w:rsidRPr="005705FF">
        <w:rPr>
          <w:sz w:val="24"/>
          <w:szCs w:val="24"/>
        </w:rPr>
        <w:t>practices and local legislations</w:t>
      </w:r>
      <w:r w:rsidR="007849D3" w:rsidRPr="005705FF">
        <w:rPr>
          <w:sz w:val="24"/>
          <w:szCs w:val="24"/>
        </w:rPr>
        <w:t xml:space="preserve"> </w:t>
      </w:r>
      <w:r w:rsidRPr="005705FF">
        <w:rPr>
          <w:sz w:val="24"/>
          <w:szCs w:val="24"/>
        </w:rPr>
        <w:t xml:space="preserve">while developing </w:t>
      </w:r>
      <w:r w:rsidR="007849D3" w:rsidRPr="005705FF">
        <w:rPr>
          <w:sz w:val="24"/>
          <w:szCs w:val="24"/>
        </w:rPr>
        <w:t xml:space="preserve">the </w:t>
      </w:r>
      <w:r w:rsidRPr="005705FF">
        <w:rPr>
          <w:sz w:val="24"/>
          <w:szCs w:val="24"/>
        </w:rPr>
        <w:t>guidelines</w:t>
      </w:r>
      <w:r w:rsidR="007849D3" w:rsidRPr="005705FF">
        <w:rPr>
          <w:sz w:val="24"/>
          <w:szCs w:val="24"/>
        </w:rPr>
        <w:t xml:space="preserve"> and manual</w:t>
      </w:r>
      <w:r w:rsidRPr="005705FF">
        <w:rPr>
          <w:sz w:val="24"/>
          <w:szCs w:val="24"/>
        </w:rPr>
        <w:t>.</w:t>
      </w:r>
    </w:p>
    <w:p w14:paraId="41B9646D" w14:textId="77777777" w:rsidR="00475151" w:rsidRPr="005705FF" w:rsidRDefault="00475151" w:rsidP="00153CE5">
      <w:pPr>
        <w:spacing w:line="360" w:lineRule="auto"/>
        <w:jc w:val="both"/>
        <w:rPr>
          <w:sz w:val="24"/>
          <w:szCs w:val="24"/>
        </w:rPr>
      </w:pPr>
    </w:p>
    <w:p w14:paraId="4138B63C" w14:textId="77A882C7" w:rsidR="00235EF5" w:rsidRDefault="00CC4229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>The Consul</w:t>
      </w:r>
      <w:r w:rsidR="00B74A6F" w:rsidRPr="005705FF">
        <w:rPr>
          <w:sz w:val="24"/>
          <w:szCs w:val="24"/>
        </w:rPr>
        <w:t>tant</w:t>
      </w:r>
      <w:r w:rsidR="004A318E" w:rsidRPr="005705FF">
        <w:rPr>
          <w:sz w:val="24"/>
          <w:szCs w:val="24"/>
        </w:rPr>
        <w:t xml:space="preserve"> shall </w:t>
      </w:r>
      <w:r w:rsidRPr="005705FF">
        <w:rPr>
          <w:sz w:val="24"/>
          <w:szCs w:val="24"/>
        </w:rPr>
        <w:t xml:space="preserve">work full-time </w:t>
      </w:r>
      <w:r w:rsidR="00904BEE" w:rsidRPr="005705FF">
        <w:rPr>
          <w:sz w:val="24"/>
          <w:szCs w:val="24"/>
        </w:rPr>
        <w:t xml:space="preserve">or remotely </w:t>
      </w:r>
      <w:r w:rsidR="00E027C2">
        <w:rPr>
          <w:sz w:val="24"/>
          <w:szCs w:val="24"/>
        </w:rPr>
        <w:t>o</w:t>
      </w:r>
      <w:r w:rsidR="00E41E0A">
        <w:rPr>
          <w:sz w:val="24"/>
          <w:szCs w:val="24"/>
        </w:rPr>
        <w:t xml:space="preserve">n </w:t>
      </w:r>
      <w:r w:rsidRPr="005705FF">
        <w:rPr>
          <w:sz w:val="24"/>
          <w:szCs w:val="24"/>
        </w:rPr>
        <w:t>the project</w:t>
      </w:r>
      <w:r w:rsidR="007B249C" w:rsidRPr="005705FF">
        <w:rPr>
          <w:sz w:val="24"/>
          <w:szCs w:val="24"/>
        </w:rPr>
        <w:t xml:space="preserve"> </w:t>
      </w:r>
      <w:r w:rsidR="001C1055" w:rsidRPr="005705FF">
        <w:rPr>
          <w:sz w:val="24"/>
          <w:szCs w:val="24"/>
        </w:rPr>
        <w:t xml:space="preserve">or </w:t>
      </w:r>
      <w:r w:rsidR="007B249C" w:rsidRPr="005705FF">
        <w:rPr>
          <w:sz w:val="24"/>
          <w:szCs w:val="24"/>
        </w:rPr>
        <w:t xml:space="preserve">as </w:t>
      </w:r>
      <w:r w:rsidR="001C1055" w:rsidRPr="005705FF">
        <w:rPr>
          <w:sz w:val="24"/>
          <w:szCs w:val="24"/>
        </w:rPr>
        <w:t xml:space="preserve">may </w:t>
      </w:r>
      <w:r w:rsidR="00EB116E" w:rsidRPr="005705FF">
        <w:rPr>
          <w:sz w:val="24"/>
          <w:szCs w:val="24"/>
        </w:rPr>
        <w:t>be agreed with the CBN</w:t>
      </w:r>
      <w:r w:rsidRPr="005705FF">
        <w:rPr>
          <w:sz w:val="24"/>
          <w:szCs w:val="24"/>
        </w:rPr>
        <w:t xml:space="preserve">. </w:t>
      </w:r>
    </w:p>
    <w:p w14:paraId="7335A2C6" w14:textId="77777777" w:rsidR="009740A9" w:rsidRPr="005705FF" w:rsidRDefault="009740A9" w:rsidP="00153CE5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9328" w:type="dxa"/>
        <w:tblInd w:w="62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8670"/>
      </w:tblGrid>
      <w:tr w:rsidR="00235EF5" w:rsidRPr="005705FF" w14:paraId="7DE985F3" w14:textId="77777777" w:rsidTr="0097367F">
        <w:trPr>
          <w:trHeight w:val="3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A0FA86E" w14:textId="1D9FC829" w:rsidR="00235EF5" w:rsidRPr="005705FF" w:rsidRDefault="00235EF5" w:rsidP="00153CE5">
            <w:pPr>
              <w:spacing w:line="360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75BD6571" w14:textId="0E0A0044" w:rsidR="00235EF5" w:rsidRPr="005705FF" w:rsidRDefault="00064F54" w:rsidP="00153CE5">
            <w:pPr>
              <w:spacing w:line="360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 xml:space="preserve">DURATION OF THE ASSIGNMENT </w:t>
            </w:r>
          </w:p>
        </w:tc>
      </w:tr>
    </w:tbl>
    <w:p w14:paraId="50872D5C" w14:textId="4240B527" w:rsidR="00235EF5" w:rsidRPr="005705FF" w:rsidRDefault="00235EF5" w:rsidP="00153CE5">
      <w:pPr>
        <w:spacing w:line="360" w:lineRule="auto"/>
        <w:jc w:val="both"/>
        <w:rPr>
          <w:sz w:val="24"/>
          <w:szCs w:val="24"/>
        </w:rPr>
      </w:pPr>
      <w:r w:rsidRPr="005705FF">
        <w:rPr>
          <w:sz w:val="24"/>
          <w:szCs w:val="24"/>
        </w:rPr>
        <w:t xml:space="preserve">The consultant </w:t>
      </w:r>
      <w:r w:rsidR="00AA13B6" w:rsidRPr="005705FF">
        <w:rPr>
          <w:sz w:val="24"/>
          <w:szCs w:val="24"/>
        </w:rPr>
        <w:t xml:space="preserve">shall abide by the </w:t>
      </w:r>
      <w:r w:rsidRPr="005705FF">
        <w:rPr>
          <w:sz w:val="24"/>
          <w:szCs w:val="24"/>
        </w:rPr>
        <w:t>following timelines:</w:t>
      </w:r>
    </w:p>
    <w:tbl>
      <w:tblPr>
        <w:tblStyle w:val="TableGrid0"/>
        <w:tblW w:w="9493" w:type="dxa"/>
        <w:tblLook w:val="04A0" w:firstRow="1" w:lastRow="0" w:firstColumn="1" w:lastColumn="0" w:noHBand="0" w:noVBand="1"/>
      </w:tblPr>
      <w:tblGrid>
        <w:gridCol w:w="591"/>
        <w:gridCol w:w="5783"/>
        <w:gridCol w:w="3119"/>
      </w:tblGrid>
      <w:tr w:rsidR="004553CA" w:rsidRPr="005705FF" w14:paraId="5689E400" w14:textId="77777777" w:rsidTr="00427D26">
        <w:tc>
          <w:tcPr>
            <w:tcW w:w="591" w:type="dxa"/>
          </w:tcPr>
          <w:p w14:paraId="15E1C589" w14:textId="7C7CD29C" w:rsidR="004553CA" w:rsidRPr="005705FF" w:rsidRDefault="004553CA" w:rsidP="00153CE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5783" w:type="dxa"/>
          </w:tcPr>
          <w:p w14:paraId="1163D564" w14:textId="2B92C9BD" w:rsidR="004553CA" w:rsidRPr="005705FF" w:rsidRDefault="00E353D2" w:rsidP="00153CE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EXPECTED DELIVERABLE</w:t>
            </w:r>
          </w:p>
        </w:tc>
        <w:tc>
          <w:tcPr>
            <w:tcW w:w="3119" w:type="dxa"/>
          </w:tcPr>
          <w:p w14:paraId="3DFE0EC8" w14:textId="492E407C" w:rsidR="004553CA" w:rsidRPr="005705FF" w:rsidRDefault="00E353D2" w:rsidP="00153CE5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EXPECTED TIMELINE</w:t>
            </w:r>
          </w:p>
        </w:tc>
      </w:tr>
      <w:tr w:rsidR="004553CA" w:rsidRPr="005705FF" w14:paraId="6D23D43E" w14:textId="77777777" w:rsidTr="00427D26">
        <w:tc>
          <w:tcPr>
            <w:tcW w:w="591" w:type="dxa"/>
          </w:tcPr>
          <w:p w14:paraId="02FCA992" w14:textId="39522343" w:rsidR="004553CA" w:rsidRPr="005705FF" w:rsidRDefault="00E353D2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14:paraId="32020A26" w14:textId="1F1F2641" w:rsidR="004553CA" w:rsidRPr="005705FF" w:rsidRDefault="00C56160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Initial Study of the Nigerian Banking Industry</w:t>
            </w:r>
          </w:p>
        </w:tc>
        <w:tc>
          <w:tcPr>
            <w:tcW w:w="3119" w:type="dxa"/>
          </w:tcPr>
          <w:p w14:paraId="134C31EC" w14:textId="74A9BB25" w:rsidR="004553CA" w:rsidRPr="005705FF" w:rsidRDefault="000451EC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1 month</w:t>
            </w:r>
          </w:p>
        </w:tc>
      </w:tr>
      <w:tr w:rsidR="004553CA" w:rsidRPr="005705FF" w14:paraId="177AF89A" w14:textId="77777777" w:rsidTr="00427D26">
        <w:tc>
          <w:tcPr>
            <w:tcW w:w="591" w:type="dxa"/>
          </w:tcPr>
          <w:p w14:paraId="1292407E" w14:textId="7688377A" w:rsidR="004553CA" w:rsidRPr="005705FF" w:rsidRDefault="00D2253C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14:paraId="0FC0DFE4" w14:textId="3DAF8FBE" w:rsidR="004553CA" w:rsidRPr="005705FF" w:rsidRDefault="0027269F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pacing w:val="-2"/>
                <w:sz w:val="24"/>
                <w:szCs w:val="24"/>
              </w:rPr>
              <w:t>Sharia-compliant liquidity management instruments</w:t>
            </w:r>
          </w:p>
        </w:tc>
        <w:tc>
          <w:tcPr>
            <w:tcW w:w="3119" w:type="dxa"/>
          </w:tcPr>
          <w:p w14:paraId="7559F78E" w14:textId="25BA9800" w:rsidR="004553CA" w:rsidRPr="005705FF" w:rsidRDefault="00B93B5F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3 months</w:t>
            </w:r>
          </w:p>
        </w:tc>
      </w:tr>
      <w:tr w:rsidR="004553CA" w:rsidRPr="005705FF" w14:paraId="75FAC1A1" w14:textId="77777777" w:rsidTr="00427D26">
        <w:tc>
          <w:tcPr>
            <w:tcW w:w="591" w:type="dxa"/>
          </w:tcPr>
          <w:p w14:paraId="639FE2B7" w14:textId="62C5288C" w:rsidR="004553CA" w:rsidRPr="005705FF" w:rsidRDefault="00D2253C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14:paraId="07C97E38" w14:textId="594B6849" w:rsidR="004553CA" w:rsidRPr="005705FF" w:rsidRDefault="00087002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 xml:space="preserve">Training on </w:t>
            </w:r>
            <w:r w:rsidRPr="005705FF">
              <w:rPr>
                <w:spacing w:val="-2"/>
                <w:sz w:val="24"/>
                <w:szCs w:val="24"/>
              </w:rPr>
              <w:t>Sharia-compliant liquidity management instruments</w:t>
            </w:r>
          </w:p>
        </w:tc>
        <w:tc>
          <w:tcPr>
            <w:tcW w:w="3119" w:type="dxa"/>
          </w:tcPr>
          <w:p w14:paraId="57FBE7DC" w14:textId="374A70DF" w:rsidR="004553CA" w:rsidRPr="005705FF" w:rsidRDefault="00DC0585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3B5F" w:rsidRPr="005705FF">
              <w:rPr>
                <w:sz w:val="24"/>
                <w:szCs w:val="24"/>
              </w:rPr>
              <w:t xml:space="preserve"> week</w:t>
            </w:r>
            <w:r w:rsidR="00944EB3">
              <w:rPr>
                <w:sz w:val="24"/>
                <w:szCs w:val="24"/>
              </w:rPr>
              <w:t>s</w:t>
            </w:r>
            <w:r w:rsidR="00944EB3" w:rsidRPr="005705FF">
              <w:rPr>
                <w:sz w:val="24"/>
                <w:szCs w:val="24"/>
              </w:rPr>
              <w:t xml:space="preserve"> </w:t>
            </w:r>
          </w:p>
        </w:tc>
      </w:tr>
      <w:tr w:rsidR="004553CA" w:rsidRPr="005705FF" w14:paraId="32F7F7C6" w14:textId="77777777" w:rsidTr="00427D26">
        <w:tc>
          <w:tcPr>
            <w:tcW w:w="591" w:type="dxa"/>
          </w:tcPr>
          <w:p w14:paraId="2FE32E1B" w14:textId="40B16BFC" w:rsidR="004553CA" w:rsidRPr="005705FF" w:rsidRDefault="00D2253C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14:paraId="396C9BF3" w14:textId="6152162A" w:rsidR="004553CA" w:rsidRPr="005705FF" w:rsidRDefault="00087002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pacing w:val="-2"/>
                <w:sz w:val="24"/>
                <w:szCs w:val="24"/>
              </w:rPr>
              <w:t xml:space="preserve">Sharia Compliance Audit Manual </w:t>
            </w:r>
          </w:p>
        </w:tc>
        <w:tc>
          <w:tcPr>
            <w:tcW w:w="3119" w:type="dxa"/>
          </w:tcPr>
          <w:p w14:paraId="16A78076" w14:textId="0C2997B6" w:rsidR="004553CA" w:rsidRPr="005705FF" w:rsidRDefault="00B93B5F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3 months</w:t>
            </w:r>
          </w:p>
        </w:tc>
      </w:tr>
      <w:tr w:rsidR="004553CA" w:rsidRPr="005705FF" w14:paraId="1778FBF3" w14:textId="77777777" w:rsidTr="00427D26">
        <w:tc>
          <w:tcPr>
            <w:tcW w:w="591" w:type="dxa"/>
          </w:tcPr>
          <w:p w14:paraId="6DE936A7" w14:textId="71887650" w:rsidR="004553CA" w:rsidRPr="005705FF" w:rsidRDefault="00D2253C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14:paraId="26E288B3" w14:textId="28708911" w:rsidR="004553CA" w:rsidRPr="005705FF" w:rsidRDefault="00087002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pacing w:val="-2"/>
                <w:sz w:val="24"/>
                <w:szCs w:val="24"/>
              </w:rPr>
              <w:t xml:space="preserve">Training on </w:t>
            </w:r>
            <w:r w:rsidR="00D22C37" w:rsidRPr="005705FF">
              <w:rPr>
                <w:spacing w:val="-2"/>
                <w:sz w:val="24"/>
                <w:szCs w:val="24"/>
              </w:rPr>
              <w:t xml:space="preserve">Sharia Compliance Audit </w:t>
            </w:r>
            <w:r w:rsidRPr="005705FF">
              <w:rPr>
                <w:spacing w:val="-2"/>
                <w:sz w:val="24"/>
                <w:szCs w:val="24"/>
              </w:rPr>
              <w:t>Manual</w:t>
            </w:r>
          </w:p>
        </w:tc>
        <w:tc>
          <w:tcPr>
            <w:tcW w:w="3119" w:type="dxa"/>
          </w:tcPr>
          <w:p w14:paraId="5BA30162" w14:textId="44B15312" w:rsidR="004553CA" w:rsidRPr="005705FF" w:rsidRDefault="00DC0585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3B5F" w:rsidRPr="005705FF">
              <w:rPr>
                <w:sz w:val="24"/>
                <w:szCs w:val="24"/>
              </w:rPr>
              <w:t xml:space="preserve"> week</w:t>
            </w:r>
            <w:r w:rsidR="00944EB3">
              <w:rPr>
                <w:sz w:val="24"/>
                <w:szCs w:val="24"/>
              </w:rPr>
              <w:t>s</w:t>
            </w:r>
          </w:p>
        </w:tc>
      </w:tr>
      <w:tr w:rsidR="00D22C37" w:rsidRPr="005705FF" w14:paraId="421B5DBF" w14:textId="77777777" w:rsidTr="00427D26">
        <w:tc>
          <w:tcPr>
            <w:tcW w:w="591" w:type="dxa"/>
          </w:tcPr>
          <w:p w14:paraId="6CC30B87" w14:textId="1B2FDE1D" w:rsidR="00D22C37" w:rsidRPr="005705FF" w:rsidRDefault="00D2253C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14:paraId="119E2C16" w14:textId="0E456B87" w:rsidR="00D22C37" w:rsidRPr="005705FF" w:rsidRDefault="00D22C37" w:rsidP="00153CE5">
            <w:pPr>
              <w:spacing w:line="360" w:lineRule="auto"/>
              <w:jc w:val="both"/>
              <w:rPr>
                <w:spacing w:val="-2"/>
                <w:sz w:val="24"/>
                <w:szCs w:val="24"/>
              </w:rPr>
            </w:pPr>
            <w:r w:rsidRPr="005705FF">
              <w:rPr>
                <w:spacing w:val="-2"/>
                <w:sz w:val="24"/>
                <w:szCs w:val="24"/>
              </w:rPr>
              <w:t>Review of the CBN guidelines for converting conventional banks to Islamic banks</w:t>
            </w:r>
            <w:r w:rsidR="00F56A93">
              <w:rPr>
                <w:spacing w:val="-2"/>
                <w:sz w:val="24"/>
                <w:szCs w:val="24"/>
              </w:rPr>
              <w:t xml:space="preserve"> and training CBN staff on the mechanics of converting </w:t>
            </w:r>
            <w:r w:rsidR="00DE2A96" w:rsidRPr="005705FF">
              <w:rPr>
                <w:spacing w:val="-2"/>
                <w:sz w:val="24"/>
                <w:szCs w:val="24"/>
              </w:rPr>
              <w:t>conventional banks to Islamic banks</w:t>
            </w:r>
            <w:r w:rsidR="00DE2A9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C0E0D26" w14:textId="5463190C" w:rsidR="00D22C37" w:rsidRPr="005705FF" w:rsidRDefault="00B93B5F" w:rsidP="00153C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05FF">
              <w:rPr>
                <w:sz w:val="24"/>
                <w:szCs w:val="24"/>
              </w:rPr>
              <w:t>4 weeks</w:t>
            </w:r>
          </w:p>
        </w:tc>
      </w:tr>
    </w:tbl>
    <w:p w14:paraId="211B027B" w14:textId="77777777" w:rsidR="00D5417A" w:rsidRPr="005705FF" w:rsidRDefault="00D5417A" w:rsidP="007B12E8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14:paraId="2470FC8B" w14:textId="77777777" w:rsidR="0065396A" w:rsidRPr="005705FF" w:rsidRDefault="0065396A" w:rsidP="007B12E8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TableGrid"/>
        <w:tblW w:w="9219" w:type="dxa"/>
        <w:tblInd w:w="62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658"/>
        <w:gridCol w:w="8561"/>
      </w:tblGrid>
      <w:tr w:rsidR="00013000" w:rsidRPr="005705FF" w14:paraId="7214586B" w14:textId="77777777" w:rsidTr="0097367F">
        <w:trPr>
          <w:trHeight w:val="3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958FF65" w14:textId="338178CE" w:rsidR="00013000" w:rsidRPr="005705FF" w:rsidRDefault="00013000" w:rsidP="0097367F">
            <w:pPr>
              <w:spacing w:line="276" w:lineRule="auto"/>
              <w:ind w:left="29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9.</w:t>
            </w:r>
            <w:r w:rsidRPr="005705FF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064A7919" w14:textId="20133BD7" w:rsidR="00013000" w:rsidRPr="005705FF" w:rsidRDefault="00064F54" w:rsidP="0097367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705FF">
              <w:rPr>
                <w:b/>
                <w:bCs/>
                <w:sz w:val="24"/>
                <w:szCs w:val="24"/>
              </w:rPr>
              <w:t>PAYMENT SCHEDULE</w:t>
            </w:r>
          </w:p>
        </w:tc>
      </w:tr>
    </w:tbl>
    <w:p w14:paraId="119104BF" w14:textId="77777777" w:rsidR="00013000" w:rsidRPr="005705FF" w:rsidRDefault="00013000" w:rsidP="00013000">
      <w:pPr>
        <w:spacing w:after="9" w:line="276" w:lineRule="auto"/>
        <w:ind w:left="-5"/>
        <w:rPr>
          <w:sz w:val="24"/>
          <w:szCs w:val="24"/>
        </w:rPr>
      </w:pPr>
    </w:p>
    <w:p w14:paraId="7620B06E" w14:textId="274948E1" w:rsidR="00013000" w:rsidRPr="005705FF" w:rsidRDefault="00013000" w:rsidP="003B147C">
      <w:pPr>
        <w:pStyle w:val="NoSpacing"/>
        <w:spacing w:line="276" w:lineRule="auto"/>
        <w:rPr>
          <w:rFonts w:ascii="Times New Roman" w:hAnsi="Times New Roman" w:cs="Times New Roman"/>
          <w:color w:val="auto"/>
          <w:szCs w:val="24"/>
        </w:rPr>
      </w:pPr>
      <w:r w:rsidRPr="005705FF">
        <w:rPr>
          <w:rFonts w:ascii="Times New Roman" w:hAnsi="Times New Roman" w:cs="Times New Roman"/>
          <w:color w:val="auto"/>
          <w:szCs w:val="24"/>
        </w:rPr>
        <w:t xml:space="preserve">The payment schedule to the consultant will be based on </w:t>
      </w:r>
      <w:r w:rsidR="0091752B">
        <w:rPr>
          <w:rFonts w:ascii="Times New Roman" w:hAnsi="Times New Roman" w:cs="Times New Roman"/>
          <w:color w:val="auto"/>
          <w:szCs w:val="24"/>
        </w:rPr>
        <w:t xml:space="preserve">the </w:t>
      </w:r>
      <w:r w:rsidRPr="005705FF">
        <w:rPr>
          <w:rFonts w:ascii="Times New Roman" w:hAnsi="Times New Roman" w:cs="Times New Roman"/>
          <w:color w:val="auto"/>
          <w:szCs w:val="24"/>
        </w:rPr>
        <w:t>delivery of the following specific deliverables:</w:t>
      </w:r>
    </w:p>
    <w:tbl>
      <w:tblPr>
        <w:tblStyle w:val="TableGrid0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6095"/>
        <w:gridCol w:w="1418"/>
      </w:tblGrid>
      <w:tr w:rsidR="00013000" w:rsidRPr="005705FF" w14:paraId="7FF68A65" w14:textId="77777777" w:rsidTr="0081165B">
        <w:tc>
          <w:tcPr>
            <w:tcW w:w="675" w:type="dxa"/>
          </w:tcPr>
          <w:p w14:paraId="5F1D72E8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05FF">
              <w:rPr>
                <w:rFonts w:ascii="Times New Roman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1730" w:type="dxa"/>
          </w:tcPr>
          <w:p w14:paraId="07CE0D5E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05FF">
              <w:rPr>
                <w:rFonts w:ascii="Times New Roman" w:hAnsi="Times New Roman" w:cs="Times New Roman"/>
                <w:b/>
                <w:bCs/>
                <w:szCs w:val="24"/>
              </w:rPr>
              <w:t>Deliverables</w:t>
            </w:r>
          </w:p>
        </w:tc>
        <w:tc>
          <w:tcPr>
            <w:tcW w:w="6095" w:type="dxa"/>
          </w:tcPr>
          <w:p w14:paraId="06E395E2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05FF">
              <w:rPr>
                <w:rFonts w:ascii="Times New Roman" w:hAnsi="Times New Roman" w:cs="Times New Roman"/>
                <w:b/>
                <w:bCs/>
                <w:szCs w:val="24"/>
              </w:rPr>
              <w:t>Details</w:t>
            </w:r>
          </w:p>
        </w:tc>
        <w:tc>
          <w:tcPr>
            <w:tcW w:w="1418" w:type="dxa"/>
          </w:tcPr>
          <w:p w14:paraId="63F9C48F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05FF">
              <w:rPr>
                <w:rFonts w:ascii="Times New Roman" w:hAnsi="Times New Roman" w:cs="Times New Roman"/>
                <w:b/>
                <w:bCs/>
                <w:szCs w:val="24"/>
              </w:rPr>
              <w:t>% Payment</w:t>
            </w:r>
          </w:p>
        </w:tc>
      </w:tr>
      <w:tr w:rsidR="00013000" w:rsidRPr="005705FF" w14:paraId="6DF22DF8" w14:textId="77777777" w:rsidTr="0081165B">
        <w:tc>
          <w:tcPr>
            <w:tcW w:w="675" w:type="dxa"/>
          </w:tcPr>
          <w:p w14:paraId="30284CD6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730" w:type="dxa"/>
          </w:tcPr>
          <w:p w14:paraId="1518893C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b/>
                <w:bCs/>
                <w:szCs w:val="24"/>
              </w:rPr>
              <w:t>Project Plan</w:t>
            </w:r>
          </w:p>
        </w:tc>
        <w:tc>
          <w:tcPr>
            <w:tcW w:w="6095" w:type="dxa"/>
          </w:tcPr>
          <w:p w14:paraId="69556DF4" w14:textId="44DA7C0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 xml:space="preserve">Upon </w:t>
            </w:r>
            <w:r w:rsidR="0065591F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Pr="005705FF">
              <w:rPr>
                <w:rFonts w:ascii="Times New Roman" w:hAnsi="Times New Roman" w:cs="Times New Roman"/>
                <w:szCs w:val="24"/>
              </w:rPr>
              <w:t>successful award</w:t>
            </w:r>
            <w:r w:rsidR="00D628B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of the contract, the </w:t>
            </w:r>
            <w:r w:rsidR="00475151">
              <w:rPr>
                <w:rFonts w:ascii="Times New Roman" w:hAnsi="Times New Roman" w:cs="Times New Roman"/>
                <w:szCs w:val="24"/>
              </w:rPr>
              <w:t>C</w:t>
            </w:r>
            <w:r w:rsidR="00475151" w:rsidRPr="005705FF">
              <w:rPr>
                <w:rFonts w:ascii="Times New Roman" w:hAnsi="Times New Roman" w:cs="Times New Roman"/>
                <w:szCs w:val="24"/>
              </w:rPr>
              <w:t xml:space="preserve">onsultant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is required to provide a comprehensive project plan </w:t>
            </w:r>
            <w:r w:rsidR="004028C0">
              <w:rPr>
                <w:rFonts w:ascii="Times New Roman" w:hAnsi="Times New Roman" w:cs="Times New Roman"/>
                <w:szCs w:val="24"/>
              </w:rPr>
              <w:t xml:space="preserve">(including detailed </w:t>
            </w:r>
            <w:r w:rsidR="007C2F02">
              <w:rPr>
                <w:rFonts w:ascii="Times New Roman" w:hAnsi="Times New Roman" w:cs="Times New Roman"/>
                <w:szCs w:val="24"/>
              </w:rPr>
              <w:t>Gant</w:t>
            </w:r>
            <w:r w:rsidR="009B3DF3">
              <w:rPr>
                <w:rFonts w:ascii="Times New Roman" w:hAnsi="Times New Roman" w:cs="Times New Roman"/>
                <w:szCs w:val="24"/>
              </w:rPr>
              <w:t>t</w:t>
            </w:r>
            <w:r w:rsidR="00F71B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C2F02">
              <w:rPr>
                <w:rFonts w:ascii="Times New Roman" w:hAnsi="Times New Roman" w:cs="Times New Roman"/>
                <w:szCs w:val="24"/>
              </w:rPr>
              <w:t>C</w:t>
            </w:r>
            <w:r w:rsidR="00F71B42">
              <w:rPr>
                <w:rFonts w:ascii="Times New Roman" w:hAnsi="Times New Roman" w:cs="Times New Roman"/>
                <w:szCs w:val="24"/>
              </w:rPr>
              <w:t xml:space="preserve">hart)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outlining various steps and activities the consultant will undertake </w:t>
            </w:r>
            <w:proofErr w:type="gramStart"/>
            <w:r w:rsidRPr="005705FF">
              <w:rPr>
                <w:rFonts w:ascii="Times New Roman" w:hAnsi="Times New Roman" w:cs="Times New Roman"/>
                <w:szCs w:val="24"/>
              </w:rPr>
              <w:t>in order to</w:t>
            </w:r>
            <w:proofErr w:type="gramEnd"/>
            <w:r w:rsidRPr="005705FF">
              <w:rPr>
                <w:rFonts w:ascii="Times New Roman" w:hAnsi="Times New Roman" w:cs="Times New Roman"/>
                <w:szCs w:val="24"/>
              </w:rPr>
              <w:t xml:space="preserve"> complete the various component</w:t>
            </w:r>
            <w:r w:rsidR="00413DE3">
              <w:rPr>
                <w:rFonts w:ascii="Times New Roman" w:hAnsi="Times New Roman" w:cs="Times New Roman"/>
                <w:szCs w:val="24"/>
              </w:rPr>
              <w:t>s</w:t>
            </w:r>
            <w:r w:rsidR="004765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86CAC">
              <w:rPr>
                <w:rFonts w:ascii="Times New Roman" w:hAnsi="Times New Roman" w:cs="Times New Roman"/>
                <w:szCs w:val="24"/>
              </w:rPr>
              <w:t xml:space="preserve">or milestones </w:t>
            </w:r>
            <w:r w:rsidR="0047651D">
              <w:rPr>
                <w:rFonts w:ascii="Times New Roman" w:hAnsi="Times New Roman" w:cs="Times New Roman"/>
                <w:szCs w:val="24"/>
              </w:rPr>
              <w:t>of the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 deliverables expected of th</w:t>
            </w:r>
            <w:r w:rsidR="00413DE3">
              <w:rPr>
                <w:rFonts w:ascii="Times New Roman" w:hAnsi="Times New Roman" w:cs="Times New Roman"/>
                <w:szCs w:val="24"/>
              </w:rPr>
              <w:t>e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 project.</w:t>
            </w:r>
          </w:p>
        </w:tc>
        <w:tc>
          <w:tcPr>
            <w:tcW w:w="1418" w:type="dxa"/>
          </w:tcPr>
          <w:p w14:paraId="0D681B76" w14:textId="1FEE484D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13000" w:rsidRPr="005705FF" w14:paraId="1C393AC8" w14:textId="77777777" w:rsidTr="0081165B">
        <w:tc>
          <w:tcPr>
            <w:tcW w:w="675" w:type="dxa"/>
          </w:tcPr>
          <w:p w14:paraId="7EDA7475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730" w:type="dxa"/>
          </w:tcPr>
          <w:p w14:paraId="1DB2A5F7" w14:textId="77777777" w:rsidR="00013000" w:rsidRPr="005705FF" w:rsidRDefault="00013000" w:rsidP="0097367F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b/>
                <w:bCs/>
                <w:szCs w:val="24"/>
              </w:rPr>
              <w:t>Initial Market Study</w:t>
            </w:r>
          </w:p>
        </w:tc>
        <w:tc>
          <w:tcPr>
            <w:tcW w:w="6095" w:type="dxa"/>
          </w:tcPr>
          <w:p w14:paraId="6995B923" w14:textId="0CD4E101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 xml:space="preserve">After </w:t>
            </w:r>
            <w:r w:rsidR="007C2F02">
              <w:rPr>
                <w:rFonts w:ascii="Times New Roman" w:hAnsi="Times New Roman" w:cs="Times New Roman"/>
                <w:szCs w:val="24"/>
              </w:rPr>
              <w:t xml:space="preserve">hiring and onboarding the successful </w:t>
            </w:r>
            <w:r w:rsidR="00475151">
              <w:rPr>
                <w:rFonts w:ascii="Times New Roman" w:hAnsi="Times New Roman" w:cs="Times New Roman"/>
                <w:szCs w:val="24"/>
              </w:rPr>
              <w:t>Consultant</w:t>
            </w:r>
            <w:r w:rsidR="007C2F02">
              <w:rPr>
                <w:rFonts w:ascii="Times New Roman" w:hAnsi="Times New Roman" w:cs="Times New Roman"/>
                <w:szCs w:val="24"/>
              </w:rPr>
              <w:t xml:space="preserve">, he would be expected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to develop and deliver the Initial Market Study. The </w:t>
            </w:r>
            <w:r w:rsidR="00475151">
              <w:rPr>
                <w:rFonts w:ascii="Times New Roman" w:hAnsi="Times New Roman" w:cs="Times New Roman"/>
                <w:szCs w:val="24"/>
              </w:rPr>
              <w:t>C</w:t>
            </w:r>
            <w:r w:rsidR="00475151" w:rsidRPr="005705FF">
              <w:rPr>
                <w:rFonts w:ascii="Times New Roman" w:hAnsi="Times New Roman" w:cs="Times New Roman"/>
                <w:szCs w:val="24"/>
              </w:rPr>
              <w:t xml:space="preserve">onsultant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will make revisions as necessary based on feedback provided to the first draft of the Initial Market </w:t>
            </w:r>
            <w:r w:rsidRPr="005705FF">
              <w:rPr>
                <w:rFonts w:ascii="Times New Roman" w:hAnsi="Times New Roman" w:cs="Times New Roman"/>
                <w:szCs w:val="24"/>
              </w:rPr>
              <w:lastRenderedPageBreak/>
              <w:t xml:space="preserve">Study. Following revisions and resubmission, the hiring department will review again for any further changes required and revert to </w:t>
            </w:r>
            <w:r w:rsidR="00475151">
              <w:rPr>
                <w:rFonts w:ascii="Times New Roman" w:hAnsi="Times New Roman" w:cs="Times New Roman"/>
                <w:szCs w:val="24"/>
              </w:rPr>
              <w:t>the C</w:t>
            </w:r>
            <w:r w:rsidR="00475151" w:rsidRPr="005705FF">
              <w:rPr>
                <w:rFonts w:ascii="Times New Roman" w:hAnsi="Times New Roman" w:cs="Times New Roman"/>
                <w:szCs w:val="24"/>
              </w:rPr>
              <w:t xml:space="preserve">onsultant </w:t>
            </w:r>
            <w:r w:rsidRPr="005705FF">
              <w:rPr>
                <w:rFonts w:ascii="Times New Roman" w:hAnsi="Times New Roman" w:cs="Times New Roman"/>
                <w:szCs w:val="24"/>
              </w:rPr>
              <w:t>if required</w:t>
            </w:r>
            <w:r w:rsidR="007E7587">
              <w:rPr>
                <w:rFonts w:ascii="Times New Roman" w:hAnsi="Times New Roman" w:cs="Times New Roman"/>
                <w:szCs w:val="24"/>
              </w:rPr>
              <w:t>. If satisfied, the department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 will </w:t>
            </w:r>
            <w:r w:rsidR="00E5777C">
              <w:rPr>
                <w:rFonts w:ascii="Times New Roman" w:hAnsi="Times New Roman" w:cs="Times New Roman"/>
                <w:szCs w:val="24"/>
              </w:rPr>
              <w:t xml:space="preserve">forward the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Initial Market Study for approval by the </w:t>
            </w:r>
            <w:r w:rsidR="00E5777C">
              <w:rPr>
                <w:rFonts w:ascii="Times New Roman" w:hAnsi="Times New Roman" w:cs="Times New Roman"/>
                <w:szCs w:val="24"/>
              </w:rPr>
              <w:t xml:space="preserve">CBN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and </w:t>
            </w:r>
            <w:r w:rsidR="00E5777C">
              <w:rPr>
                <w:rFonts w:ascii="Times New Roman" w:hAnsi="Times New Roman" w:cs="Times New Roman"/>
                <w:szCs w:val="24"/>
              </w:rPr>
              <w:t xml:space="preserve">for </w:t>
            </w:r>
            <w:r w:rsidRPr="005705FF">
              <w:rPr>
                <w:rFonts w:ascii="Times New Roman" w:hAnsi="Times New Roman" w:cs="Times New Roman"/>
                <w:szCs w:val="24"/>
              </w:rPr>
              <w:t>IsDB</w:t>
            </w:r>
            <w:r w:rsidR="00E5777C">
              <w:rPr>
                <w:rFonts w:ascii="Times New Roman" w:hAnsi="Times New Roman" w:cs="Times New Roman"/>
                <w:szCs w:val="24"/>
              </w:rPr>
              <w:t>’s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 no-objection.</w:t>
            </w:r>
          </w:p>
        </w:tc>
        <w:tc>
          <w:tcPr>
            <w:tcW w:w="1418" w:type="dxa"/>
          </w:tcPr>
          <w:p w14:paraId="2FEC6DB3" w14:textId="07781483" w:rsidR="00013000" w:rsidRPr="005705FF" w:rsidRDefault="00D5417A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</w:tr>
      <w:tr w:rsidR="00013000" w:rsidRPr="005705FF" w14:paraId="02862412" w14:textId="77777777" w:rsidTr="0081165B">
        <w:tc>
          <w:tcPr>
            <w:tcW w:w="675" w:type="dxa"/>
          </w:tcPr>
          <w:p w14:paraId="5A90BA76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730" w:type="dxa"/>
          </w:tcPr>
          <w:p w14:paraId="7D4E165B" w14:textId="5C7D4B4C" w:rsidR="00013000" w:rsidRPr="00045587" w:rsidRDefault="00045587" w:rsidP="000455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45587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>Sharia-compliant liquidity management instruments</w:t>
            </w:r>
          </w:p>
        </w:tc>
        <w:tc>
          <w:tcPr>
            <w:tcW w:w="6095" w:type="dxa"/>
          </w:tcPr>
          <w:p w14:paraId="491FD7BB" w14:textId="4840C021" w:rsidR="007C2F02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 xml:space="preserve">Once </w:t>
            </w:r>
            <w:proofErr w:type="gramStart"/>
            <w:r w:rsidRPr="005705FF">
              <w:rPr>
                <w:rFonts w:ascii="Times New Roman" w:hAnsi="Times New Roman" w:cs="Times New Roman"/>
                <w:szCs w:val="24"/>
              </w:rPr>
              <w:t>Initial</w:t>
            </w:r>
            <w:proofErr w:type="gramEnd"/>
            <w:r w:rsidRPr="005705FF">
              <w:rPr>
                <w:rFonts w:ascii="Times New Roman" w:hAnsi="Times New Roman" w:cs="Times New Roman"/>
                <w:szCs w:val="24"/>
              </w:rPr>
              <w:t xml:space="preserve"> Market Study is approved, the </w:t>
            </w:r>
            <w:r w:rsidR="00475151">
              <w:rPr>
                <w:rFonts w:ascii="Times New Roman" w:hAnsi="Times New Roman" w:cs="Times New Roman"/>
                <w:szCs w:val="24"/>
              </w:rPr>
              <w:t>C</w:t>
            </w:r>
            <w:r w:rsidR="00475151" w:rsidRPr="005705FF">
              <w:rPr>
                <w:rFonts w:ascii="Times New Roman" w:hAnsi="Times New Roman" w:cs="Times New Roman"/>
                <w:szCs w:val="24"/>
              </w:rPr>
              <w:t xml:space="preserve">onsultant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will be required to undertake </w:t>
            </w:r>
            <w:r w:rsidR="00C875C8">
              <w:rPr>
                <w:rFonts w:ascii="Times New Roman" w:hAnsi="Times New Roman" w:cs="Times New Roman"/>
                <w:szCs w:val="24"/>
              </w:rPr>
              <w:t xml:space="preserve">the development of the liquidity </w:t>
            </w:r>
            <w:r w:rsidR="00AC7283">
              <w:rPr>
                <w:rFonts w:ascii="Times New Roman" w:hAnsi="Times New Roman" w:cs="Times New Roman"/>
                <w:szCs w:val="24"/>
              </w:rPr>
              <w:t>management instruments</w:t>
            </w:r>
            <w:r w:rsidR="00744D76">
              <w:rPr>
                <w:rFonts w:ascii="Times New Roman" w:hAnsi="Times New Roman" w:cs="Times New Roman"/>
                <w:szCs w:val="24"/>
              </w:rPr>
              <w:t xml:space="preserve"> in line with </w:t>
            </w:r>
            <w:r w:rsidR="00F25DB0">
              <w:rPr>
                <w:rFonts w:ascii="Times New Roman" w:hAnsi="Times New Roman" w:cs="Times New Roman"/>
                <w:szCs w:val="24"/>
              </w:rPr>
              <w:t>international best practice</w:t>
            </w:r>
            <w:r w:rsidR="007C2F0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927F8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7C2F02">
              <w:rPr>
                <w:rFonts w:ascii="Times New Roman" w:hAnsi="Times New Roman" w:cs="Times New Roman"/>
                <w:szCs w:val="24"/>
              </w:rPr>
              <w:t xml:space="preserve">would be expected to work closely with the CBN to ensure that the developed instruments </w:t>
            </w:r>
            <w:proofErr w:type="gramStart"/>
            <w:r w:rsidR="007C2F02">
              <w:rPr>
                <w:rFonts w:ascii="Times New Roman" w:hAnsi="Times New Roman" w:cs="Times New Roman"/>
                <w:szCs w:val="24"/>
              </w:rPr>
              <w:t>take into account</w:t>
            </w:r>
            <w:proofErr w:type="gramEnd"/>
            <w:r w:rsidR="007C2F02">
              <w:rPr>
                <w:rFonts w:ascii="Times New Roman" w:hAnsi="Times New Roman" w:cs="Times New Roman"/>
                <w:szCs w:val="24"/>
              </w:rPr>
              <w:t xml:space="preserve"> the specificities of </w:t>
            </w:r>
            <w:r w:rsidR="00292BFE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="007C2F02">
              <w:rPr>
                <w:rFonts w:ascii="Times New Roman" w:hAnsi="Times New Roman" w:cs="Times New Roman"/>
                <w:szCs w:val="24"/>
              </w:rPr>
              <w:t>Nigerian economy and enabling legislations and regulations.</w:t>
            </w:r>
          </w:p>
          <w:p w14:paraId="02967F5B" w14:textId="77777777" w:rsidR="00223FDE" w:rsidRDefault="00223FDE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2501E472" w14:textId="54A5BFBB" w:rsidR="00E02851" w:rsidRDefault="007C2F02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The instruments would be expected to draw experiences from</w:t>
            </w:r>
            <w:r w:rsidR="00F25DB0">
              <w:rPr>
                <w:rFonts w:ascii="Times New Roman" w:hAnsi="Times New Roman" w:cs="Times New Roman"/>
                <w:szCs w:val="24"/>
              </w:rPr>
              <w:t xml:space="preserve"> other </w:t>
            </w:r>
            <w:r>
              <w:rPr>
                <w:rFonts w:ascii="Times New Roman" w:hAnsi="Times New Roman" w:cs="Times New Roman"/>
                <w:szCs w:val="24"/>
              </w:rPr>
              <w:t>jurisdiction</w:t>
            </w:r>
            <w:r w:rsidR="00F25DB0">
              <w:rPr>
                <w:rFonts w:ascii="Times New Roman" w:hAnsi="Times New Roman" w:cs="Times New Roman"/>
                <w:szCs w:val="24"/>
              </w:rPr>
              <w:t xml:space="preserve">s with advanced Islamic </w:t>
            </w:r>
            <w:r>
              <w:rPr>
                <w:rFonts w:ascii="Times New Roman" w:hAnsi="Times New Roman" w:cs="Times New Roman"/>
                <w:szCs w:val="24"/>
              </w:rPr>
              <w:t>industry that have successfully implemented Shari’ah-compliant liquidity management instruments</w:t>
            </w:r>
            <w:r w:rsidR="00013000" w:rsidRPr="005705FF">
              <w:rPr>
                <w:rFonts w:ascii="Times New Roman" w:hAnsi="Times New Roman" w:cs="Times New Roman"/>
                <w:szCs w:val="24"/>
              </w:rPr>
              <w:t>.</w:t>
            </w:r>
          </w:p>
          <w:p w14:paraId="3EE6E76B" w14:textId="77777777" w:rsidR="00292BFE" w:rsidRDefault="00292BFE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5BF62854" w14:textId="554FD879" w:rsidR="00013000" w:rsidRPr="005705FF" w:rsidRDefault="00013000" w:rsidP="00E02851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 xml:space="preserve">Following revisions and resubmission, the </w:t>
            </w:r>
            <w:r w:rsidR="00E02851">
              <w:rPr>
                <w:rFonts w:ascii="Times New Roman" w:hAnsi="Times New Roman" w:cs="Times New Roman"/>
                <w:szCs w:val="24"/>
              </w:rPr>
              <w:t xml:space="preserve">CBN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will review again for any further changes required and revert to </w:t>
            </w:r>
            <w:r w:rsidR="00475151">
              <w:rPr>
                <w:rFonts w:ascii="Times New Roman" w:hAnsi="Times New Roman" w:cs="Times New Roman"/>
                <w:szCs w:val="24"/>
              </w:rPr>
              <w:t>the C</w:t>
            </w:r>
            <w:r w:rsidR="00475151" w:rsidRPr="005705FF">
              <w:rPr>
                <w:rFonts w:ascii="Times New Roman" w:hAnsi="Times New Roman" w:cs="Times New Roman"/>
                <w:szCs w:val="24"/>
              </w:rPr>
              <w:t xml:space="preserve">onsultant </w:t>
            </w:r>
            <w:r w:rsidRPr="005705FF">
              <w:rPr>
                <w:rFonts w:ascii="Times New Roman" w:hAnsi="Times New Roman" w:cs="Times New Roman"/>
                <w:szCs w:val="24"/>
              </w:rPr>
              <w:t>if required</w:t>
            </w:r>
            <w:r w:rsidR="00ED2518">
              <w:rPr>
                <w:rFonts w:ascii="Times New Roman" w:hAnsi="Times New Roman" w:cs="Times New Roman"/>
                <w:szCs w:val="24"/>
              </w:rPr>
              <w:t xml:space="preserve">. If satisfied, the CBN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will </w:t>
            </w:r>
            <w:r w:rsidR="00E02851">
              <w:rPr>
                <w:rFonts w:ascii="Times New Roman" w:hAnsi="Times New Roman" w:cs="Times New Roman"/>
                <w:szCs w:val="24"/>
              </w:rPr>
              <w:t>forward</w:t>
            </w:r>
            <w:r w:rsidR="00C5566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2518">
              <w:rPr>
                <w:rFonts w:ascii="Times New Roman" w:hAnsi="Times New Roman" w:cs="Times New Roman"/>
                <w:szCs w:val="24"/>
              </w:rPr>
              <w:t>same</w:t>
            </w:r>
            <w:r w:rsidR="00E02851">
              <w:rPr>
                <w:rFonts w:ascii="Times New Roman" w:hAnsi="Times New Roman" w:cs="Times New Roman"/>
                <w:szCs w:val="24"/>
              </w:rPr>
              <w:t xml:space="preserve"> to the </w:t>
            </w:r>
            <w:r w:rsidRPr="005705FF">
              <w:rPr>
                <w:rFonts w:ascii="Times New Roman" w:hAnsi="Times New Roman" w:cs="Times New Roman"/>
                <w:szCs w:val="24"/>
              </w:rPr>
              <w:t>IsDB</w:t>
            </w:r>
            <w:r w:rsidR="00E02851">
              <w:rPr>
                <w:rFonts w:ascii="Times New Roman" w:hAnsi="Times New Roman" w:cs="Times New Roman"/>
                <w:szCs w:val="24"/>
              </w:rPr>
              <w:t xml:space="preserve"> for its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 no-objection</w:t>
            </w:r>
            <w:r w:rsidR="00E02851">
              <w:rPr>
                <w:rFonts w:ascii="Times New Roman" w:hAnsi="Times New Roman" w:cs="Times New Roman"/>
                <w:szCs w:val="24"/>
              </w:rPr>
              <w:t xml:space="preserve"> and subsequently</w:t>
            </w:r>
            <w:r w:rsidR="005E72F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02851">
              <w:rPr>
                <w:rFonts w:ascii="Times New Roman" w:hAnsi="Times New Roman" w:cs="Times New Roman"/>
                <w:szCs w:val="24"/>
              </w:rPr>
              <w:t>for approval.</w:t>
            </w:r>
          </w:p>
        </w:tc>
        <w:tc>
          <w:tcPr>
            <w:tcW w:w="1418" w:type="dxa"/>
          </w:tcPr>
          <w:p w14:paraId="0D75FD61" w14:textId="2F0AAC38" w:rsidR="00013000" w:rsidRPr="005705FF" w:rsidRDefault="00B53BEE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13000" w:rsidRPr="005705FF" w14:paraId="3C1F43FE" w14:textId="77777777" w:rsidTr="0081165B">
        <w:tc>
          <w:tcPr>
            <w:tcW w:w="675" w:type="dxa"/>
          </w:tcPr>
          <w:p w14:paraId="6F2271FF" w14:textId="77777777" w:rsidR="00013000" w:rsidRPr="005705FF" w:rsidRDefault="00013000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730" w:type="dxa"/>
          </w:tcPr>
          <w:p w14:paraId="5505B047" w14:textId="3FDF4D98" w:rsidR="00013000" w:rsidRPr="005705FF" w:rsidRDefault="002927F8" w:rsidP="00732D33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Capacity building</w:t>
            </w:r>
            <w:r w:rsidR="00AE0891">
              <w:rPr>
                <w:rFonts w:ascii="Times New Roman" w:hAnsi="Times New Roman" w:cs="Times New Roman"/>
                <w:b/>
                <w:bCs/>
                <w:szCs w:val="24"/>
              </w:rPr>
              <w:t xml:space="preserve"> of CBN staff and staff of Islamic banks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732D33" w:rsidRPr="00732D33">
              <w:rPr>
                <w:rFonts w:ascii="Times New Roman" w:hAnsi="Times New Roman" w:cs="Times New Roman"/>
                <w:b/>
                <w:bCs/>
                <w:szCs w:val="24"/>
              </w:rPr>
              <w:t>on Sharia-compliant liquidity management instruments</w:t>
            </w:r>
          </w:p>
        </w:tc>
        <w:tc>
          <w:tcPr>
            <w:tcW w:w="6095" w:type="dxa"/>
          </w:tcPr>
          <w:p w14:paraId="79F1378D" w14:textId="77777777" w:rsidR="00CA09D0" w:rsidRDefault="00732D33" w:rsidP="00CA09D0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After successfully developing the instruments, the Consultant would be expected to first train CBN staff on the </w:t>
            </w:r>
            <w:r w:rsidR="002927F8">
              <w:rPr>
                <w:rFonts w:ascii="Times New Roman" w:hAnsi="Times New Roman" w:cs="Times New Roman"/>
                <w:szCs w:val="24"/>
              </w:rPr>
              <w:t xml:space="preserve">implementation </w:t>
            </w:r>
            <w:r>
              <w:rPr>
                <w:rFonts w:ascii="Times New Roman" w:hAnsi="Times New Roman" w:cs="Times New Roman"/>
                <w:szCs w:val="24"/>
              </w:rPr>
              <w:t>of</w:t>
            </w:r>
            <w:r w:rsidR="002927F8">
              <w:rPr>
                <w:rFonts w:ascii="Times New Roman" w:hAnsi="Times New Roman" w:cs="Times New Roman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Cs w:val="24"/>
              </w:rPr>
              <w:t xml:space="preserve"> instrument</w:t>
            </w:r>
            <w:r w:rsidR="002927F8">
              <w:rPr>
                <w:rFonts w:ascii="Times New Roman" w:hAnsi="Times New Roman" w:cs="Times New Roman"/>
                <w:szCs w:val="24"/>
              </w:rPr>
              <w:t>.</w:t>
            </w:r>
          </w:p>
          <w:p w14:paraId="192F8FF0" w14:textId="77777777" w:rsidR="005E72F3" w:rsidRDefault="005E72F3" w:rsidP="00CA09D0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41BD7465" w14:textId="73307119" w:rsidR="002927F8" w:rsidRDefault="002927F8" w:rsidP="00CA09D0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The Consultant would equally be expected to train </w:t>
            </w:r>
            <w:r w:rsidR="005E72F3">
              <w:rPr>
                <w:rFonts w:ascii="Times New Roman" w:hAnsi="Times New Roman" w:cs="Times New Roman"/>
                <w:szCs w:val="24"/>
              </w:rPr>
              <w:t>specified</w:t>
            </w:r>
            <w:r>
              <w:rPr>
                <w:rFonts w:ascii="Times New Roman" w:hAnsi="Times New Roman" w:cs="Times New Roman"/>
                <w:szCs w:val="24"/>
              </w:rPr>
              <w:t xml:space="preserve"> Islamic bank operators on the utilization of the instruments.</w:t>
            </w:r>
          </w:p>
          <w:p w14:paraId="28BF55EB" w14:textId="77777777" w:rsidR="005E72F3" w:rsidRDefault="005E72F3" w:rsidP="00CA09D0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1E9E2865" w14:textId="2E120AC8" w:rsidR="002927F8" w:rsidRPr="005705FF" w:rsidRDefault="002927F8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 conducting the training, the Consultant would be expected to collaborate with staff from other central banks that have implemented such instruments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in order for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them to share hands on experiences including challenges in the implementation of the instruments and how to overcome such challenges  </w:t>
            </w:r>
          </w:p>
        </w:tc>
        <w:tc>
          <w:tcPr>
            <w:tcW w:w="1418" w:type="dxa"/>
          </w:tcPr>
          <w:p w14:paraId="3480613D" w14:textId="1F2EF9F0" w:rsidR="00013000" w:rsidRPr="005705FF" w:rsidRDefault="00B53BEE" w:rsidP="0097367F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223FDE" w:rsidRPr="005705FF" w14:paraId="4389DDC8" w14:textId="77777777" w:rsidTr="0081165B">
        <w:tc>
          <w:tcPr>
            <w:tcW w:w="675" w:type="dxa"/>
          </w:tcPr>
          <w:p w14:paraId="16803128" w14:textId="77777777" w:rsidR="00223FDE" w:rsidRPr="005705FF" w:rsidRDefault="00223FDE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730" w:type="dxa"/>
          </w:tcPr>
          <w:p w14:paraId="15A6FAEF" w14:textId="3FCC667F" w:rsidR="00223FDE" w:rsidRPr="005705FF" w:rsidRDefault="00223FDE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53BEE">
              <w:rPr>
                <w:rFonts w:ascii="Times New Roman" w:hAnsi="Times New Roman" w:cs="Times New Roman"/>
                <w:b/>
                <w:bCs/>
                <w:szCs w:val="24"/>
              </w:rPr>
              <w:t>Sharia Compliance Audit Manual</w:t>
            </w:r>
          </w:p>
        </w:tc>
        <w:tc>
          <w:tcPr>
            <w:tcW w:w="6095" w:type="dxa"/>
          </w:tcPr>
          <w:p w14:paraId="0755999E" w14:textId="246FAF70" w:rsidR="00223FDE" w:rsidRDefault="00223FDE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 developing the </w:t>
            </w:r>
            <w:r w:rsidRPr="00B53BEE">
              <w:rPr>
                <w:rFonts w:ascii="Times New Roman" w:hAnsi="Times New Roman" w:cs="Times New Roman"/>
                <w:szCs w:val="24"/>
              </w:rPr>
              <w:t>Sharia Compliance Audit Manual</w:t>
            </w:r>
            <w:r>
              <w:rPr>
                <w:rFonts w:ascii="Times New Roman" w:hAnsi="Times New Roman" w:cs="Times New Roman"/>
                <w:szCs w:val="24"/>
              </w:rPr>
              <w:t>, the Consultant is expected to work closely with the CBN to ensure that</w:t>
            </w:r>
            <w:r w:rsidR="005E72F3">
              <w:rPr>
                <w:rFonts w:ascii="Times New Roman" w:hAnsi="Times New Roman" w:cs="Times New Roman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Cs w:val="24"/>
              </w:rPr>
              <w:t xml:space="preserve"> Manual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takes into account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the specificities of </w:t>
            </w:r>
            <w:r w:rsidR="00924435">
              <w:rPr>
                <w:rFonts w:ascii="Times New Roman" w:hAnsi="Times New Roman" w:cs="Times New Roman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Cs w:val="24"/>
              </w:rPr>
              <w:t>Nigerian economy</w:t>
            </w:r>
            <w:r w:rsidR="005E72F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enabling legislations and </w:t>
            </w:r>
            <w:r w:rsidR="00AE0891">
              <w:rPr>
                <w:rFonts w:ascii="Times New Roman" w:hAnsi="Times New Roman" w:cs="Times New Roman"/>
                <w:szCs w:val="24"/>
              </w:rPr>
              <w:t xml:space="preserve">extant </w:t>
            </w:r>
            <w:r>
              <w:rPr>
                <w:rFonts w:ascii="Times New Roman" w:hAnsi="Times New Roman" w:cs="Times New Roman"/>
                <w:szCs w:val="24"/>
              </w:rPr>
              <w:t>regulations</w:t>
            </w:r>
            <w:r w:rsidR="00A53551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as well as the Resolutions of the </w:t>
            </w:r>
            <w:r w:rsidR="009911D5">
              <w:rPr>
                <w:rFonts w:ascii="Times New Roman" w:hAnsi="Times New Roman" w:cs="Times New Roman"/>
                <w:szCs w:val="24"/>
              </w:rPr>
              <w:t>Financial Regulation Advisory Council of Experts (FRACE)</w:t>
            </w:r>
            <w:r w:rsidR="00AE0891">
              <w:rPr>
                <w:rFonts w:ascii="Times New Roman" w:hAnsi="Times New Roman" w:cs="Times New Roman"/>
                <w:szCs w:val="24"/>
              </w:rPr>
              <w:t>.</w:t>
            </w:r>
          </w:p>
          <w:p w14:paraId="12CE81C6" w14:textId="17553EA8" w:rsidR="00AE0891" w:rsidRDefault="00AE0891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3C516F93" w14:textId="4BC10E51" w:rsidR="00AE0891" w:rsidRDefault="00AE0891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It would equally be expected to consider the CBN Risk-Based Supervisory Framework currently being used by CBN Examiners in the examination of Islamic banks in Nigeria.</w:t>
            </w:r>
          </w:p>
          <w:p w14:paraId="428CCC03" w14:textId="77777777" w:rsidR="00CF1A3A" w:rsidRDefault="00CF1A3A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41F56DFA" w14:textId="16E876E5" w:rsidR="00223FDE" w:rsidRPr="005705FF" w:rsidRDefault="00223FDE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 xml:space="preserve">Following revisions and resubmission, the </w:t>
            </w:r>
            <w:r>
              <w:rPr>
                <w:rFonts w:ascii="Times New Roman" w:hAnsi="Times New Roman" w:cs="Times New Roman"/>
                <w:szCs w:val="24"/>
              </w:rPr>
              <w:t xml:space="preserve">CBN 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will review again for any further changes required and revert to </w:t>
            </w:r>
            <w:r w:rsidR="00E21382">
              <w:rPr>
                <w:rFonts w:ascii="Times New Roman" w:hAnsi="Times New Roman" w:cs="Times New Roman"/>
                <w:szCs w:val="24"/>
              </w:rPr>
              <w:t>the C</w:t>
            </w:r>
            <w:r w:rsidR="00E21382" w:rsidRPr="005705FF">
              <w:rPr>
                <w:rFonts w:ascii="Times New Roman" w:hAnsi="Times New Roman" w:cs="Times New Roman"/>
                <w:szCs w:val="24"/>
              </w:rPr>
              <w:t xml:space="preserve">onsultant </w:t>
            </w:r>
            <w:r w:rsidRPr="005705FF">
              <w:rPr>
                <w:rFonts w:ascii="Times New Roman" w:hAnsi="Times New Roman" w:cs="Times New Roman"/>
                <w:szCs w:val="24"/>
              </w:rPr>
              <w:t>if required</w:t>
            </w:r>
            <w:r w:rsidR="00CF1A3A">
              <w:rPr>
                <w:rFonts w:ascii="Times New Roman" w:hAnsi="Times New Roman" w:cs="Times New Roman"/>
                <w:szCs w:val="24"/>
              </w:rPr>
              <w:t>. If satisfied, the CBN will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forward</w:t>
            </w:r>
            <w:r w:rsidR="00CF1A3A">
              <w:rPr>
                <w:rFonts w:ascii="Times New Roman" w:hAnsi="Times New Roman" w:cs="Times New Roman"/>
                <w:szCs w:val="24"/>
              </w:rPr>
              <w:t xml:space="preserve"> same</w:t>
            </w:r>
            <w:r>
              <w:rPr>
                <w:rFonts w:ascii="Times New Roman" w:hAnsi="Times New Roman" w:cs="Times New Roman"/>
                <w:szCs w:val="24"/>
              </w:rPr>
              <w:t xml:space="preserve"> to the </w:t>
            </w:r>
            <w:r w:rsidRPr="005705FF">
              <w:rPr>
                <w:rFonts w:ascii="Times New Roman" w:hAnsi="Times New Roman" w:cs="Times New Roman"/>
                <w:szCs w:val="24"/>
              </w:rPr>
              <w:t>IsDB</w:t>
            </w:r>
            <w:r>
              <w:rPr>
                <w:rFonts w:ascii="Times New Roman" w:hAnsi="Times New Roman" w:cs="Times New Roman"/>
                <w:szCs w:val="24"/>
              </w:rPr>
              <w:t xml:space="preserve"> for its</w:t>
            </w:r>
            <w:r w:rsidRPr="005705FF">
              <w:rPr>
                <w:rFonts w:ascii="Times New Roman" w:hAnsi="Times New Roman" w:cs="Times New Roman"/>
                <w:szCs w:val="24"/>
              </w:rPr>
              <w:t xml:space="preserve"> no-objection</w:t>
            </w:r>
            <w:r>
              <w:rPr>
                <w:rFonts w:ascii="Times New Roman" w:hAnsi="Times New Roman" w:cs="Times New Roman"/>
                <w:szCs w:val="24"/>
              </w:rPr>
              <w:t xml:space="preserve"> and subsequent</w:t>
            </w:r>
            <w:r w:rsidR="0050296F">
              <w:rPr>
                <w:rFonts w:ascii="Times New Roman" w:hAnsi="Times New Roman" w:cs="Times New Roman"/>
                <w:szCs w:val="24"/>
              </w:rPr>
              <w:t>ly</w:t>
            </w:r>
            <w:r w:rsidR="00CF1A3A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for approval.</w:t>
            </w:r>
          </w:p>
        </w:tc>
        <w:tc>
          <w:tcPr>
            <w:tcW w:w="1418" w:type="dxa"/>
          </w:tcPr>
          <w:p w14:paraId="7F88F0C6" w14:textId="36D53BE2" w:rsidR="00223FDE" w:rsidRPr="005705FF" w:rsidRDefault="00D5417A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223FDE" w:rsidRPr="005705F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E0891" w:rsidRPr="005705FF" w14:paraId="5AD2E99F" w14:textId="77777777" w:rsidTr="0081165B">
        <w:tc>
          <w:tcPr>
            <w:tcW w:w="675" w:type="dxa"/>
          </w:tcPr>
          <w:p w14:paraId="03379613" w14:textId="18AAC164" w:rsidR="00AE0891" w:rsidRPr="005705FF" w:rsidRDefault="00F56A93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30" w:type="dxa"/>
          </w:tcPr>
          <w:p w14:paraId="068500B7" w14:textId="1F527640" w:rsidR="00AE0891" w:rsidRPr="00B53BEE" w:rsidRDefault="00AE0891" w:rsidP="00AE0891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3BE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5A0B83">
              <w:rPr>
                <w:rFonts w:ascii="Times New Roman" w:hAnsi="Times New Roman" w:cs="Times New Roman"/>
                <w:b/>
                <w:bCs/>
                <w:szCs w:val="24"/>
              </w:rPr>
              <w:t xml:space="preserve">Capacity building of </w:t>
            </w:r>
            <w:r w:rsidRPr="00B53BEE">
              <w:rPr>
                <w:rFonts w:ascii="Times New Roman" w:hAnsi="Times New Roman" w:cs="Times New Roman"/>
                <w:b/>
                <w:bCs/>
                <w:szCs w:val="24"/>
              </w:rPr>
              <w:t>staff on Sharia Compliance Audit Manual</w:t>
            </w:r>
          </w:p>
        </w:tc>
        <w:tc>
          <w:tcPr>
            <w:tcW w:w="6095" w:type="dxa"/>
          </w:tcPr>
          <w:p w14:paraId="1F1E5DD9" w14:textId="609C3DFD" w:rsidR="00DA1744" w:rsidRDefault="00DA1744" w:rsidP="00DA1744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After developing the Manual, the Consultant would be expected to train </w:t>
            </w:r>
            <w:r w:rsidR="009E082B">
              <w:rPr>
                <w:rFonts w:ascii="Times New Roman" w:hAnsi="Times New Roman" w:cs="Times New Roman"/>
                <w:szCs w:val="24"/>
              </w:rPr>
              <w:t xml:space="preserve">examiners of both the </w:t>
            </w:r>
            <w:r>
              <w:rPr>
                <w:rFonts w:ascii="Times New Roman" w:hAnsi="Times New Roman" w:cs="Times New Roman"/>
                <w:szCs w:val="24"/>
              </w:rPr>
              <w:t xml:space="preserve">CBN </w:t>
            </w:r>
            <w:r w:rsidR="009E082B">
              <w:rPr>
                <w:rFonts w:ascii="Times New Roman" w:hAnsi="Times New Roman" w:cs="Times New Roman"/>
                <w:szCs w:val="24"/>
              </w:rPr>
              <w:t>and the Nigeria Deposit Insurance Corporation (NDIC) on the applicability of the Manual</w:t>
            </w:r>
            <w:r w:rsidR="00E21382">
              <w:rPr>
                <w:rFonts w:ascii="Times New Roman" w:hAnsi="Times New Roman" w:cs="Times New Roman"/>
                <w:szCs w:val="24"/>
              </w:rPr>
              <w:t>,</w:t>
            </w:r>
            <w:r w:rsidR="009E082B">
              <w:rPr>
                <w:rFonts w:ascii="Times New Roman" w:hAnsi="Times New Roman" w:cs="Times New Roman"/>
                <w:szCs w:val="24"/>
              </w:rPr>
              <w:t xml:space="preserve"> and es</w:t>
            </w:r>
            <w:r w:rsidR="00CA09D0">
              <w:rPr>
                <w:rFonts w:ascii="Times New Roman" w:hAnsi="Times New Roman" w:cs="Times New Roman"/>
                <w:szCs w:val="24"/>
              </w:rPr>
              <w:t>pecially as it relates to identifying Shari’ah Non-Compliance Risk in the product offering and operations of Islamic banks.</w:t>
            </w:r>
          </w:p>
          <w:p w14:paraId="6B03177C" w14:textId="77777777" w:rsidR="00DA1744" w:rsidRDefault="00DA1744" w:rsidP="00DA1744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37792D99" w14:textId="1D867400" w:rsidR="00AE0891" w:rsidRDefault="00DA1744" w:rsidP="00DA1744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 conducting the training, the Consultant</w:t>
            </w:r>
            <w:r w:rsidR="004336C1">
              <w:rPr>
                <w:rFonts w:ascii="Times New Roman" w:hAnsi="Times New Roman" w:cs="Times New Roman"/>
                <w:szCs w:val="24"/>
              </w:rPr>
              <w:t xml:space="preserve"> is</w:t>
            </w:r>
            <w:r>
              <w:rPr>
                <w:rFonts w:ascii="Times New Roman" w:hAnsi="Times New Roman" w:cs="Times New Roman"/>
                <w:szCs w:val="24"/>
              </w:rPr>
              <w:t xml:space="preserve"> expected </w:t>
            </w:r>
            <w:r w:rsidR="004336C1">
              <w:rPr>
                <w:rFonts w:ascii="Times New Roman" w:hAnsi="Times New Roman" w:cs="Times New Roman"/>
                <w:szCs w:val="24"/>
              </w:rPr>
              <w:t xml:space="preserve">to expose </w:t>
            </w: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A31E7C">
              <w:rPr>
                <w:rFonts w:ascii="Times New Roman" w:hAnsi="Times New Roman" w:cs="Times New Roman"/>
                <w:szCs w:val="24"/>
              </w:rPr>
              <w:t>he trainees</w:t>
            </w:r>
            <w:r w:rsidR="00200501">
              <w:rPr>
                <w:rFonts w:ascii="Times New Roman" w:hAnsi="Times New Roman" w:cs="Times New Roman"/>
                <w:szCs w:val="24"/>
              </w:rPr>
              <w:t>,</w:t>
            </w:r>
            <w:r w:rsidR="00A31E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D347A">
              <w:rPr>
                <w:rFonts w:ascii="Times New Roman" w:hAnsi="Times New Roman" w:cs="Times New Roman"/>
                <w:szCs w:val="24"/>
              </w:rPr>
              <w:t>to</w:t>
            </w:r>
            <w:r w:rsidR="004336C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C6672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="004336C1">
              <w:rPr>
                <w:rFonts w:ascii="Times New Roman" w:hAnsi="Times New Roman" w:cs="Times New Roman"/>
                <w:szCs w:val="24"/>
              </w:rPr>
              <w:t>harmoniz</w:t>
            </w:r>
            <w:r w:rsidR="00FD347A">
              <w:rPr>
                <w:rFonts w:ascii="Times New Roman" w:hAnsi="Times New Roman" w:cs="Times New Roman"/>
                <w:szCs w:val="24"/>
              </w:rPr>
              <w:t>ation</w:t>
            </w:r>
            <w:r w:rsidR="004336C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6A93">
              <w:rPr>
                <w:rFonts w:ascii="Times New Roman" w:hAnsi="Times New Roman" w:cs="Times New Roman"/>
                <w:szCs w:val="24"/>
              </w:rPr>
              <w:t xml:space="preserve">of </w:t>
            </w:r>
            <w:r w:rsidR="004336C1">
              <w:rPr>
                <w:rFonts w:ascii="Times New Roman" w:hAnsi="Times New Roman" w:cs="Times New Roman"/>
                <w:szCs w:val="24"/>
              </w:rPr>
              <w:t xml:space="preserve">Shari’ah Principles with </w:t>
            </w:r>
            <w:r w:rsidR="003C6672">
              <w:rPr>
                <w:rFonts w:ascii="Times New Roman" w:hAnsi="Times New Roman" w:cs="Times New Roman"/>
                <w:szCs w:val="24"/>
              </w:rPr>
              <w:t>banking and finance and risk management principles</w:t>
            </w:r>
            <w:r w:rsidR="00F56A93">
              <w:rPr>
                <w:rFonts w:ascii="Times New Roman" w:hAnsi="Times New Roman" w:cs="Times New Roman"/>
                <w:szCs w:val="24"/>
              </w:rPr>
              <w:t xml:space="preserve"> in conducting Shari’ah Audit in Islamic banks</w:t>
            </w:r>
          </w:p>
        </w:tc>
        <w:tc>
          <w:tcPr>
            <w:tcW w:w="1418" w:type="dxa"/>
          </w:tcPr>
          <w:p w14:paraId="3ED70B22" w14:textId="194186B9" w:rsidR="00AE0891" w:rsidRPr="005705FF" w:rsidRDefault="00D5417A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F56A93" w:rsidRPr="005705FF" w14:paraId="7FC0B2F4" w14:textId="77777777" w:rsidTr="0081165B">
        <w:tc>
          <w:tcPr>
            <w:tcW w:w="675" w:type="dxa"/>
          </w:tcPr>
          <w:p w14:paraId="1E920257" w14:textId="1E9E2677" w:rsidR="00F56A93" w:rsidRDefault="00F56A93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30" w:type="dxa"/>
          </w:tcPr>
          <w:p w14:paraId="62707595" w14:textId="4A1CE02B" w:rsidR="00F56A93" w:rsidRPr="005570DA" w:rsidRDefault="00F56A93" w:rsidP="00AE0891">
            <w:pPr>
              <w:pStyle w:val="NoSpacing"/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570DA">
              <w:rPr>
                <w:rFonts w:ascii="Times New Roman" w:hAnsi="Times New Roman" w:cs="Times New Roman"/>
                <w:b/>
                <w:bCs/>
                <w:szCs w:val="24"/>
              </w:rPr>
              <w:t>Review of the CBN guidelines for converting conventional banks to Islamic banks</w:t>
            </w:r>
            <w:r w:rsidR="00ED1683" w:rsidRPr="005570DA">
              <w:rPr>
                <w:rFonts w:ascii="Times New Roman" w:hAnsi="Times New Roman" w:cs="Times New Roman"/>
                <w:b/>
                <w:bCs/>
                <w:szCs w:val="24"/>
              </w:rPr>
              <w:t xml:space="preserve"> and training of CBN staff on the </w:t>
            </w:r>
            <w:r w:rsidR="006465CD" w:rsidRPr="005570DA">
              <w:rPr>
                <w:rFonts w:ascii="Times New Roman" w:hAnsi="Times New Roman" w:cs="Times New Roman"/>
                <w:b/>
                <w:bCs/>
                <w:szCs w:val="24"/>
              </w:rPr>
              <w:t>processes o</w:t>
            </w:r>
            <w:r w:rsidR="008774EC">
              <w:rPr>
                <w:rFonts w:ascii="Times New Roman" w:hAnsi="Times New Roman" w:cs="Times New Roman"/>
                <w:b/>
                <w:bCs/>
                <w:szCs w:val="24"/>
              </w:rPr>
              <w:t>f</w:t>
            </w:r>
            <w:r w:rsidR="006465CD" w:rsidRPr="005570DA">
              <w:rPr>
                <w:rFonts w:ascii="Times New Roman" w:hAnsi="Times New Roman" w:cs="Times New Roman"/>
                <w:b/>
                <w:bCs/>
                <w:szCs w:val="24"/>
              </w:rPr>
              <w:t xml:space="preserve"> conversion</w:t>
            </w:r>
          </w:p>
        </w:tc>
        <w:tc>
          <w:tcPr>
            <w:tcW w:w="6095" w:type="dxa"/>
          </w:tcPr>
          <w:p w14:paraId="5E0E5B8D" w14:textId="21371882" w:rsidR="00F56A93" w:rsidRPr="005570DA" w:rsidRDefault="006465CD" w:rsidP="00DA1744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The Consultant is expected to review the CBN guidelines for the </w:t>
            </w:r>
            <w:r w:rsidRPr="005570DA">
              <w:rPr>
                <w:rFonts w:ascii="Times New Roman" w:hAnsi="Times New Roman" w:cs="Times New Roman"/>
                <w:szCs w:val="24"/>
              </w:rPr>
              <w:t>conversion of conventional banks to Islamic banks and train CBN staff on the processes o</w:t>
            </w:r>
            <w:r w:rsidR="00DA4156">
              <w:rPr>
                <w:rFonts w:ascii="Times New Roman" w:hAnsi="Times New Roman" w:cs="Times New Roman"/>
                <w:szCs w:val="24"/>
              </w:rPr>
              <w:t>f</w:t>
            </w:r>
            <w:r w:rsidRPr="005570DA">
              <w:rPr>
                <w:rFonts w:ascii="Times New Roman" w:hAnsi="Times New Roman" w:cs="Times New Roman"/>
                <w:szCs w:val="24"/>
              </w:rPr>
              <w:t xml:space="preserve"> conversion.</w:t>
            </w:r>
          </w:p>
          <w:p w14:paraId="59BED23E" w14:textId="77777777" w:rsidR="006465CD" w:rsidRPr="005570DA" w:rsidRDefault="006465CD" w:rsidP="00DA1744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0F5BB4E4" w14:textId="4B15592A" w:rsidR="006465CD" w:rsidRDefault="006465CD" w:rsidP="00DA1744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70DA">
              <w:rPr>
                <w:rFonts w:ascii="Times New Roman" w:hAnsi="Times New Roman" w:cs="Times New Roman"/>
                <w:szCs w:val="24"/>
              </w:rPr>
              <w:t>The Consultant is expected to draw experiences from jurisdictions that have successfully converted conventional banks to Islamic</w:t>
            </w:r>
            <w:r w:rsidR="00DA4156">
              <w:rPr>
                <w:rFonts w:ascii="Times New Roman" w:hAnsi="Times New Roman" w:cs="Times New Roman"/>
                <w:szCs w:val="24"/>
              </w:rPr>
              <w:t xml:space="preserve"> banks</w:t>
            </w:r>
            <w:r w:rsidRPr="005570DA">
              <w:rPr>
                <w:rFonts w:ascii="Times New Roman" w:hAnsi="Times New Roman" w:cs="Times New Roman"/>
                <w:szCs w:val="24"/>
              </w:rPr>
              <w:t>, challenges they have encountered and how they have overcome them.</w:t>
            </w:r>
          </w:p>
        </w:tc>
        <w:tc>
          <w:tcPr>
            <w:tcW w:w="1418" w:type="dxa"/>
          </w:tcPr>
          <w:p w14:paraId="4C37478C" w14:textId="20E3F721" w:rsidR="00F56A93" w:rsidRPr="005705FF" w:rsidRDefault="00D5417A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223FDE" w:rsidRPr="005705FF" w14:paraId="222C4FCB" w14:textId="77777777" w:rsidTr="0081165B">
        <w:tc>
          <w:tcPr>
            <w:tcW w:w="675" w:type="dxa"/>
          </w:tcPr>
          <w:p w14:paraId="1B0E1341" w14:textId="77777777" w:rsidR="00223FDE" w:rsidRPr="005705FF" w:rsidRDefault="00223FDE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0605770A" w14:textId="77777777" w:rsidR="00223FDE" w:rsidRPr="005705FF" w:rsidRDefault="00223FDE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95" w:type="dxa"/>
          </w:tcPr>
          <w:p w14:paraId="1AB4669E" w14:textId="77777777" w:rsidR="00223FDE" w:rsidRPr="005705FF" w:rsidRDefault="00223FDE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05FF">
              <w:rPr>
                <w:rFonts w:ascii="Times New Roman" w:hAnsi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1418" w:type="dxa"/>
          </w:tcPr>
          <w:p w14:paraId="15D186C7" w14:textId="79373432" w:rsidR="00223FDE" w:rsidRPr="005705FF" w:rsidRDefault="00223FDE" w:rsidP="00223FDE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705FF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</w:tbl>
    <w:p w14:paraId="18FDEDE0" w14:textId="77777777" w:rsidR="00013000" w:rsidRPr="005705FF" w:rsidRDefault="00013000" w:rsidP="00013000">
      <w:pPr>
        <w:pStyle w:val="NoSpacing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14:paraId="32C00FF4" w14:textId="77777777" w:rsidR="00282BAF" w:rsidRPr="005705FF" w:rsidRDefault="00282BAF" w:rsidP="00013000">
      <w:pPr>
        <w:pStyle w:val="ListParagraph"/>
        <w:spacing w:before="100" w:beforeAutospacing="1" w:line="276" w:lineRule="auto"/>
        <w:rPr>
          <w:sz w:val="24"/>
          <w:szCs w:val="24"/>
        </w:rPr>
      </w:pPr>
    </w:p>
    <w:p w14:paraId="45F8516C" w14:textId="77777777" w:rsidR="00CC4229" w:rsidRPr="005705FF" w:rsidRDefault="00CC4229" w:rsidP="00153CE5">
      <w:pPr>
        <w:spacing w:line="360" w:lineRule="auto"/>
        <w:jc w:val="both"/>
        <w:rPr>
          <w:sz w:val="24"/>
          <w:szCs w:val="24"/>
        </w:rPr>
      </w:pPr>
    </w:p>
    <w:sectPr w:rsidR="00CC4229" w:rsidRPr="005705F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827E" w14:textId="77777777" w:rsidR="00472C4C" w:rsidRDefault="00472C4C" w:rsidP="005A5FEA">
      <w:r>
        <w:separator/>
      </w:r>
    </w:p>
  </w:endnote>
  <w:endnote w:type="continuationSeparator" w:id="0">
    <w:p w14:paraId="06E273C4" w14:textId="77777777" w:rsidR="00472C4C" w:rsidRDefault="00472C4C" w:rsidP="005A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1231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ACB52" w14:textId="2C218C35" w:rsidR="005A5FEA" w:rsidRDefault="005A5F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FEC76" w14:textId="77777777" w:rsidR="005A5FEA" w:rsidRDefault="005A5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BF51" w14:textId="77777777" w:rsidR="00472C4C" w:rsidRDefault="00472C4C" w:rsidP="005A5FEA">
      <w:r>
        <w:separator/>
      </w:r>
    </w:p>
  </w:footnote>
  <w:footnote w:type="continuationSeparator" w:id="0">
    <w:p w14:paraId="1723DC0F" w14:textId="77777777" w:rsidR="00472C4C" w:rsidRDefault="00472C4C" w:rsidP="005A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11E"/>
    <w:multiLevelType w:val="hybridMultilevel"/>
    <w:tmpl w:val="9FCA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5C4"/>
    <w:multiLevelType w:val="hybridMultilevel"/>
    <w:tmpl w:val="4A2014F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BF2"/>
    <w:multiLevelType w:val="hybridMultilevel"/>
    <w:tmpl w:val="479A5670"/>
    <w:lvl w:ilvl="0" w:tplc="D228FF3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6EFD"/>
    <w:multiLevelType w:val="hybridMultilevel"/>
    <w:tmpl w:val="69F8AD1E"/>
    <w:lvl w:ilvl="0" w:tplc="2000001B">
      <w:start w:val="1"/>
      <w:numFmt w:val="lowerRoman"/>
      <w:lvlText w:val="%1."/>
      <w:lvlJc w:val="right"/>
      <w:pPr>
        <w:ind w:left="1496" w:hanging="360"/>
      </w:pPr>
    </w:lvl>
    <w:lvl w:ilvl="1" w:tplc="20000019" w:tentative="1">
      <w:start w:val="1"/>
      <w:numFmt w:val="lowerLetter"/>
      <w:lvlText w:val="%2."/>
      <w:lvlJc w:val="left"/>
      <w:pPr>
        <w:ind w:left="2216" w:hanging="360"/>
      </w:pPr>
    </w:lvl>
    <w:lvl w:ilvl="2" w:tplc="2000001B" w:tentative="1">
      <w:start w:val="1"/>
      <w:numFmt w:val="lowerRoman"/>
      <w:lvlText w:val="%3."/>
      <w:lvlJc w:val="right"/>
      <w:pPr>
        <w:ind w:left="2936" w:hanging="180"/>
      </w:pPr>
    </w:lvl>
    <w:lvl w:ilvl="3" w:tplc="2000000F" w:tentative="1">
      <w:start w:val="1"/>
      <w:numFmt w:val="decimal"/>
      <w:lvlText w:val="%4."/>
      <w:lvlJc w:val="left"/>
      <w:pPr>
        <w:ind w:left="3656" w:hanging="360"/>
      </w:pPr>
    </w:lvl>
    <w:lvl w:ilvl="4" w:tplc="20000019" w:tentative="1">
      <w:start w:val="1"/>
      <w:numFmt w:val="lowerLetter"/>
      <w:lvlText w:val="%5."/>
      <w:lvlJc w:val="left"/>
      <w:pPr>
        <w:ind w:left="4376" w:hanging="360"/>
      </w:pPr>
    </w:lvl>
    <w:lvl w:ilvl="5" w:tplc="2000001B" w:tentative="1">
      <w:start w:val="1"/>
      <w:numFmt w:val="lowerRoman"/>
      <w:lvlText w:val="%6."/>
      <w:lvlJc w:val="right"/>
      <w:pPr>
        <w:ind w:left="5096" w:hanging="180"/>
      </w:pPr>
    </w:lvl>
    <w:lvl w:ilvl="6" w:tplc="2000000F" w:tentative="1">
      <w:start w:val="1"/>
      <w:numFmt w:val="decimal"/>
      <w:lvlText w:val="%7."/>
      <w:lvlJc w:val="left"/>
      <w:pPr>
        <w:ind w:left="5816" w:hanging="360"/>
      </w:pPr>
    </w:lvl>
    <w:lvl w:ilvl="7" w:tplc="20000019" w:tentative="1">
      <w:start w:val="1"/>
      <w:numFmt w:val="lowerLetter"/>
      <w:lvlText w:val="%8."/>
      <w:lvlJc w:val="left"/>
      <w:pPr>
        <w:ind w:left="6536" w:hanging="360"/>
      </w:pPr>
    </w:lvl>
    <w:lvl w:ilvl="8" w:tplc="200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360A68AD"/>
    <w:multiLevelType w:val="hybridMultilevel"/>
    <w:tmpl w:val="4A2014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DA1"/>
    <w:multiLevelType w:val="hybridMultilevel"/>
    <w:tmpl w:val="2A22D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A15F7"/>
    <w:multiLevelType w:val="hybridMultilevel"/>
    <w:tmpl w:val="F7E0D8D6"/>
    <w:lvl w:ilvl="0" w:tplc="2000001B">
      <w:start w:val="1"/>
      <w:numFmt w:val="lowerRoman"/>
      <w:lvlText w:val="%1."/>
      <w:lvlJc w:val="righ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70051"/>
    <w:multiLevelType w:val="hybridMultilevel"/>
    <w:tmpl w:val="B778F9EA"/>
    <w:lvl w:ilvl="0" w:tplc="2000000F">
      <w:start w:val="1"/>
      <w:numFmt w:val="decimal"/>
      <w:lvlText w:val="%1."/>
      <w:lvlJc w:val="left"/>
      <w:pPr>
        <w:ind w:left="776" w:hanging="360"/>
      </w:pPr>
    </w:lvl>
    <w:lvl w:ilvl="1" w:tplc="20000019" w:tentative="1">
      <w:start w:val="1"/>
      <w:numFmt w:val="lowerLetter"/>
      <w:lvlText w:val="%2."/>
      <w:lvlJc w:val="left"/>
      <w:pPr>
        <w:ind w:left="1496" w:hanging="360"/>
      </w:pPr>
    </w:lvl>
    <w:lvl w:ilvl="2" w:tplc="2000001B" w:tentative="1">
      <w:start w:val="1"/>
      <w:numFmt w:val="lowerRoman"/>
      <w:lvlText w:val="%3."/>
      <w:lvlJc w:val="right"/>
      <w:pPr>
        <w:ind w:left="2216" w:hanging="180"/>
      </w:pPr>
    </w:lvl>
    <w:lvl w:ilvl="3" w:tplc="2000000F" w:tentative="1">
      <w:start w:val="1"/>
      <w:numFmt w:val="decimal"/>
      <w:lvlText w:val="%4."/>
      <w:lvlJc w:val="left"/>
      <w:pPr>
        <w:ind w:left="2936" w:hanging="360"/>
      </w:pPr>
    </w:lvl>
    <w:lvl w:ilvl="4" w:tplc="20000019" w:tentative="1">
      <w:start w:val="1"/>
      <w:numFmt w:val="lowerLetter"/>
      <w:lvlText w:val="%5."/>
      <w:lvlJc w:val="left"/>
      <w:pPr>
        <w:ind w:left="3656" w:hanging="360"/>
      </w:pPr>
    </w:lvl>
    <w:lvl w:ilvl="5" w:tplc="2000001B" w:tentative="1">
      <w:start w:val="1"/>
      <w:numFmt w:val="lowerRoman"/>
      <w:lvlText w:val="%6."/>
      <w:lvlJc w:val="right"/>
      <w:pPr>
        <w:ind w:left="4376" w:hanging="180"/>
      </w:pPr>
    </w:lvl>
    <w:lvl w:ilvl="6" w:tplc="2000000F" w:tentative="1">
      <w:start w:val="1"/>
      <w:numFmt w:val="decimal"/>
      <w:lvlText w:val="%7."/>
      <w:lvlJc w:val="left"/>
      <w:pPr>
        <w:ind w:left="5096" w:hanging="360"/>
      </w:pPr>
    </w:lvl>
    <w:lvl w:ilvl="7" w:tplc="20000019" w:tentative="1">
      <w:start w:val="1"/>
      <w:numFmt w:val="lowerLetter"/>
      <w:lvlText w:val="%8."/>
      <w:lvlJc w:val="left"/>
      <w:pPr>
        <w:ind w:left="5816" w:hanging="360"/>
      </w:pPr>
    </w:lvl>
    <w:lvl w:ilvl="8" w:tplc="200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63642CC9"/>
    <w:multiLevelType w:val="hybridMultilevel"/>
    <w:tmpl w:val="F7E0D8D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D1744"/>
    <w:multiLevelType w:val="hybridMultilevel"/>
    <w:tmpl w:val="5DF6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7786">
    <w:abstractNumId w:val="7"/>
  </w:num>
  <w:num w:numId="2" w16cid:durableId="2064862168">
    <w:abstractNumId w:val="3"/>
  </w:num>
  <w:num w:numId="3" w16cid:durableId="1327397293">
    <w:abstractNumId w:val="6"/>
  </w:num>
  <w:num w:numId="4" w16cid:durableId="1705516234">
    <w:abstractNumId w:val="1"/>
  </w:num>
  <w:num w:numId="5" w16cid:durableId="420108472">
    <w:abstractNumId w:val="9"/>
  </w:num>
  <w:num w:numId="6" w16cid:durableId="19864691">
    <w:abstractNumId w:val="0"/>
  </w:num>
  <w:num w:numId="7" w16cid:durableId="167057930">
    <w:abstractNumId w:val="5"/>
  </w:num>
  <w:num w:numId="8" w16cid:durableId="552158116">
    <w:abstractNumId w:val="8"/>
  </w:num>
  <w:num w:numId="9" w16cid:durableId="158036028">
    <w:abstractNumId w:val="2"/>
  </w:num>
  <w:num w:numId="10" w16cid:durableId="1277129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7D"/>
    <w:rsid w:val="0000009D"/>
    <w:rsid w:val="0000705E"/>
    <w:rsid w:val="00012BF0"/>
    <w:rsid w:val="00013000"/>
    <w:rsid w:val="00014FF0"/>
    <w:rsid w:val="00015360"/>
    <w:rsid w:val="000268D8"/>
    <w:rsid w:val="000334EF"/>
    <w:rsid w:val="000337A4"/>
    <w:rsid w:val="00043926"/>
    <w:rsid w:val="000449F2"/>
    <w:rsid w:val="000451EC"/>
    <w:rsid w:val="00045587"/>
    <w:rsid w:val="000475F8"/>
    <w:rsid w:val="00047726"/>
    <w:rsid w:val="00052BCD"/>
    <w:rsid w:val="00064F54"/>
    <w:rsid w:val="0006543B"/>
    <w:rsid w:val="000658F1"/>
    <w:rsid w:val="000663FE"/>
    <w:rsid w:val="0007271C"/>
    <w:rsid w:val="00073B4C"/>
    <w:rsid w:val="00074A3F"/>
    <w:rsid w:val="000759CF"/>
    <w:rsid w:val="00075D74"/>
    <w:rsid w:val="00081647"/>
    <w:rsid w:val="00085C39"/>
    <w:rsid w:val="00086C0D"/>
    <w:rsid w:val="00087002"/>
    <w:rsid w:val="00091841"/>
    <w:rsid w:val="00092F22"/>
    <w:rsid w:val="00093A2C"/>
    <w:rsid w:val="00095FE8"/>
    <w:rsid w:val="000A255C"/>
    <w:rsid w:val="000A2813"/>
    <w:rsid w:val="000B047E"/>
    <w:rsid w:val="000C4629"/>
    <w:rsid w:val="000E7436"/>
    <w:rsid w:val="00105EB8"/>
    <w:rsid w:val="0010770F"/>
    <w:rsid w:val="00110581"/>
    <w:rsid w:val="001143D7"/>
    <w:rsid w:val="001206AF"/>
    <w:rsid w:val="00122491"/>
    <w:rsid w:val="00122D0D"/>
    <w:rsid w:val="001321C7"/>
    <w:rsid w:val="00136E72"/>
    <w:rsid w:val="001401E1"/>
    <w:rsid w:val="00141A0D"/>
    <w:rsid w:val="00153CE5"/>
    <w:rsid w:val="00186CAC"/>
    <w:rsid w:val="001A2A5D"/>
    <w:rsid w:val="001A4188"/>
    <w:rsid w:val="001C09A2"/>
    <w:rsid w:val="001C1055"/>
    <w:rsid w:val="001E3348"/>
    <w:rsid w:val="001E33C3"/>
    <w:rsid w:val="001F14B6"/>
    <w:rsid w:val="001F6437"/>
    <w:rsid w:val="00200501"/>
    <w:rsid w:val="00203F7A"/>
    <w:rsid w:val="0020559F"/>
    <w:rsid w:val="00212ECF"/>
    <w:rsid w:val="00223FDE"/>
    <w:rsid w:val="00235EF5"/>
    <w:rsid w:val="0025041E"/>
    <w:rsid w:val="0025361D"/>
    <w:rsid w:val="00254609"/>
    <w:rsid w:val="0027269F"/>
    <w:rsid w:val="00272918"/>
    <w:rsid w:val="0027604C"/>
    <w:rsid w:val="00282BAF"/>
    <w:rsid w:val="00286337"/>
    <w:rsid w:val="00286B87"/>
    <w:rsid w:val="002927F8"/>
    <w:rsid w:val="00292BFE"/>
    <w:rsid w:val="0029417A"/>
    <w:rsid w:val="00297891"/>
    <w:rsid w:val="002A1667"/>
    <w:rsid w:val="002A30B4"/>
    <w:rsid w:val="002A7FB4"/>
    <w:rsid w:val="002B76C0"/>
    <w:rsid w:val="002D2501"/>
    <w:rsid w:val="002E67DA"/>
    <w:rsid w:val="002F0852"/>
    <w:rsid w:val="002F132E"/>
    <w:rsid w:val="002F7418"/>
    <w:rsid w:val="00303E0E"/>
    <w:rsid w:val="00331CBF"/>
    <w:rsid w:val="00332594"/>
    <w:rsid w:val="00341C26"/>
    <w:rsid w:val="003442F9"/>
    <w:rsid w:val="00350B95"/>
    <w:rsid w:val="00353730"/>
    <w:rsid w:val="003541AD"/>
    <w:rsid w:val="00367190"/>
    <w:rsid w:val="0037683D"/>
    <w:rsid w:val="00394FE9"/>
    <w:rsid w:val="0039706E"/>
    <w:rsid w:val="003B147C"/>
    <w:rsid w:val="003B7493"/>
    <w:rsid w:val="003C25B9"/>
    <w:rsid w:val="003C6672"/>
    <w:rsid w:val="003D1031"/>
    <w:rsid w:val="003D1DB1"/>
    <w:rsid w:val="003F4F29"/>
    <w:rsid w:val="004021A2"/>
    <w:rsid w:val="004028C0"/>
    <w:rsid w:val="004077D2"/>
    <w:rsid w:val="004125FF"/>
    <w:rsid w:val="00413D11"/>
    <w:rsid w:val="00413DE3"/>
    <w:rsid w:val="004201AC"/>
    <w:rsid w:val="00425AE3"/>
    <w:rsid w:val="00427D26"/>
    <w:rsid w:val="004336C1"/>
    <w:rsid w:val="00434F07"/>
    <w:rsid w:val="00436C16"/>
    <w:rsid w:val="00441C3F"/>
    <w:rsid w:val="004505BA"/>
    <w:rsid w:val="004553CA"/>
    <w:rsid w:val="00456400"/>
    <w:rsid w:val="004609D5"/>
    <w:rsid w:val="0047002A"/>
    <w:rsid w:val="004713C3"/>
    <w:rsid w:val="00472C4C"/>
    <w:rsid w:val="00475151"/>
    <w:rsid w:val="0047651D"/>
    <w:rsid w:val="00486A01"/>
    <w:rsid w:val="00497FD4"/>
    <w:rsid w:val="004A250F"/>
    <w:rsid w:val="004A318E"/>
    <w:rsid w:val="004A548B"/>
    <w:rsid w:val="004A6634"/>
    <w:rsid w:val="004A7936"/>
    <w:rsid w:val="004B5355"/>
    <w:rsid w:val="004C2426"/>
    <w:rsid w:val="004E669D"/>
    <w:rsid w:val="004E7B69"/>
    <w:rsid w:val="004F3BE5"/>
    <w:rsid w:val="004F5ECD"/>
    <w:rsid w:val="004F6D6B"/>
    <w:rsid w:val="0050296F"/>
    <w:rsid w:val="005061BC"/>
    <w:rsid w:val="005073BA"/>
    <w:rsid w:val="005133B9"/>
    <w:rsid w:val="00522584"/>
    <w:rsid w:val="00523181"/>
    <w:rsid w:val="005253C8"/>
    <w:rsid w:val="005275B2"/>
    <w:rsid w:val="005275F5"/>
    <w:rsid w:val="00547039"/>
    <w:rsid w:val="005472AE"/>
    <w:rsid w:val="00556730"/>
    <w:rsid w:val="005570DA"/>
    <w:rsid w:val="005575CC"/>
    <w:rsid w:val="00563F7A"/>
    <w:rsid w:val="005705FF"/>
    <w:rsid w:val="00570A6D"/>
    <w:rsid w:val="00572D0D"/>
    <w:rsid w:val="00572F09"/>
    <w:rsid w:val="005833A0"/>
    <w:rsid w:val="00586344"/>
    <w:rsid w:val="00586F6E"/>
    <w:rsid w:val="00594F5C"/>
    <w:rsid w:val="00596C32"/>
    <w:rsid w:val="005A0B83"/>
    <w:rsid w:val="005A5FEA"/>
    <w:rsid w:val="005C074D"/>
    <w:rsid w:val="005D03C7"/>
    <w:rsid w:val="005E10BB"/>
    <w:rsid w:val="005E72F3"/>
    <w:rsid w:val="005F0440"/>
    <w:rsid w:val="005F1639"/>
    <w:rsid w:val="005F5CE3"/>
    <w:rsid w:val="00607A3F"/>
    <w:rsid w:val="00612618"/>
    <w:rsid w:val="0062346F"/>
    <w:rsid w:val="00627DEF"/>
    <w:rsid w:val="00632F2C"/>
    <w:rsid w:val="00636447"/>
    <w:rsid w:val="006465CD"/>
    <w:rsid w:val="006505D8"/>
    <w:rsid w:val="0065396A"/>
    <w:rsid w:val="0065591F"/>
    <w:rsid w:val="00660EC5"/>
    <w:rsid w:val="0066155F"/>
    <w:rsid w:val="00671403"/>
    <w:rsid w:val="0067242A"/>
    <w:rsid w:val="00672560"/>
    <w:rsid w:val="00673749"/>
    <w:rsid w:val="00674E00"/>
    <w:rsid w:val="00676FF5"/>
    <w:rsid w:val="006775D3"/>
    <w:rsid w:val="00680BEC"/>
    <w:rsid w:val="006827EB"/>
    <w:rsid w:val="006860EB"/>
    <w:rsid w:val="00695E7E"/>
    <w:rsid w:val="00696270"/>
    <w:rsid w:val="006B5B66"/>
    <w:rsid w:val="006B7BFC"/>
    <w:rsid w:val="006B7E27"/>
    <w:rsid w:val="006C36C7"/>
    <w:rsid w:val="006D01A9"/>
    <w:rsid w:val="006E1C50"/>
    <w:rsid w:val="006E47C5"/>
    <w:rsid w:val="006E6D0C"/>
    <w:rsid w:val="006F7B8F"/>
    <w:rsid w:val="00705994"/>
    <w:rsid w:val="00714F83"/>
    <w:rsid w:val="00732D33"/>
    <w:rsid w:val="00736A23"/>
    <w:rsid w:val="00742241"/>
    <w:rsid w:val="00744D76"/>
    <w:rsid w:val="007453DD"/>
    <w:rsid w:val="00767670"/>
    <w:rsid w:val="00771BFC"/>
    <w:rsid w:val="00776349"/>
    <w:rsid w:val="00776570"/>
    <w:rsid w:val="007849D3"/>
    <w:rsid w:val="007961FA"/>
    <w:rsid w:val="007B12E8"/>
    <w:rsid w:val="007B249C"/>
    <w:rsid w:val="007C2F02"/>
    <w:rsid w:val="007D0046"/>
    <w:rsid w:val="007E7587"/>
    <w:rsid w:val="007F1DE7"/>
    <w:rsid w:val="007F2071"/>
    <w:rsid w:val="007F5367"/>
    <w:rsid w:val="007F5999"/>
    <w:rsid w:val="008017B5"/>
    <w:rsid w:val="00810492"/>
    <w:rsid w:val="0081165B"/>
    <w:rsid w:val="00814584"/>
    <w:rsid w:val="008154FB"/>
    <w:rsid w:val="008237B9"/>
    <w:rsid w:val="00832E90"/>
    <w:rsid w:val="00833EEE"/>
    <w:rsid w:val="008358F9"/>
    <w:rsid w:val="00837135"/>
    <w:rsid w:val="00863FB6"/>
    <w:rsid w:val="00867BDF"/>
    <w:rsid w:val="00874F00"/>
    <w:rsid w:val="00877036"/>
    <w:rsid w:val="008774EC"/>
    <w:rsid w:val="00884966"/>
    <w:rsid w:val="008925A2"/>
    <w:rsid w:val="008C6FA6"/>
    <w:rsid w:val="008C71F1"/>
    <w:rsid w:val="008E1D62"/>
    <w:rsid w:val="008F4FF5"/>
    <w:rsid w:val="00904BEE"/>
    <w:rsid w:val="009070BD"/>
    <w:rsid w:val="009134EB"/>
    <w:rsid w:val="0091444B"/>
    <w:rsid w:val="0091752B"/>
    <w:rsid w:val="0092237D"/>
    <w:rsid w:val="00924435"/>
    <w:rsid w:val="00926EB9"/>
    <w:rsid w:val="00932E5F"/>
    <w:rsid w:val="00936804"/>
    <w:rsid w:val="00942DDA"/>
    <w:rsid w:val="00944EB3"/>
    <w:rsid w:val="00954D7E"/>
    <w:rsid w:val="009653FE"/>
    <w:rsid w:val="00965FBA"/>
    <w:rsid w:val="00973626"/>
    <w:rsid w:val="0097367F"/>
    <w:rsid w:val="009740A9"/>
    <w:rsid w:val="0098159B"/>
    <w:rsid w:val="00983B16"/>
    <w:rsid w:val="009911D5"/>
    <w:rsid w:val="0099677F"/>
    <w:rsid w:val="009A119B"/>
    <w:rsid w:val="009B3DF3"/>
    <w:rsid w:val="009C44D7"/>
    <w:rsid w:val="009D3C47"/>
    <w:rsid w:val="009D6650"/>
    <w:rsid w:val="009E082B"/>
    <w:rsid w:val="009F5144"/>
    <w:rsid w:val="00A0241C"/>
    <w:rsid w:val="00A176DB"/>
    <w:rsid w:val="00A26D2E"/>
    <w:rsid w:val="00A31E7C"/>
    <w:rsid w:val="00A4167C"/>
    <w:rsid w:val="00A4449F"/>
    <w:rsid w:val="00A50467"/>
    <w:rsid w:val="00A53551"/>
    <w:rsid w:val="00A611DC"/>
    <w:rsid w:val="00A72FF8"/>
    <w:rsid w:val="00AA13B6"/>
    <w:rsid w:val="00AA6038"/>
    <w:rsid w:val="00AB6E6D"/>
    <w:rsid w:val="00AC04C6"/>
    <w:rsid w:val="00AC461F"/>
    <w:rsid w:val="00AC7283"/>
    <w:rsid w:val="00AC74FC"/>
    <w:rsid w:val="00AD24FB"/>
    <w:rsid w:val="00AD7F2C"/>
    <w:rsid w:val="00AE0891"/>
    <w:rsid w:val="00AE193A"/>
    <w:rsid w:val="00AF291F"/>
    <w:rsid w:val="00B13E6F"/>
    <w:rsid w:val="00B21D00"/>
    <w:rsid w:val="00B24EBB"/>
    <w:rsid w:val="00B36836"/>
    <w:rsid w:val="00B50AF0"/>
    <w:rsid w:val="00B5205E"/>
    <w:rsid w:val="00B53BEE"/>
    <w:rsid w:val="00B53C63"/>
    <w:rsid w:val="00B54CFD"/>
    <w:rsid w:val="00B70AE0"/>
    <w:rsid w:val="00B74A6F"/>
    <w:rsid w:val="00B821A8"/>
    <w:rsid w:val="00B87939"/>
    <w:rsid w:val="00B93B5F"/>
    <w:rsid w:val="00BA0842"/>
    <w:rsid w:val="00BC6F16"/>
    <w:rsid w:val="00BD298F"/>
    <w:rsid w:val="00BF1B7E"/>
    <w:rsid w:val="00BF441B"/>
    <w:rsid w:val="00C01489"/>
    <w:rsid w:val="00C04BE5"/>
    <w:rsid w:val="00C13889"/>
    <w:rsid w:val="00C1695F"/>
    <w:rsid w:val="00C22633"/>
    <w:rsid w:val="00C43CF0"/>
    <w:rsid w:val="00C52F7D"/>
    <w:rsid w:val="00C54DAF"/>
    <w:rsid w:val="00C554D9"/>
    <w:rsid w:val="00C55667"/>
    <w:rsid w:val="00C56160"/>
    <w:rsid w:val="00C64AA9"/>
    <w:rsid w:val="00C67335"/>
    <w:rsid w:val="00C875C8"/>
    <w:rsid w:val="00C933FD"/>
    <w:rsid w:val="00C94A8C"/>
    <w:rsid w:val="00CA09D0"/>
    <w:rsid w:val="00CA0D11"/>
    <w:rsid w:val="00CA5D83"/>
    <w:rsid w:val="00CB0CD2"/>
    <w:rsid w:val="00CB68ED"/>
    <w:rsid w:val="00CB7246"/>
    <w:rsid w:val="00CC4229"/>
    <w:rsid w:val="00CD0912"/>
    <w:rsid w:val="00CD39AC"/>
    <w:rsid w:val="00CD4BAC"/>
    <w:rsid w:val="00CD7E61"/>
    <w:rsid w:val="00CE2620"/>
    <w:rsid w:val="00CE50D4"/>
    <w:rsid w:val="00CE6AE7"/>
    <w:rsid w:val="00CF1A3A"/>
    <w:rsid w:val="00D010F5"/>
    <w:rsid w:val="00D05FB2"/>
    <w:rsid w:val="00D06C61"/>
    <w:rsid w:val="00D07E55"/>
    <w:rsid w:val="00D12CC3"/>
    <w:rsid w:val="00D2253C"/>
    <w:rsid w:val="00D22C37"/>
    <w:rsid w:val="00D22FDF"/>
    <w:rsid w:val="00D27D14"/>
    <w:rsid w:val="00D47A27"/>
    <w:rsid w:val="00D5417A"/>
    <w:rsid w:val="00D628BA"/>
    <w:rsid w:val="00D65CE3"/>
    <w:rsid w:val="00D74657"/>
    <w:rsid w:val="00D85C6F"/>
    <w:rsid w:val="00D95166"/>
    <w:rsid w:val="00D967B5"/>
    <w:rsid w:val="00DA1744"/>
    <w:rsid w:val="00DA4156"/>
    <w:rsid w:val="00DA6256"/>
    <w:rsid w:val="00DC0585"/>
    <w:rsid w:val="00DC0D0E"/>
    <w:rsid w:val="00DC45F8"/>
    <w:rsid w:val="00DC60A4"/>
    <w:rsid w:val="00DE0752"/>
    <w:rsid w:val="00DE2A96"/>
    <w:rsid w:val="00DE2F7F"/>
    <w:rsid w:val="00DE3602"/>
    <w:rsid w:val="00DF76DB"/>
    <w:rsid w:val="00E0136A"/>
    <w:rsid w:val="00E027C2"/>
    <w:rsid w:val="00E02851"/>
    <w:rsid w:val="00E04EFD"/>
    <w:rsid w:val="00E206DF"/>
    <w:rsid w:val="00E21382"/>
    <w:rsid w:val="00E229C6"/>
    <w:rsid w:val="00E30D35"/>
    <w:rsid w:val="00E353D2"/>
    <w:rsid w:val="00E41E0A"/>
    <w:rsid w:val="00E50620"/>
    <w:rsid w:val="00E5777C"/>
    <w:rsid w:val="00E61D6A"/>
    <w:rsid w:val="00E6290C"/>
    <w:rsid w:val="00E73CAE"/>
    <w:rsid w:val="00E82C8E"/>
    <w:rsid w:val="00E9018A"/>
    <w:rsid w:val="00EB0C97"/>
    <w:rsid w:val="00EB116E"/>
    <w:rsid w:val="00EB1D5F"/>
    <w:rsid w:val="00EB2368"/>
    <w:rsid w:val="00EB3DB2"/>
    <w:rsid w:val="00ED0D47"/>
    <w:rsid w:val="00ED1683"/>
    <w:rsid w:val="00ED2518"/>
    <w:rsid w:val="00ED41E6"/>
    <w:rsid w:val="00ED6B97"/>
    <w:rsid w:val="00EE1161"/>
    <w:rsid w:val="00F00207"/>
    <w:rsid w:val="00F11376"/>
    <w:rsid w:val="00F25DB0"/>
    <w:rsid w:val="00F3229D"/>
    <w:rsid w:val="00F34A2C"/>
    <w:rsid w:val="00F438FC"/>
    <w:rsid w:val="00F46D95"/>
    <w:rsid w:val="00F5225B"/>
    <w:rsid w:val="00F56A93"/>
    <w:rsid w:val="00F5720A"/>
    <w:rsid w:val="00F649EC"/>
    <w:rsid w:val="00F71B42"/>
    <w:rsid w:val="00F92A5A"/>
    <w:rsid w:val="00F94891"/>
    <w:rsid w:val="00F95B8C"/>
    <w:rsid w:val="00F96F1D"/>
    <w:rsid w:val="00FC5910"/>
    <w:rsid w:val="00FD3133"/>
    <w:rsid w:val="00FD347A"/>
    <w:rsid w:val="00FD61E4"/>
    <w:rsid w:val="00FE1157"/>
    <w:rsid w:val="00FF1FD5"/>
    <w:rsid w:val="00FF25F1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8280"/>
  <w15:docId w15:val="{D5CCCDDD-338E-4CF2-8551-8622E184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3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3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3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3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3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3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3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3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3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3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3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3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3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3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3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3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37D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List Paragraph2,Text,References,سرد الفقرات,Bullets,Liste 1,Numbered List Paragraph,ReferencesCxSpLast,Medium Grid 1 - Accent 21,List Paragraph nowy,Paragraphe  revu,Paragraphe de liste1"/>
    <w:basedOn w:val="Normal"/>
    <w:link w:val="ListParagraphChar"/>
    <w:uiPriority w:val="34"/>
    <w:qFormat/>
    <w:rsid w:val="00922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3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3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37D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76FF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5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5F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F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Citation List Char,본문(내용) Char,List Paragraph (numbered (a)) Char,List Paragraph2 Char,Text Char,References Char,سرد الفقرات Char,Bullets Char,Liste 1 Char,Numbered List Paragraph Char,ReferencesCxSpLast Char,List Paragraph nowy Char"/>
    <w:basedOn w:val="DefaultParagraphFont"/>
    <w:link w:val="ListParagraph"/>
    <w:uiPriority w:val="34"/>
    <w:qFormat/>
    <w:rsid w:val="002863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074A3F"/>
    <w:pPr>
      <w:spacing w:after="0" w:line="240" w:lineRule="auto"/>
      <w:ind w:left="10" w:right="2" w:hanging="10"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4A3F"/>
    <w:rPr>
      <w:rFonts w:ascii="Calibri" w:eastAsia="Calibri" w:hAnsi="Calibri" w:cs="Calibri"/>
      <w:color w:val="000000"/>
      <w:szCs w:val="22"/>
      <w:lang w:val="en-US"/>
    </w:rPr>
  </w:style>
  <w:style w:type="table" w:styleId="TableGrid0">
    <w:name w:val="Table Grid"/>
    <w:basedOn w:val="TableNormal"/>
    <w:rsid w:val="0045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51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F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6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C0D"/>
  </w:style>
  <w:style w:type="character" w:customStyle="1" w:styleId="CommentTextChar">
    <w:name w:val="Comment Text Char"/>
    <w:basedOn w:val="DefaultParagraphFont"/>
    <w:link w:val="CommentText"/>
    <w:uiPriority w:val="99"/>
    <w:rsid w:val="00086C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0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37ce88-fc14-4d5e-bf3d-9c5506f6a666" xsi:nil="true"/>
  </documentManagement>
</p:properties>
</file>

<file path=customXml/item2.xml><?xml version="1.0" encoding="utf-8"?>
<GTBClassification>
  <attrValue xml:space="preserve">Internal</attrValue>
  <customPropName>Classification</customPropName>
  <timestamp>28/05/2024 10:03:41</timestamp>
  <userName>CENBANK\ABDULLAHI18367</userName>
  <computerName>FPRDLTP18367A.cenbank.net</computerName>
  <guid>{549b3c22-e324-446e-aa2a-39a29a0c7d4c}</guid>
</GTBClassific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39E64D621E341B809B16774EA45F9" ma:contentTypeVersion="16" ma:contentTypeDescription="Create a new document." ma:contentTypeScope="" ma:versionID="dd5768f519319c79ae1de117ab8e7f34">
  <xsd:schema xmlns:xsd="http://www.w3.org/2001/XMLSchema" xmlns:xs="http://www.w3.org/2001/XMLSchema" xmlns:p="http://schemas.microsoft.com/office/2006/metadata/properties" xmlns:ns3="9b37ce88-fc14-4d5e-bf3d-9c5506f6a666" xmlns:ns4="c6c21e4c-6a42-4ec3-ba24-636c8ca39207" targetNamespace="http://schemas.microsoft.com/office/2006/metadata/properties" ma:root="true" ma:fieldsID="94d18c9a2253046f8b2f8212071b076e" ns3:_="" ns4:_="">
    <xsd:import namespace="9b37ce88-fc14-4d5e-bf3d-9c5506f6a666"/>
    <xsd:import namespace="c6c21e4c-6a42-4ec3-ba24-636c8ca392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7ce88-fc14-4d5e-bf3d-9c5506f6a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21e4c-6a42-4ec3-ba24-636c8ca3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1B9A9-D176-4B0F-BB9B-2EEB5B42C8A9}">
  <ds:schemaRefs>
    <ds:schemaRef ds:uri="http://schemas.microsoft.com/office/2006/metadata/properties"/>
    <ds:schemaRef ds:uri="http://schemas.microsoft.com/office/infopath/2007/PartnerControls"/>
    <ds:schemaRef ds:uri="9b37ce88-fc14-4d5e-bf3d-9c5506f6a666"/>
  </ds:schemaRefs>
</ds:datastoreItem>
</file>

<file path=customXml/itemProps2.xml><?xml version="1.0" encoding="utf-8"?>
<ds:datastoreItem xmlns:ds="http://schemas.openxmlformats.org/officeDocument/2006/customXml" ds:itemID="{126C93A3-3CA2-48CE-9151-E8B6FB049A92}">
  <ds:schemaRefs/>
</ds:datastoreItem>
</file>

<file path=customXml/itemProps3.xml><?xml version="1.0" encoding="utf-8"?>
<ds:datastoreItem xmlns:ds="http://schemas.openxmlformats.org/officeDocument/2006/customXml" ds:itemID="{16AA8611-5844-45A1-A1B5-BD97B43866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9225DB-95B0-4502-B4B9-E576377C72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3F1FAE-3371-41E6-9BB8-DFF445E4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7ce88-fc14-4d5e-bf3d-9c5506f6a666"/>
    <ds:schemaRef ds:uri="c6c21e4c-6a42-4ec3-ba24-636c8ca3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ISAH, YA'U</dc:creator>
  <cp:keywords>ClassificationData:&lt;Classification:Internal&gt;</cp:keywords>
  <dc:description/>
  <cp:lastModifiedBy>Mehmet Eken</cp:lastModifiedBy>
  <cp:revision>20</cp:revision>
  <dcterms:created xsi:type="dcterms:W3CDTF">2024-06-20T10:48:00Z</dcterms:created>
  <dcterms:modified xsi:type="dcterms:W3CDTF">2024-11-11T11:30:00Z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ClassifiedBy">
    <vt:lpwstr>CENBANK\ABDULLAHI18367</vt:lpwstr>
  </property>
  <property fmtid="{D5CDD505-2E9C-101B-9397-08002B2CF9AE}" pid="4" name="ClassificationHost">
    <vt:lpwstr>FPRDLTP18367A.cenbank.net</vt:lpwstr>
  </property>
  <property fmtid="{D5CDD505-2E9C-101B-9397-08002B2CF9AE}" pid="5" name="ClassificationDate">
    <vt:lpwstr>28/05/2024 10:03:41</vt:lpwstr>
  </property>
  <property fmtid="{D5CDD505-2E9C-101B-9397-08002B2CF9AE}" pid="6" name="ClassificationGUID">
    <vt:lpwstr>{549b3c22-e324-446e-aa2a-39a29a0c7d4c}</vt:lpwstr>
  </property>
  <property fmtid="{D5CDD505-2E9C-101B-9397-08002B2CF9AE}" pid="7" name="ContentTypeId">
    <vt:lpwstr>0x010100AA339E64D621E341B809B16774EA45F9</vt:lpwstr>
  </property>
</Properties>
</file>