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AE89" w14:textId="77777777" w:rsidR="000312F1" w:rsidRDefault="000312F1" w:rsidP="000312F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38B8AB8" w14:textId="77777777" w:rsidR="000312F1" w:rsidRDefault="000312F1" w:rsidP="000312F1">
      <w:pPr>
        <w:suppressAutoHyphens/>
        <w:rPr>
          <w:rFonts w:ascii="Times New Roman" w:hAnsi="Times New Roman"/>
          <w:spacing w:val="-2"/>
        </w:rPr>
      </w:pPr>
    </w:p>
    <w:p w14:paraId="4B55A396" w14:textId="6F1F34E3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Country: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FF7906" w:rsidRPr="00AA346D">
        <w:rPr>
          <w:rFonts w:ascii="Times New Roman" w:hAnsi="Times New Roman"/>
          <w:spacing w:val="-2"/>
          <w:sz w:val="24"/>
        </w:rPr>
        <w:t>Nigeria</w:t>
      </w:r>
    </w:p>
    <w:p w14:paraId="2F719D51" w14:textId="4C98B7A0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Project Name: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6772BE" w:rsidRPr="00AA346D">
        <w:rPr>
          <w:rFonts w:ascii="Times New Roman" w:hAnsi="Times New Roman"/>
          <w:spacing w:val="-2"/>
          <w:sz w:val="24"/>
        </w:rPr>
        <w:t>Islamic Finance Grant on the Enhancement of the Regulatory and Supervisory Capacity of the Central Bank of Nigeria</w:t>
      </w:r>
    </w:p>
    <w:p w14:paraId="34ACEE83" w14:textId="58F4C033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Sector: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FB0415" w:rsidRPr="00AA346D">
        <w:rPr>
          <w:rFonts w:ascii="Times New Roman" w:hAnsi="Times New Roman"/>
          <w:spacing w:val="-2"/>
          <w:sz w:val="24"/>
        </w:rPr>
        <w:t>Islamic Finance / Islamic Social Finance</w:t>
      </w:r>
    </w:p>
    <w:p w14:paraId="6946F95E" w14:textId="796F8992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Mode of Financing: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FB0415" w:rsidRPr="00AA346D">
        <w:rPr>
          <w:rFonts w:ascii="Times New Roman" w:hAnsi="Times New Roman"/>
          <w:spacing w:val="-2"/>
          <w:sz w:val="24"/>
        </w:rPr>
        <w:t>Islamic Finance Grant</w:t>
      </w:r>
    </w:p>
    <w:p w14:paraId="62D98CEC" w14:textId="46B159A7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Financing No:</w:t>
      </w:r>
      <w:r w:rsidRPr="00AA346D">
        <w:rPr>
          <w:rFonts w:ascii="Times New Roman" w:hAnsi="Times New Roman"/>
          <w:spacing w:val="-2"/>
          <w:sz w:val="24"/>
        </w:rPr>
        <w:t xml:space="preserve">  </w:t>
      </w:r>
      <w:r w:rsidR="00FF7906" w:rsidRPr="00AA346D">
        <w:rPr>
          <w:rFonts w:ascii="Times New Roman" w:hAnsi="Times New Roman"/>
          <w:spacing w:val="-2"/>
          <w:sz w:val="24"/>
        </w:rPr>
        <w:t>NGA1020</w:t>
      </w:r>
    </w:p>
    <w:p w14:paraId="4F002AA7" w14:textId="77777777" w:rsidR="000312F1" w:rsidRPr="00B96F14" w:rsidRDefault="000312F1" w:rsidP="000312F1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471183E" w14:textId="71EF5403" w:rsidR="000312F1" w:rsidRDefault="000B1AC5" w:rsidP="00C534F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Islamic Development Bank Institute has initiated a grant project </w:t>
      </w:r>
      <w:proofErr w:type="gramStart"/>
      <w:r>
        <w:rPr>
          <w:rFonts w:ascii="Times New Roman" w:hAnsi="Times New Roman"/>
          <w:spacing w:val="-2"/>
          <w:sz w:val="24"/>
        </w:rPr>
        <w:t>for</w:t>
      </w:r>
      <w:r w:rsidR="000312F1" w:rsidRPr="00B96F14">
        <w:rPr>
          <w:rFonts w:ascii="Times New Roman" w:hAnsi="Times New Roman"/>
          <w:spacing w:val="-2"/>
          <w:sz w:val="24"/>
        </w:rPr>
        <w:t xml:space="preserve"> the amount of</w:t>
      </w:r>
      <w:proofErr w:type="gramEnd"/>
      <w:r w:rsidR="000312F1" w:rsidRPr="00B96F14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 xml:space="preserve">ID </w:t>
      </w:r>
      <w:r w:rsidR="00FF7906" w:rsidRPr="00FF7906">
        <w:rPr>
          <w:rFonts w:ascii="Times New Roman" w:hAnsi="Times New Roman"/>
          <w:spacing w:val="-2"/>
          <w:sz w:val="24"/>
        </w:rPr>
        <w:t xml:space="preserve">114,136 </w:t>
      </w:r>
      <w:r w:rsidR="000312F1">
        <w:rPr>
          <w:rFonts w:ascii="Times New Roman" w:hAnsi="Times New Roman"/>
          <w:spacing w:val="-2"/>
          <w:sz w:val="24"/>
        </w:rPr>
        <w:t>(Islamic Dinar One Hundred and Four</w:t>
      </w:r>
      <w:r w:rsidR="00FF7906">
        <w:rPr>
          <w:rFonts w:ascii="Times New Roman" w:hAnsi="Times New Roman"/>
          <w:spacing w:val="-2"/>
          <w:sz w:val="24"/>
        </w:rPr>
        <w:t>-Teen</w:t>
      </w:r>
      <w:r w:rsidR="000312F1">
        <w:rPr>
          <w:rFonts w:ascii="Times New Roman" w:hAnsi="Times New Roman"/>
          <w:spacing w:val="-2"/>
          <w:sz w:val="24"/>
        </w:rPr>
        <w:t xml:space="preserve"> Thousand </w:t>
      </w:r>
      <w:r w:rsidR="00FF7906">
        <w:rPr>
          <w:rFonts w:ascii="Times New Roman" w:hAnsi="Times New Roman"/>
          <w:spacing w:val="-2"/>
          <w:sz w:val="24"/>
        </w:rPr>
        <w:t xml:space="preserve">One </w:t>
      </w:r>
      <w:r w:rsidR="000312F1">
        <w:rPr>
          <w:rFonts w:ascii="Times New Roman" w:hAnsi="Times New Roman"/>
          <w:spacing w:val="-2"/>
          <w:sz w:val="24"/>
        </w:rPr>
        <w:t xml:space="preserve">Hundred and </w:t>
      </w:r>
      <w:r w:rsidR="00FF7906">
        <w:rPr>
          <w:rFonts w:ascii="Times New Roman" w:hAnsi="Times New Roman"/>
          <w:spacing w:val="-2"/>
          <w:sz w:val="24"/>
        </w:rPr>
        <w:t>Thirty</w:t>
      </w:r>
      <w:r w:rsidR="000312F1">
        <w:rPr>
          <w:rFonts w:ascii="Times New Roman" w:hAnsi="Times New Roman"/>
          <w:spacing w:val="-2"/>
          <w:sz w:val="24"/>
        </w:rPr>
        <w:t>-</w:t>
      </w:r>
      <w:r w:rsidR="00FF7906">
        <w:rPr>
          <w:rFonts w:ascii="Times New Roman" w:hAnsi="Times New Roman"/>
          <w:spacing w:val="-2"/>
          <w:sz w:val="24"/>
        </w:rPr>
        <w:t>Six</w:t>
      </w:r>
      <w:r w:rsidR="000312F1">
        <w:rPr>
          <w:rFonts w:ascii="Times New Roman" w:hAnsi="Times New Roman"/>
          <w:spacing w:val="-2"/>
          <w:sz w:val="24"/>
        </w:rPr>
        <w:t xml:space="preserve">), approximately USD </w:t>
      </w:r>
      <w:r w:rsidR="00FF7906">
        <w:rPr>
          <w:rFonts w:ascii="Times New Roman" w:hAnsi="Times New Roman"/>
          <w:spacing w:val="-2"/>
          <w:sz w:val="24"/>
        </w:rPr>
        <w:t>15</w:t>
      </w:r>
      <w:r w:rsidR="000312F1">
        <w:rPr>
          <w:rFonts w:ascii="Times New Roman" w:hAnsi="Times New Roman"/>
          <w:spacing w:val="-2"/>
          <w:sz w:val="24"/>
        </w:rPr>
        <w:t xml:space="preserve">0,000 (United States Dollar </w:t>
      </w:r>
      <w:r w:rsidR="00FF7906">
        <w:rPr>
          <w:rFonts w:ascii="Times New Roman" w:hAnsi="Times New Roman"/>
          <w:spacing w:val="-2"/>
          <w:sz w:val="24"/>
        </w:rPr>
        <w:t xml:space="preserve">One </w:t>
      </w:r>
      <w:r w:rsidR="000312F1">
        <w:rPr>
          <w:rFonts w:ascii="Times New Roman" w:hAnsi="Times New Roman"/>
          <w:spacing w:val="-2"/>
          <w:sz w:val="24"/>
        </w:rPr>
        <w:t xml:space="preserve">Hundred and </w:t>
      </w:r>
      <w:r w:rsidR="00FF7906">
        <w:rPr>
          <w:rFonts w:ascii="Times New Roman" w:hAnsi="Times New Roman"/>
          <w:spacing w:val="-2"/>
          <w:sz w:val="24"/>
        </w:rPr>
        <w:t xml:space="preserve">Fifty </w:t>
      </w:r>
      <w:r w:rsidR="000312F1">
        <w:rPr>
          <w:rFonts w:ascii="Times New Roman" w:hAnsi="Times New Roman"/>
          <w:spacing w:val="-2"/>
          <w:sz w:val="24"/>
        </w:rPr>
        <w:t xml:space="preserve">Thousand </w:t>
      </w:r>
      <w:r w:rsidR="000312F1" w:rsidRPr="00B96F14">
        <w:rPr>
          <w:rFonts w:ascii="Times New Roman" w:hAnsi="Times New Roman"/>
          <w:spacing w:val="-2"/>
          <w:sz w:val="24"/>
        </w:rPr>
        <w:t>equivalent</w:t>
      </w:r>
      <w:r w:rsidR="000312F1">
        <w:rPr>
          <w:rFonts w:ascii="Times New Roman" w:hAnsi="Times New Roman"/>
          <w:spacing w:val="-2"/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 xml:space="preserve">to </w:t>
      </w:r>
      <w:r w:rsidR="00C534F0" w:rsidRPr="00C534F0">
        <w:rPr>
          <w:rFonts w:ascii="Times New Roman" w:hAnsi="Times New Roman"/>
          <w:spacing w:val="-2"/>
          <w:sz w:val="24"/>
        </w:rPr>
        <w:t>enhance the Regulatory and</w:t>
      </w:r>
      <w:r w:rsidR="00C534F0">
        <w:rPr>
          <w:rFonts w:ascii="Times New Roman" w:hAnsi="Times New Roman"/>
          <w:spacing w:val="-2"/>
          <w:sz w:val="24"/>
        </w:rPr>
        <w:t xml:space="preserve"> </w:t>
      </w:r>
      <w:r w:rsidR="00C534F0" w:rsidRPr="00C534F0">
        <w:rPr>
          <w:rFonts w:ascii="Times New Roman" w:hAnsi="Times New Roman"/>
          <w:spacing w:val="-2"/>
          <w:sz w:val="24"/>
        </w:rPr>
        <w:t xml:space="preserve">Supervisory Capacity of the </w:t>
      </w:r>
      <w:r>
        <w:rPr>
          <w:rFonts w:ascii="Times New Roman" w:hAnsi="Times New Roman"/>
          <w:spacing w:val="-2"/>
          <w:sz w:val="24"/>
        </w:rPr>
        <w:t>Central Bank of Nigeria (CBN)</w:t>
      </w:r>
      <w:r w:rsidR="000312F1">
        <w:rPr>
          <w:rFonts w:ascii="Times New Roman" w:hAnsi="Times New Roman"/>
          <w:spacing w:val="-2"/>
          <w:sz w:val="24"/>
        </w:rPr>
        <w:t>.</w:t>
      </w:r>
    </w:p>
    <w:p w14:paraId="7111322F" w14:textId="77777777" w:rsidR="000B1AC5" w:rsidRDefault="000B1AC5" w:rsidP="00C534F0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E71F3EC" w14:textId="1CE2845E" w:rsidR="000312F1" w:rsidRDefault="000312F1" w:rsidP="000312F1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0312F1">
        <w:rPr>
          <w:rFonts w:ascii="Times New Roman" w:hAnsi="Times New Roman"/>
          <w:b/>
          <w:bCs/>
          <w:spacing w:val="-2"/>
          <w:sz w:val="24"/>
        </w:rPr>
        <w:t>The Project will include the following components:</w:t>
      </w:r>
    </w:p>
    <w:p w14:paraId="4E95F678" w14:textId="52CEE5C4" w:rsidR="000312F1" w:rsidRPr="00C534F0" w:rsidRDefault="00C534F0" w:rsidP="00C534F0">
      <w:pPr>
        <w:spacing w:before="120" w:after="12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>Development of Shari'ah-compliant treasury and liquidity management instruments for non-interest (Islamic) banks with a particular interest in Islamic money market instruments.</w:t>
      </w:r>
    </w:p>
    <w:p w14:paraId="2E11E83A" w14:textId="0006C128" w:rsidR="00C534F0" w:rsidRPr="00C534F0" w:rsidRDefault="00C534F0" w:rsidP="00C534F0">
      <w:pPr>
        <w:pStyle w:val="ListParagraph"/>
        <w:numPr>
          <w:ilvl w:val="0"/>
          <w:numId w:val="5"/>
        </w:numPr>
        <w:suppressAutoHyphens/>
        <w:spacing w:before="120" w:after="120"/>
        <w:contextualSpacing w:val="0"/>
        <w:jc w:val="both"/>
        <w:rPr>
          <w:rFonts w:ascii="Times New Roman" w:hAnsi="Times New Roman"/>
          <w:b/>
          <w:bCs/>
          <w:spacing w:val="-2"/>
          <w:sz w:val="24"/>
        </w:rPr>
      </w:pPr>
      <w:r w:rsidRPr="00C534F0">
        <w:rPr>
          <w:rFonts w:ascii="Times New Roman" w:hAnsi="Times New Roman"/>
          <w:b/>
          <w:bCs/>
          <w:spacing w:val="-2"/>
          <w:sz w:val="24"/>
        </w:rPr>
        <w:t xml:space="preserve">Islamic Money Market Instruments: </w:t>
      </w:r>
    </w:p>
    <w:p w14:paraId="72DA7C68" w14:textId="77777777" w:rsidR="00C534F0" w:rsidRP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Design new Sharia-compliant instruments for managing liquidity in Islamic banks. </w:t>
      </w:r>
    </w:p>
    <w:p w14:paraId="32233C99" w14:textId="77777777" w:rsidR="00C534F0" w:rsidRP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Base these instruments on successful examples from common-law countries. </w:t>
      </w:r>
    </w:p>
    <w:p w14:paraId="4B7EFF65" w14:textId="63C79806" w:rsidR="00C534F0" w:rsidRP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Train Central Bank staff in using these instruments. </w:t>
      </w:r>
    </w:p>
    <w:p w14:paraId="5912D70A" w14:textId="77777777" w:rsidR="00C534F0" w:rsidRPr="00C534F0" w:rsidRDefault="00C534F0" w:rsidP="00C534F0">
      <w:pPr>
        <w:pStyle w:val="ListParagraph"/>
        <w:numPr>
          <w:ilvl w:val="0"/>
          <w:numId w:val="5"/>
        </w:numPr>
        <w:suppressAutoHyphens/>
        <w:spacing w:before="120" w:after="120"/>
        <w:contextualSpacing w:val="0"/>
        <w:jc w:val="both"/>
        <w:rPr>
          <w:rFonts w:ascii="Times New Roman" w:hAnsi="Times New Roman"/>
          <w:b/>
          <w:bCs/>
          <w:spacing w:val="-2"/>
          <w:sz w:val="24"/>
        </w:rPr>
      </w:pPr>
      <w:r w:rsidRPr="00C534F0">
        <w:rPr>
          <w:rFonts w:ascii="Times New Roman" w:hAnsi="Times New Roman"/>
          <w:b/>
          <w:bCs/>
          <w:spacing w:val="-2"/>
          <w:sz w:val="24"/>
        </w:rPr>
        <w:t xml:space="preserve">Sharia Compliance Framework: </w:t>
      </w:r>
    </w:p>
    <w:p w14:paraId="5691C3C5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Create a Sharia compliance and audit manual for the Central Bank. </w:t>
      </w:r>
    </w:p>
    <w:p w14:paraId="5582AB46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Ensure the manual aligns with best practices and leading Islamic finance jurisdictions. </w:t>
      </w:r>
    </w:p>
    <w:p w14:paraId="194D7282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Train Central Bank staff on conducting Sharia audits, including recent industry standards. </w:t>
      </w:r>
    </w:p>
    <w:p w14:paraId="21A7AE38" w14:textId="77777777" w:rsidR="00C534F0" w:rsidRPr="00C534F0" w:rsidRDefault="00C534F0" w:rsidP="00C534F0">
      <w:pPr>
        <w:pStyle w:val="ListParagraph"/>
        <w:numPr>
          <w:ilvl w:val="0"/>
          <w:numId w:val="5"/>
        </w:numPr>
        <w:suppressAutoHyphens/>
        <w:spacing w:before="120" w:after="120"/>
        <w:contextualSpacing w:val="0"/>
        <w:jc w:val="both"/>
        <w:rPr>
          <w:rFonts w:ascii="Times New Roman" w:hAnsi="Times New Roman"/>
          <w:b/>
          <w:bCs/>
          <w:spacing w:val="-2"/>
          <w:sz w:val="24"/>
        </w:rPr>
      </w:pPr>
      <w:r w:rsidRPr="00C534F0">
        <w:rPr>
          <w:rFonts w:ascii="Times New Roman" w:hAnsi="Times New Roman"/>
          <w:b/>
          <w:bCs/>
          <w:spacing w:val="-2"/>
          <w:sz w:val="24"/>
        </w:rPr>
        <w:t xml:space="preserve">Conversion Guidelines for Banks: </w:t>
      </w:r>
    </w:p>
    <w:p w14:paraId="1FA7A895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Refine existing guidelines for converting conventional banks to Islamic banks. </w:t>
      </w:r>
    </w:p>
    <w:p w14:paraId="23FFBA11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Train Central Bank staff on implementing the guidelines and monitoring the process. </w:t>
      </w:r>
    </w:p>
    <w:p w14:paraId="42536143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Help identify and address challenges faced during conversion. </w:t>
      </w:r>
    </w:p>
    <w:p w14:paraId="4DC77939" w14:textId="01216DF4" w:rsidR="00C534F0" w:rsidRPr="00C534F0" w:rsidRDefault="00C534F0" w:rsidP="00C534F0">
      <w:pPr>
        <w:pStyle w:val="ListParagraph"/>
        <w:numPr>
          <w:ilvl w:val="0"/>
          <w:numId w:val="5"/>
        </w:numPr>
        <w:suppressAutoHyphens/>
        <w:spacing w:before="120" w:after="120"/>
        <w:contextualSpacing w:val="0"/>
        <w:jc w:val="both"/>
        <w:rPr>
          <w:rFonts w:ascii="Times New Roman" w:hAnsi="Times New Roman"/>
          <w:b/>
          <w:bCs/>
          <w:spacing w:val="-2"/>
          <w:sz w:val="24"/>
        </w:rPr>
      </w:pPr>
      <w:r w:rsidRPr="00C534F0">
        <w:rPr>
          <w:rFonts w:ascii="Times New Roman" w:hAnsi="Times New Roman"/>
          <w:b/>
          <w:bCs/>
          <w:spacing w:val="-2"/>
          <w:sz w:val="24"/>
        </w:rPr>
        <w:t>Stakeholder</w:t>
      </w:r>
      <w:r w:rsidR="00062CEA">
        <w:rPr>
          <w:rFonts w:ascii="Times New Roman" w:hAnsi="Times New Roman"/>
          <w:b/>
          <w:bCs/>
          <w:spacing w:val="-2"/>
          <w:sz w:val="24"/>
        </w:rPr>
        <w:t>s</w:t>
      </w:r>
      <w:r w:rsidRPr="00C534F0">
        <w:rPr>
          <w:rFonts w:ascii="Times New Roman" w:hAnsi="Times New Roman"/>
          <w:b/>
          <w:bCs/>
          <w:spacing w:val="-2"/>
          <w:sz w:val="24"/>
        </w:rPr>
        <w:t xml:space="preserve"> Training: </w:t>
      </w:r>
    </w:p>
    <w:p w14:paraId="3B16E884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Train industry players on the new liquidity management instruments. </w:t>
      </w:r>
    </w:p>
    <w:p w14:paraId="32F97063" w14:textId="77777777" w:rsid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 xml:space="preserve">Offer training on Sharia audit and compliance practices. </w:t>
      </w:r>
    </w:p>
    <w:p w14:paraId="0A0CDF41" w14:textId="175B2A3C" w:rsidR="00C534F0" w:rsidRPr="00C534F0" w:rsidRDefault="00C534F0" w:rsidP="00C534F0">
      <w:pPr>
        <w:pStyle w:val="ListParagraph"/>
        <w:numPr>
          <w:ilvl w:val="0"/>
          <w:numId w:val="6"/>
        </w:numPr>
        <w:suppressAutoHyphens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C534F0">
        <w:rPr>
          <w:rFonts w:ascii="Times New Roman" w:hAnsi="Times New Roman"/>
          <w:spacing w:val="-2"/>
          <w:sz w:val="24"/>
        </w:rPr>
        <w:t>Provide guidance</w:t>
      </w:r>
      <w:r w:rsidR="00062CEA">
        <w:rPr>
          <w:rFonts w:ascii="Times New Roman" w:hAnsi="Times New Roman"/>
          <w:spacing w:val="-2"/>
          <w:sz w:val="24"/>
        </w:rPr>
        <w:t xml:space="preserve"> to CBN</w:t>
      </w:r>
      <w:r w:rsidRPr="00C534F0">
        <w:rPr>
          <w:rFonts w:ascii="Times New Roman" w:hAnsi="Times New Roman"/>
          <w:spacing w:val="-2"/>
          <w:sz w:val="24"/>
        </w:rPr>
        <w:t xml:space="preserve"> on converting conventional institutions to Islamic banks.</w:t>
      </w:r>
    </w:p>
    <w:p w14:paraId="2C23C3D9" w14:textId="77777777" w:rsidR="00C534F0" w:rsidRDefault="00C534F0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860A0BC" w14:textId="053CA513" w:rsidR="003B3EFF" w:rsidRDefault="003B3EFF" w:rsidP="003B3EF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B3EFF">
        <w:rPr>
          <w:rFonts w:ascii="Times New Roman" w:hAnsi="Times New Roman"/>
          <w:spacing w:val="-2"/>
          <w:sz w:val="24"/>
        </w:rPr>
        <w:t>Consultan</w:t>
      </w:r>
      <w:r>
        <w:rPr>
          <w:rFonts w:ascii="Times New Roman" w:hAnsi="Times New Roman"/>
          <w:spacing w:val="-2"/>
          <w:sz w:val="24"/>
        </w:rPr>
        <w:t>t</w:t>
      </w:r>
      <w:r w:rsidRPr="003B3EFF">
        <w:rPr>
          <w:rFonts w:ascii="Times New Roman" w:hAnsi="Times New Roman"/>
          <w:spacing w:val="-2"/>
          <w:sz w:val="24"/>
        </w:rPr>
        <w:t xml:space="preserve"> Services</w:t>
      </w:r>
      <w:r>
        <w:rPr>
          <w:rFonts w:ascii="Times New Roman" w:hAnsi="Times New Roman"/>
          <w:spacing w:val="-2"/>
          <w:sz w:val="24"/>
        </w:rPr>
        <w:t>:</w:t>
      </w:r>
    </w:p>
    <w:p w14:paraId="618A016E" w14:textId="76F71195" w:rsidR="003B3EFF" w:rsidRPr="006772BE" w:rsidRDefault="003B3EFF" w:rsidP="003B3EFF">
      <w:pPr>
        <w:pStyle w:val="ListParagraph"/>
        <w:numPr>
          <w:ilvl w:val="0"/>
          <w:numId w:val="7"/>
        </w:numPr>
        <w:suppressAutoHyphens/>
        <w:jc w:val="both"/>
        <w:rPr>
          <w:rFonts w:ascii="Times New Roman" w:hAnsi="Times New Roman"/>
          <w:b/>
          <w:bCs/>
          <w:i/>
          <w:iCs/>
          <w:spacing w:val="-2"/>
          <w:sz w:val="24"/>
        </w:rPr>
      </w:pPr>
      <w:r w:rsidRPr="003B3EFF">
        <w:rPr>
          <w:rFonts w:ascii="Times New Roman" w:hAnsi="Times New Roman"/>
          <w:spacing w:val="-2"/>
          <w:sz w:val="24"/>
        </w:rPr>
        <w:t xml:space="preserve">Recruitment of a firm </w:t>
      </w:r>
      <w:r w:rsidRPr="006772BE">
        <w:rPr>
          <w:rFonts w:ascii="Times New Roman" w:hAnsi="Times New Roman"/>
          <w:spacing w:val="-2"/>
          <w:sz w:val="24"/>
        </w:rPr>
        <w:t xml:space="preserve">for </w:t>
      </w:r>
      <w:r w:rsidRPr="003B3EFF">
        <w:rPr>
          <w:rFonts w:ascii="Times New Roman" w:hAnsi="Times New Roman"/>
          <w:spacing w:val="-2"/>
          <w:sz w:val="24"/>
        </w:rPr>
        <w:t xml:space="preserve">Product development, training on shariah audit and conversion of conventional financial institution: </w:t>
      </w:r>
      <w:r w:rsidRPr="006772BE">
        <w:rPr>
          <w:rFonts w:ascii="Times New Roman" w:hAnsi="Times New Roman"/>
          <w:b/>
          <w:bCs/>
          <w:i/>
          <w:iCs/>
          <w:spacing w:val="-2"/>
          <w:sz w:val="24"/>
        </w:rPr>
        <w:t>CQS/</w:t>
      </w:r>
      <w:r w:rsidR="00B73DB7" w:rsidRPr="006772BE">
        <w:rPr>
          <w:rFonts w:ascii="Times New Roman" w:hAnsi="Times New Roman"/>
          <w:b/>
          <w:bCs/>
          <w:i/>
          <w:iCs/>
          <w:spacing w:val="-2"/>
          <w:sz w:val="24"/>
        </w:rPr>
        <w:t>MCs Firms</w:t>
      </w:r>
    </w:p>
    <w:p w14:paraId="1459EECC" w14:textId="0665D532" w:rsidR="003B3EFF" w:rsidRDefault="003B3EFF" w:rsidP="006772BE">
      <w:pPr>
        <w:pStyle w:val="ListParagraph"/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A08028E" w14:textId="77777777" w:rsidR="003B3EFF" w:rsidRPr="006772BE" w:rsidRDefault="003B3EFF" w:rsidP="003B3EF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972895F" w14:textId="28884433" w:rsidR="000312F1" w:rsidRPr="00B96F14" w:rsidRDefault="000312F1" w:rsidP="000312F1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Procurement of contracts financed by the Islamic Development Bank will be conducted through the procedures specified</w:t>
      </w:r>
      <w:r>
        <w:rPr>
          <w:rFonts w:ascii="Times New Roman" w:hAnsi="Times New Roman"/>
          <w:spacing w:val="-2"/>
          <w:sz w:val="24"/>
        </w:rPr>
        <w:t xml:space="preserve"> under</w:t>
      </w:r>
      <w:r w:rsidRPr="00B96F14">
        <w:rPr>
          <w:rFonts w:ascii="Times New Roman" w:hAnsi="Times New Roman"/>
          <w:spacing w:val="-2"/>
          <w:sz w:val="24"/>
        </w:rPr>
        <w:t xml:space="preserve"> the 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Guidelines for the Procurement of Consultant Services under Islamic </w:t>
      </w:r>
      <w:r w:rsidRPr="00B96F14">
        <w:rPr>
          <w:rFonts w:ascii="Times New Roman" w:hAnsi="Times New Roman"/>
          <w:spacing w:val="-2"/>
          <w:sz w:val="24"/>
          <w:u w:val="single"/>
        </w:rPr>
        <w:lastRenderedPageBreak/>
        <w:t xml:space="preserve">Development Bank Project Financing </w:t>
      </w:r>
      <w:r w:rsidRPr="00B96F14"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spacing w:val="-2"/>
          <w:sz w:val="24"/>
        </w:rPr>
        <w:t xml:space="preserve">April 2019, </w:t>
      </w:r>
      <w:r w:rsidR="00FC31FC">
        <w:rPr>
          <w:rFonts w:ascii="Times New Roman" w:hAnsi="Times New Roman"/>
          <w:spacing w:val="-2"/>
          <w:sz w:val="24"/>
        </w:rPr>
        <w:t>revised</w:t>
      </w:r>
      <w:r>
        <w:rPr>
          <w:rFonts w:ascii="Times New Roman" w:hAnsi="Times New Roman"/>
          <w:spacing w:val="-2"/>
          <w:sz w:val="24"/>
        </w:rPr>
        <w:t xml:space="preserve"> in February 2023) </w:t>
      </w:r>
      <w:r w:rsidRPr="00B96F14">
        <w:rPr>
          <w:rFonts w:ascii="Times New Roman" w:hAnsi="Times New Roman"/>
          <w:spacing w:val="-2"/>
          <w:sz w:val="24"/>
        </w:rPr>
        <w:t>and is open to all eligible bidders as defined in the guidelines.</w:t>
      </w:r>
    </w:p>
    <w:p w14:paraId="4A0CD2A9" w14:textId="77777777" w:rsidR="000312F1" w:rsidRPr="00B96F14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8FA6C5E" w14:textId="5BE58BDC" w:rsidR="000312F1" w:rsidRPr="00C534F0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Requests for Expression of Interest</w:t>
      </w:r>
      <w:r w:rsidRPr="00B96F14">
        <w:rPr>
          <w:rFonts w:ascii="Times New Roman" w:hAnsi="Times New Roman"/>
          <w:spacing w:val="-2"/>
          <w:sz w:val="24"/>
        </w:rPr>
        <w:t xml:space="preserve"> for contracts for consultancy services will be announced as they </w:t>
      </w:r>
      <w:r w:rsidRPr="00FC31FC">
        <w:rPr>
          <w:rFonts w:ascii="Times New Roman" w:hAnsi="Times New Roman"/>
          <w:spacing w:val="-2"/>
          <w:sz w:val="24"/>
        </w:rPr>
        <w:t xml:space="preserve">become available on </w:t>
      </w:r>
      <w:hyperlink r:id="rId7" w:history="1">
        <w:r w:rsidRPr="00C534F0">
          <w:rPr>
            <w:rFonts w:ascii="Times New Roman" w:hAnsi="Times New Roman"/>
            <w:spacing w:val="-2"/>
            <w:sz w:val="24"/>
          </w:rPr>
          <w:t>IsDB Website</w:t>
        </w:r>
      </w:hyperlink>
      <w:r w:rsidRPr="00C534F0">
        <w:rPr>
          <w:rFonts w:ascii="Times New Roman" w:hAnsi="Times New Roman"/>
          <w:spacing w:val="-2"/>
          <w:sz w:val="24"/>
        </w:rPr>
        <w:t>, UNDB Online and DG Market</w:t>
      </w:r>
      <w:r w:rsidR="00FC31FC" w:rsidRPr="00C534F0">
        <w:rPr>
          <w:rFonts w:ascii="Times New Roman" w:hAnsi="Times New Roman"/>
          <w:sz w:val="24"/>
        </w:rPr>
        <w:t>.</w:t>
      </w:r>
    </w:p>
    <w:p w14:paraId="6A1C3D38" w14:textId="34C92385" w:rsidR="000312F1" w:rsidRPr="00B96F14" w:rsidRDefault="000312F1" w:rsidP="000312F1">
      <w:pPr>
        <w:spacing w:before="400" w:after="200"/>
        <w:ind w:right="200"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Interested eligible </w:t>
      </w:r>
      <w:r w:rsidR="00FC31FC" w:rsidRPr="00B96F14">
        <w:rPr>
          <w:rFonts w:ascii="Times New Roman" w:hAnsi="Times New Roman"/>
          <w:spacing w:val="-2"/>
          <w:sz w:val="24"/>
        </w:rPr>
        <w:t>firms who</w:t>
      </w:r>
      <w:r w:rsidRPr="00B96F14">
        <w:rPr>
          <w:rFonts w:ascii="Times New Roman" w:hAnsi="Times New Roman"/>
          <w:spacing w:val="-2"/>
          <w:sz w:val="24"/>
        </w:rPr>
        <w:t xml:space="preserve"> would wish to be considered for the provision consulting services for the </w:t>
      </w:r>
      <w:r>
        <w:rPr>
          <w:rFonts w:ascii="Times New Roman" w:hAnsi="Times New Roman"/>
          <w:spacing w:val="-2"/>
          <w:sz w:val="24"/>
        </w:rPr>
        <w:t>Project mentioned above</w:t>
      </w:r>
      <w:r w:rsidRPr="00B96F14">
        <w:rPr>
          <w:rFonts w:ascii="Times New Roman" w:hAnsi="Times New Roman"/>
          <w:spacing w:val="-2"/>
          <w:sz w:val="24"/>
        </w:rPr>
        <w:t>, or those requiring additional information, should contact the Beneficiary at the address below:</w:t>
      </w:r>
    </w:p>
    <w:p w14:paraId="3AB23D6B" w14:textId="77777777" w:rsidR="006772BE" w:rsidRDefault="006772BE" w:rsidP="00062CEA">
      <w:pPr>
        <w:rPr>
          <w:iCs/>
          <w:spacing w:val="-2"/>
        </w:rPr>
      </w:pPr>
    </w:p>
    <w:p w14:paraId="0ECCDF5F" w14:textId="77777777" w:rsidR="006772BE" w:rsidRPr="006772BE" w:rsidRDefault="006772BE" w:rsidP="006772BE">
      <w:pPr>
        <w:suppressAutoHyphens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6772BE">
        <w:rPr>
          <w:rFonts w:asciiTheme="majorBidi" w:hAnsiTheme="majorBidi" w:cstheme="majorBidi"/>
          <w:spacing w:val="-2"/>
          <w:sz w:val="24"/>
          <w:szCs w:val="24"/>
        </w:rPr>
        <w:t>THE ISLAMIC DEVELOPMENT BANK INSTITUTE</w:t>
      </w:r>
    </w:p>
    <w:p w14:paraId="64A20891" w14:textId="43F6C248" w:rsidR="006772BE" w:rsidRPr="006772BE" w:rsidRDefault="006772BE" w:rsidP="006772BE">
      <w:pPr>
        <w:suppressAutoHyphens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6772BE">
        <w:rPr>
          <w:rFonts w:asciiTheme="majorBidi" w:hAnsiTheme="majorBidi" w:cstheme="majorBidi"/>
          <w:spacing w:val="-2"/>
          <w:sz w:val="24"/>
          <w:szCs w:val="24"/>
        </w:rPr>
        <w:t>Attention: The Islamic Development Bank Institute</w:t>
      </w:r>
    </w:p>
    <w:p w14:paraId="345B3F08" w14:textId="66545804" w:rsidR="006772BE" w:rsidRPr="006772BE" w:rsidRDefault="006772BE" w:rsidP="006772BE">
      <w:pPr>
        <w:suppressAutoHyphens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6772BE">
        <w:rPr>
          <w:rFonts w:asciiTheme="majorBidi" w:hAnsiTheme="majorBidi" w:cstheme="majorBidi"/>
          <w:spacing w:val="-2"/>
          <w:sz w:val="24"/>
          <w:szCs w:val="24"/>
        </w:rPr>
        <w:t xml:space="preserve">Address: 8111 King Khalid Street, Al </w:t>
      </w:r>
      <w:proofErr w:type="spellStart"/>
      <w:r w:rsidRPr="006772BE">
        <w:rPr>
          <w:rFonts w:asciiTheme="majorBidi" w:hAnsiTheme="majorBidi" w:cstheme="majorBidi"/>
          <w:spacing w:val="-2"/>
          <w:sz w:val="24"/>
          <w:szCs w:val="24"/>
        </w:rPr>
        <w:t>Nuzlah</w:t>
      </w:r>
      <w:proofErr w:type="spellEnd"/>
      <w:r w:rsidRPr="006772BE">
        <w:rPr>
          <w:rFonts w:asciiTheme="majorBidi" w:hAnsiTheme="majorBidi" w:cstheme="majorBidi"/>
          <w:spacing w:val="-2"/>
          <w:sz w:val="24"/>
          <w:szCs w:val="24"/>
        </w:rPr>
        <w:t xml:space="preserve"> Al </w:t>
      </w:r>
      <w:proofErr w:type="spellStart"/>
      <w:r w:rsidRPr="006772BE">
        <w:rPr>
          <w:rFonts w:asciiTheme="majorBidi" w:hAnsiTheme="majorBidi" w:cstheme="majorBidi"/>
          <w:spacing w:val="-2"/>
          <w:sz w:val="24"/>
          <w:szCs w:val="24"/>
        </w:rPr>
        <w:t>Yamania</w:t>
      </w:r>
      <w:proofErr w:type="spellEnd"/>
      <w:r w:rsidRPr="006772BE">
        <w:rPr>
          <w:rFonts w:asciiTheme="majorBidi" w:hAnsiTheme="majorBidi" w:cstheme="majorBidi"/>
          <w:spacing w:val="-2"/>
          <w:sz w:val="24"/>
          <w:szCs w:val="24"/>
        </w:rPr>
        <w:t xml:space="preserve"> District, Unit no. 1, Jeddah 22332-2444, Kingdom of Saudi Arabia </w:t>
      </w:r>
    </w:p>
    <w:p w14:paraId="2B8DDCF1" w14:textId="594752FA" w:rsidR="006772BE" w:rsidRPr="006772BE" w:rsidRDefault="006772BE" w:rsidP="006772BE">
      <w:pPr>
        <w:suppressAutoHyphens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6772BE">
        <w:rPr>
          <w:rFonts w:asciiTheme="majorBidi" w:hAnsiTheme="majorBidi" w:cstheme="majorBidi"/>
          <w:spacing w:val="-2"/>
          <w:sz w:val="24"/>
          <w:szCs w:val="24"/>
        </w:rPr>
        <w:t xml:space="preserve">Email: </w:t>
      </w:r>
      <w:hyperlink r:id="rId8" w:history="1">
        <w:r w:rsidRPr="006772BE">
          <w:rPr>
            <w:rStyle w:val="Hyperlink"/>
            <w:rFonts w:asciiTheme="majorBidi" w:eastAsiaTheme="majorEastAsia" w:hAnsiTheme="majorBidi" w:cstheme="majorBidi"/>
            <w:iCs/>
            <w:sz w:val="24"/>
            <w:szCs w:val="24"/>
          </w:rPr>
          <w:t>isdbinstitute@isdb.org</w:t>
        </w:r>
      </w:hyperlink>
      <w:r w:rsidRPr="006772BE">
        <w:rPr>
          <w:rFonts w:asciiTheme="majorBidi" w:hAnsiTheme="majorBidi" w:cstheme="majorBidi"/>
          <w:spacing w:val="-2"/>
          <w:sz w:val="24"/>
          <w:szCs w:val="24"/>
        </w:rPr>
        <w:t> and </w:t>
      </w:r>
      <w:hyperlink r:id="rId9" w:history="1">
        <w:r w:rsidRPr="006772BE">
          <w:rPr>
            <w:rStyle w:val="Hyperlink"/>
            <w:rFonts w:asciiTheme="majorBidi" w:eastAsiaTheme="majorEastAsia" w:hAnsiTheme="majorBidi" w:cstheme="majorBidi"/>
            <w:iCs/>
            <w:sz w:val="24"/>
            <w:szCs w:val="24"/>
          </w:rPr>
          <w:t>info@isdbinstitute.org</w:t>
        </w:r>
      </w:hyperlink>
    </w:p>
    <w:p w14:paraId="6ADA3D11" w14:textId="77777777" w:rsidR="006772BE" w:rsidRPr="006772BE" w:rsidRDefault="006772BE" w:rsidP="006772BE">
      <w:pPr>
        <w:suppressAutoHyphens/>
        <w:jc w:val="both"/>
        <w:rPr>
          <w:rFonts w:asciiTheme="majorBidi" w:hAnsiTheme="majorBidi" w:cstheme="majorBidi"/>
          <w:spacing w:val="-2"/>
          <w:sz w:val="24"/>
        </w:rPr>
      </w:pPr>
    </w:p>
    <w:sectPr w:rsidR="006772BE" w:rsidRPr="006772BE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3476" w14:textId="77777777" w:rsidR="003F5F3E" w:rsidRDefault="003F5F3E" w:rsidP="000312F1">
      <w:r>
        <w:separator/>
      </w:r>
    </w:p>
  </w:endnote>
  <w:endnote w:type="continuationSeparator" w:id="0">
    <w:p w14:paraId="2DA04565" w14:textId="77777777" w:rsidR="003F5F3E" w:rsidRDefault="003F5F3E" w:rsidP="000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7BFD" w14:textId="77777777" w:rsidR="003F5F3E" w:rsidRDefault="003F5F3E" w:rsidP="000312F1">
      <w:r>
        <w:separator/>
      </w:r>
    </w:p>
  </w:footnote>
  <w:footnote w:type="continuationSeparator" w:id="0">
    <w:p w14:paraId="0E30EEBF" w14:textId="77777777" w:rsidR="003F5F3E" w:rsidRDefault="003F5F3E" w:rsidP="0003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C9ED" w14:textId="6A0E92D6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23F941" wp14:editId="146C54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94571595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7C971" w14:textId="7B67F96B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3F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227C971" w14:textId="7B67F96B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79CB" w14:textId="1639F756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25248" wp14:editId="7E270EF9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55321159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37DC7" w14:textId="007D283E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25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5837DC7" w14:textId="007D283E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B3AF" w14:textId="5B6CF81E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77754" wp14:editId="513C53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408443868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E68E1" w14:textId="402A4040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777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89E68E1" w14:textId="402A4040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11E"/>
    <w:multiLevelType w:val="hybridMultilevel"/>
    <w:tmpl w:val="9FCA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1B0D"/>
    <w:multiLevelType w:val="hybridMultilevel"/>
    <w:tmpl w:val="91120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309A"/>
    <w:multiLevelType w:val="hybridMultilevel"/>
    <w:tmpl w:val="A52E5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0E85"/>
    <w:multiLevelType w:val="hybridMultilevel"/>
    <w:tmpl w:val="0A247E60"/>
    <w:lvl w:ilvl="0" w:tplc="289EB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61E29"/>
    <w:multiLevelType w:val="hybridMultilevel"/>
    <w:tmpl w:val="22269354"/>
    <w:lvl w:ilvl="0" w:tplc="76D2D1A6">
      <w:start w:val="1"/>
      <w:numFmt w:val="lowerLetter"/>
      <w:lvlText w:val="%1."/>
      <w:lvlJc w:val="left"/>
      <w:pPr>
        <w:ind w:left="900" w:hanging="360"/>
      </w:pPr>
      <w:rPr>
        <w:rFonts w:ascii="Roboto Light" w:hAnsi="Roboto Light" w:cs="Calibr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94F59"/>
    <w:multiLevelType w:val="hybridMultilevel"/>
    <w:tmpl w:val="B3EE4F9A"/>
    <w:lvl w:ilvl="0" w:tplc="2C32FADE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Robo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D1744"/>
    <w:multiLevelType w:val="hybridMultilevel"/>
    <w:tmpl w:val="5DF6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99650">
    <w:abstractNumId w:val="1"/>
  </w:num>
  <w:num w:numId="2" w16cid:durableId="1411074425">
    <w:abstractNumId w:val="4"/>
  </w:num>
  <w:num w:numId="3" w16cid:durableId="1395735036">
    <w:abstractNumId w:val="5"/>
  </w:num>
  <w:num w:numId="4" w16cid:durableId="545947247">
    <w:abstractNumId w:val="6"/>
  </w:num>
  <w:num w:numId="5" w16cid:durableId="486551376">
    <w:abstractNumId w:val="2"/>
  </w:num>
  <w:num w:numId="6" w16cid:durableId="1403717071">
    <w:abstractNumId w:val="0"/>
  </w:num>
  <w:num w:numId="7" w16cid:durableId="98350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2MzG1MDa3AAIzAyUdpeDU4uLM/DyQAqNaAGmq6aUsAAAA"/>
  </w:docVars>
  <w:rsids>
    <w:rsidRoot w:val="000312F1"/>
    <w:rsid w:val="000022C1"/>
    <w:rsid w:val="00011781"/>
    <w:rsid w:val="000312F1"/>
    <w:rsid w:val="00062CEA"/>
    <w:rsid w:val="000706CF"/>
    <w:rsid w:val="000B1AC5"/>
    <w:rsid w:val="000B7C5D"/>
    <w:rsid w:val="002E67DA"/>
    <w:rsid w:val="00330B1C"/>
    <w:rsid w:val="00333127"/>
    <w:rsid w:val="003517F7"/>
    <w:rsid w:val="003B0740"/>
    <w:rsid w:val="003B3EFF"/>
    <w:rsid w:val="003B43C3"/>
    <w:rsid w:val="003B493D"/>
    <w:rsid w:val="003F5F3E"/>
    <w:rsid w:val="0041219F"/>
    <w:rsid w:val="004161A5"/>
    <w:rsid w:val="00560C5A"/>
    <w:rsid w:val="005615E8"/>
    <w:rsid w:val="00570008"/>
    <w:rsid w:val="006772BE"/>
    <w:rsid w:val="007C5BD2"/>
    <w:rsid w:val="008F6141"/>
    <w:rsid w:val="00931F2C"/>
    <w:rsid w:val="00986B0D"/>
    <w:rsid w:val="009F1DAB"/>
    <w:rsid w:val="00AA346D"/>
    <w:rsid w:val="00B73DB7"/>
    <w:rsid w:val="00BB6B70"/>
    <w:rsid w:val="00BD22BB"/>
    <w:rsid w:val="00C30A6D"/>
    <w:rsid w:val="00C534F0"/>
    <w:rsid w:val="00C76EE1"/>
    <w:rsid w:val="00CD39AC"/>
    <w:rsid w:val="00D0442A"/>
    <w:rsid w:val="00D503E3"/>
    <w:rsid w:val="00DD46AA"/>
    <w:rsid w:val="00E02719"/>
    <w:rsid w:val="00EA3A79"/>
    <w:rsid w:val="00F07322"/>
    <w:rsid w:val="00F95A65"/>
    <w:rsid w:val="00FB0415"/>
    <w:rsid w:val="00FC31FC"/>
    <w:rsid w:val="00FC5DB3"/>
    <w:rsid w:val="00FD1A35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A034"/>
  <w15:chartTrackingRefBased/>
  <w15:docId w15:val="{670B7EE1-B323-49A7-B481-B0E335F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F1"/>
    <w:pPr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F1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List Paragraph2,Text,References,سرد الفقرات,Bullets,Liste 1,Numbered List Paragraph,ReferencesCxSpLast,Medium Grid 1 - Accent 21,List Paragraph nowy,Paragraphe  revu,Paragraphe de liste1"/>
    <w:basedOn w:val="Normal"/>
    <w:link w:val="ListParagraphChar"/>
    <w:uiPriority w:val="34"/>
    <w:qFormat/>
    <w:rsid w:val="00031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F1"/>
    <w:rPr>
      <w:b/>
      <w:bCs/>
      <w:smallCaps/>
      <w:color w:val="0F4761" w:themeColor="accent1" w:themeShade="BF"/>
      <w:spacing w:val="5"/>
    </w:rPr>
  </w:style>
  <w:style w:type="paragraph" w:customStyle="1" w:styleId="ChapterNumber">
    <w:name w:val="ChapterNumber"/>
    <w:rsid w:val="000312F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customStyle="1" w:styleId="Heading1a">
    <w:name w:val="Heading 1a"/>
    <w:rsid w:val="000312F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14:ligatures w14:val="none"/>
    </w:rPr>
  </w:style>
  <w:style w:type="paragraph" w:styleId="BodyText">
    <w:name w:val="Body Text"/>
    <w:basedOn w:val="Normal"/>
    <w:link w:val="BodyTextChar"/>
    <w:rsid w:val="000312F1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0312F1"/>
    <w:rPr>
      <w:rFonts w:ascii="CG Times" w:eastAsia="Times New Roman" w:hAnsi="CG Times" w:cs="Times New Roman"/>
      <w:spacing w:val="-2"/>
      <w:kern w:val="0"/>
      <w:sz w:val="24"/>
      <w:szCs w:val="20"/>
      <w14:ligatures w14:val="none"/>
    </w:rPr>
  </w:style>
  <w:style w:type="character" w:styleId="Hyperlink">
    <w:name w:val="Hyperlink"/>
    <w:rsid w:val="000312F1"/>
    <w:rPr>
      <w:color w:val="0000FF"/>
      <w:u w:val="single"/>
    </w:rPr>
  </w:style>
  <w:style w:type="character" w:customStyle="1" w:styleId="ListParagraphChar">
    <w:name w:val="List Paragraph Char"/>
    <w:aliases w:val="Citation List Char,본문(내용) Char,List Paragraph (numbered (a)) Char,List Paragraph2 Char,Text Char,References Char,سرد الفقرات Char,Bullets Char,Liste 1 Char,Numbered List Paragraph Char,ReferencesCxSpLast Char,List Paragraph nowy Char"/>
    <w:basedOn w:val="DefaultParagraphFont"/>
    <w:link w:val="ListParagraph"/>
    <w:uiPriority w:val="34"/>
    <w:qFormat/>
    <w:rsid w:val="000312F1"/>
  </w:style>
  <w:style w:type="character" w:styleId="CommentReference">
    <w:name w:val="annotation reference"/>
    <w:basedOn w:val="DefaultParagraphFont"/>
    <w:semiHidden/>
    <w:unhideWhenUsed/>
    <w:rsid w:val="000312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12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2F1"/>
    <w:rPr>
      <w:rFonts w:ascii="CG Times" w:eastAsia="Times New Roman" w:hAnsi="CG Times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0312F1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1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2F1"/>
    <w:rPr>
      <w:rFonts w:ascii="CG Times" w:eastAsia="Times New Roman" w:hAnsi="CG Times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C5D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17F7"/>
    <w:pPr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F7"/>
    <w:rPr>
      <w:rFonts w:ascii="CG Times" w:eastAsia="Times New Roman" w:hAnsi="CG Times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7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dbinstitute@isd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db.org/irj/portal/anonymous?NavigationTarget=navurl://76e1dfd61777849cc88228c9bfe818e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isdbinstitut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Faridah Siraji</dc:creator>
  <cp:keywords/>
  <dc:description/>
  <cp:lastModifiedBy>Syed Faiq Najeeb</cp:lastModifiedBy>
  <cp:revision>4</cp:revision>
  <dcterms:created xsi:type="dcterms:W3CDTF">2024-07-23T20:36:00Z</dcterms:created>
  <dcterms:modified xsi:type="dcterms:W3CDTF">2024-10-20T11:05:00Z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18585bdc,385e7aef,5c9420c8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2024-03-21T06:03:16Z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23e3889e-7c5f-4716-93c0-1151c2bad0bb</vt:lpwstr>
  </property>
  <property fmtid="{D5CDD505-2E9C-101B-9397-08002B2CF9AE}" pid="11" name="MSIP_Label_9ef4adf7-25a7-4f52-a61a-df7190f1d881_ContentBits">
    <vt:lpwstr>1</vt:lpwstr>
  </property>
</Properties>
</file>