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AB" w:rsidRPr="00FF480D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</w:pPr>
      <w:r w:rsidRPr="00FF480D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REQUEST FOR EXPRESSIONS OF INTEREST</w:t>
      </w:r>
    </w:p>
    <w:p w:rsidR="000163EE" w:rsidRPr="00F3027C" w:rsidRDefault="00566FAB" w:rsidP="00F3027C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</w:pPr>
      <w:r w:rsidRPr="00FF480D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(CONSULTANT SERVICES</w:t>
      </w:r>
      <w:r w:rsidR="00BA7A4A" w:rsidRPr="00FF480D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 xml:space="preserve"> – SELECTION OF FIRMS</w:t>
      </w:r>
      <w:r w:rsidRPr="00FF480D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)</w:t>
      </w:r>
    </w:p>
    <w:p w:rsidR="00566FAB" w:rsidRPr="002E7192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Name of Country: </w:t>
      </w:r>
      <w:r w:rsidR="005F43D9"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akistan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Sindh Integrated Health and Women Empowerment Program</w:t>
      </w:r>
    </w:p>
    <w:p w:rsid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Sector: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Health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566FAB" w:rsidRPr="00B430DC" w:rsidRDefault="00803053" w:rsidP="00B430DC">
      <w:pPr>
        <w:suppressAutoHyphens/>
        <w:spacing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Assignment: </w:t>
      </w:r>
      <w:r w:rsidR="00834E50">
        <w:rPr>
          <w:rFonts w:ascii="Times New Roman" w:eastAsia="Calibri" w:hAnsi="Times New Roman" w:cs="Times New Roman"/>
          <w:b/>
          <w:spacing w:val="-2"/>
          <w:sz w:val="24"/>
          <w:szCs w:val="24"/>
        </w:rPr>
        <w:t>Hiring o</w:t>
      </w:r>
      <w:r w:rsidR="00B430DC" w:rsidRPr="00B430D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f Firm </w:t>
      </w:r>
      <w:r w:rsidR="00CC069A" w:rsidRPr="00B430DC">
        <w:rPr>
          <w:rFonts w:ascii="Times New Roman" w:eastAsia="Calibri" w:hAnsi="Times New Roman" w:cs="Times New Roman"/>
          <w:b/>
          <w:spacing w:val="-2"/>
          <w:sz w:val="24"/>
          <w:szCs w:val="24"/>
        </w:rPr>
        <w:t>for</w:t>
      </w:r>
      <w:r w:rsidR="00B430DC" w:rsidRPr="00B430D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Micro-Finance Lending</w:t>
      </w:r>
      <w:r w:rsidR="00713F8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</w:p>
    <w:p w:rsidR="00566FAB" w:rsidRPr="002E7192" w:rsidRDefault="00566FAB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Mode of Financing: </w:t>
      </w:r>
      <w:r w:rsidR="00803053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Loan</w:t>
      </w:r>
    </w:p>
    <w:p w:rsidR="00566FAB" w:rsidRPr="000163EE" w:rsidRDefault="00ED2B16" w:rsidP="000163EE">
      <w:pPr>
        <w:suppressAutoHyphens/>
        <w:spacing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No:</w:t>
      </w:r>
      <w:r w:rsidR="00566FAB"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43D9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PAK-1057</w:t>
      </w:r>
    </w:p>
    <w:p w:rsidR="00BA7A4A" w:rsidRPr="008E7C45" w:rsidRDefault="00764111" w:rsidP="000163EE">
      <w:pPr>
        <w:suppressAutoHyphens/>
        <w:spacing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Government of Sindh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764111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Islamic Development Bank toward the cost of 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Sindh Integrated Health and Women Empowerment</w:t>
      </w:r>
      <w:r w:rsidRP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Program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:rsidR="00BA7A4A" w:rsidRPr="000163EE" w:rsidRDefault="00D63F18" w:rsidP="000163EE">
      <w:pPr>
        <w:suppressAutoHyphens/>
        <w:spacing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Hiring of firm for Micro-Finance lending for 6000 women (1500 every year) across the Sindh Province against the business plan provided by the women after their skills development vocational training.</w:t>
      </w:r>
    </w:p>
    <w:p w:rsidR="00BA7A4A" w:rsidRPr="00DE4523" w:rsidRDefault="00BA7A4A" w:rsidP="00A34624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764111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can be found at the following website: </w:t>
      </w:r>
      <w:r w:rsidR="00764111" w:rsidRPr="00DE4523">
        <w:rPr>
          <w:rFonts w:ascii="Times New Roman" w:hAnsi="Times New Roman"/>
          <w:spacing w:val="-2"/>
          <w:sz w:val="24"/>
          <w:szCs w:val="24"/>
        </w:rPr>
        <w:t>https://sihpp.gos.pk/tender.php</w:t>
      </w:r>
    </w:p>
    <w:p w:rsidR="00BA7A4A" w:rsidRPr="0076411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764111">
        <w:rPr>
          <w:rFonts w:ascii="Times New Roman" w:hAnsi="Times New Roman"/>
          <w:spacing w:val="-2"/>
          <w:sz w:val="24"/>
          <w:szCs w:val="24"/>
        </w:rPr>
        <w:t>or</w:t>
      </w:r>
      <w:proofErr w:type="gramEnd"/>
    </w:p>
    <w:p w:rsidR="00DE4523" w:rsidRPr="00892A8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892A81">
        <w:rPr>
          <w:rFonts w:ascii="Times New Roman" w:hAnsi="Times New Roman"/>
          <w:spacing w:val="-2"/>
          <w:sz w:val="24"/>
          <w:szCs w:val="24"/>
        </w:rPr>
        <w:t>can</w:t>
      </w:r>
      <w:proofErr w:type="gramEnd"/>
      <w:r w:rsidRPr="00892A81">
        <w:rPr>
          <w:rFonts w:ascii="Times New Roman" w:hAnsi="Times New Roman"/>
          <w:spacing w:val="-2"/>
          <w:sz w:val="24"/>
          <w:szCs w:val="24"/>
        </w:rPr>
        <w:t xml:space="preserve"> be obta</w:t>
      </w:r>
      <w:r w:rsidR="00764111" w:rsidRPr="00892A81">
        <w:rPr>
          <w:rFonts w:ascii="Times New Roman" w:hAnsi="Times New Roman"/>
          <w:spacing w:val="-2"/>
          <w:sz w:val="24"/>
          <w:szCs w:val="24"/>
        </w:rPr>
        <w:t xml:space="preserve">ined from the </w:t>
      </w:r>
      <w:r w:rsidR="00A64690" w:rsidRPr="00892A81">
        <w:rPr>
          <w:rFonts w:ascii="Times New Roman" w:hAnsi="Times New Roman"/>
          <w:spacing w:val="-2"/>
          <w:sz w:val="24"/>
          <w:szCs w:val="24"/>
        </w:rPr>
        <w:t xml:space="preserve">address given </w:t>
      </w:r>
      <w:r w:rsidR="00DE4523" w:rsidRPr="00892A81">
        <w:rPr>
          <w:rFonts w:ascii="Times New Roman" w:hAnsi="Times New Roman"/>
          <w:spacing w:val="-2"/>
          <w:sz w:val="24"/>
          <w:szCs w:val="24"/>
        </w:rPr>
        <w:t>below:</w:t>
      </w:r>
    </w:p>
    <w:p w:rsidR="00566FAB" w:rsidRPr="000163EE" w:rsidRDefault="00DE4523" w:rsidP="000163EE">
      <w:pPr>
        <w:pStyle w:val="ListParagraph"/>
        <w:tabs>
          <w:tab w:val="left" w:pos="270"/>
        </w:tabs>
        <w:spacing w:line="360" w:lineRule="auto"/>
        <w:ind w:left="0" w:right="270"/>
        <w:jc w:val="both"/>
        <w:rPr>
          <w:rFonts w:ascii="Times New Roman" w:hAnsi="Times New Roman" w:cs="Times New Roman"/>
          <w:sz w:val="24"/>
          <w:szCs w:val="24"/>
        </w:rPr>
      </w:pPr>
      <w:r w:rsidRPr="00892A81">
        <w:rPr>
          <w:rFonts w:ascii="Times New Roman" w:hAnsi="Times New Roman" w:cs="Times New Roman"/>
          <w:sz w:val="24"/>
          <w:szCs w:val="24"/>
        </w:rPr>
        <w:t>Office No. 201, Plot No. 180-C Al-</w:t>
      </w:r>
      <w:proofErr w:type="spellStart"/>
      <w:r w:rsidRPr="00892A81">
        <w:rPr>
          <w:rFonts w:ascii="Times New Roman" w:hAnsi="Times New Roman" w:cs="Times New Roman"/>
          <w:sz w:val="24"/>
          <w:szCs w:val="24"/>
        </w:rPr>
        <w:t>Murtaza</w:t>
      </w:r>
      <w:proofErr w:type="spellEnd"/>
      <w:r w:rsidRPr="00892A81">
        <w:rPr>
          <w:rFonts w:ascii="Times New Roman" w:hAnsi="Times New Roman" w:cs="Times New Roman"/>
          <w:sz w:val="24"/>
          <w:szCs w:val="24"/>
        </w:rPr>
        <w:t xml:space="preserve"> Commercial Lane-2 Phase-VIII-A Pakistan Defense Officers Housing Authority, Karachi submitting written request letter to the Program Director, Project Management Unit, Sindh Integrated Health &amp; Women Empowerment Project, Karachi.</w:t>
      </w:r>
    </w:p>
    <w:p w:rsidR="00905401" w:rsidRDefault="00566FAB" w:rsidP="00F3027C">
      <w:pPr>
        <w:spacing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Sindh Integrated Health and Women Empowerment </w:t>
      </w:r>
      <w:r w:rsidR="00077BBD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Program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(SIHWEP)</w:t>
      </w:r>
      <w:r w:rsidR="00764111" w:rsidRPr="00892A81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firms (“Consultants”)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perform the services (brochures, description of similar assignments, experience in similar conditions, availability of appropr</w:t>
      </w:r>
      <w:r w:rsidR="000163EE">
        <w:rPr>
          <w:rFonts w:ascii="Times New Roman" w:eastAsia="Calibri" w:hAnsi="Times New Roman" w:cs="Times New Roman"/>
          <w:spacing w:val="-2"/>
          <w:sz w:val="24"/>
          <w:szCs w:val="24"/>
        </w:rPr>
        <w:t>iate skills among staff, etc.)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2"/>
        <w:gridCol w:w="8138"/>
      </w:tblGrid>
      <w:tr w:rsidR="00B53F95" w:rsidRPr="005B3521" w:rsidTr="007E69D5">
        <w:trPr>
          <w:trHeight w:val="368"/>
          <w:tblHeader/>
        </w:trPr>
        <w:tc>
          <w:tcPr>
            <w:tcW w:w="648" w:type="pct"/>
            <w:vAlign w:val="center"/>
          </w:tcPr>
          <w:p w:rsidR="00B53F95" w:rsidRPr="005B3521" w:rsidRDefault="00B53F95" w:rsidP="002213C0">
            <w:pPr>
              <w:suppressAutoHyphens/>
              <w:ind w:right="27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No.</w:t>
            </w: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tabs>
                <w:tab w:val="left" w:pos="7596"/>
              </w:tabs>
              <w:suppressAutoHyphens/>
              <w:ind w:right="27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Criterion</w:t>
            </w:r>
          </w:p>
        </w:tc>
      </w:tr>
      <w:tr w:rsidR="00B53F95" w:rsidRPr="005B3521" w:rsidTr="007E69D5">
        <w:trPr>
          <w:trHeight w:val="2510"/>
          <w:tblHeader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Corporate Capacity: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Core business, number of offices, and years in the same business, including involvement in 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micro-finance lending across the Sindh province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Minimum Track Record: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firm must have a track record of at least 10 years.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Geographical Coverage: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organization/institution must cover all divisions of Sindh province.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Registration Requirements: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firm must be registered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as per government of Pakistan regulations and 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with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44D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State Bank of Pakistan, 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Federal Board of Revenue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FBR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Sindh Revenue Board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SRB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B53F95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Financial Stability: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Provide evidence of financial stability with an annual turnover of </w:t>
            </w:r>
            <w:r w:rsidR="00E717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PKR 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2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Billion 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 the capacity to meet contractual obligations, including audit reports of the last three years.</w:t>
            </w:r>
          </w:p>
          <w:p w:rsidR="00B53F95" w:rsidRPr="003D5DA1" w:rsidRDefault="00295AA9" w:rsidP="002213C0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Recovery Rate: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firm must have</w:t>
            </w:r>
            <w:r w:rsidR="009135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no less than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95% of overall recovery rate.</w:t>
            </w:r>
          </w:p>
        </w:tc>
      </w:tr>
      <w:tr w:rsidR="00B53F95" w:rsidRPr="005B3521" w:rsidTr="007E69D5">
        <w:trPr>
          <w:trHeight w:val="1259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Default="00B53F95" w:rsidP="00221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General experience:</w:t>
            </w:r>
            <w:r w:rsidRPr="005B3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53F95" w:rsidRPr="004C42B5" w:rsidRDefault="00B53F95" w:rsidP="008473F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The firm must have 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8473F9">
              <w:rPr>
                <w:rFonts w:ascii="Times New Roman" w:hAnsi="Times New Roman" w:cs="Times New Roman"/>
                <w:sz w:val="24"/>
                <w:szCs w:val="24"/>
              </w:rPr>
              <w:t>delivering micro-financing programs for minimum of 10 years</w:t>
            </w:r>
          </w:p>
        </w:tc>
      </w:tr>
      <w:tr w:rsidR="00B53F95" w:rsidRPr="005B3521" w:rsidTr="006F5774">
        <w:trPr>
          <w:trHeight w:val="1358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Default="00B53F95" w:rsidP="002213C0">
            <w:pPr>
              <w:ind w:right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Relevant experience: </w:t>
            </w:r>
          </w:p>
          <w:p w:rsidR="00B53F95" w:rsidRDefault="00B53F95" w:rsidP="006F57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 xml:space="preserve">The firm must have at least </w:t>
            </w:r>
            <w:r w:rsidRPr="00E15EFA">
              <w:rPr>
                <w:rFonts w:ascii="Times New Roman" w:hAnsi="Times New Roman" w:cs="Times New Roman"/>
                <w:b/>
                <w:sz w:val="24"/>
                <w:szCs w:val="24"/>
              </w:rPr>
              <w:t>Ten (10)</w:t>
            </w: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 xml:space="preserve"> years of relevant experience in </w:t>
            </w:r>
            <w:r w:rsidR="006F5774">
              <w:rPr>
                <w:rFonts w:ascii="Times New Roman" w:hAnsi="Times New Roman" w:cs="Times New Roman"/>
                <w:sz w:val="24"/>
                <w:szCs w:val="24"/>
              </w:rPr>
              <w:t xml:space="preserve">delivering the micro-financing program </w:t>
            </w: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 xml:space="preserve">for women in </w:t>
            </w:r>
            <w:r w:rsidR="006F5774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 xml:space="preserve"> of Sindh</w:t>
            </w:r>
            <w:r w:rsidR="006F5774">
              <w:rPr>
                <w:rFonts w:ascii="Times New Roman" w:hAnsi="Times New Roman" w:cs="Times New Roman"/>
                <w:sz w:val="24"/>
                <w:szCs w:val="24"/>
              </w:rPr>
              <w:t xml:space="preserve"> province</w:t>
            </w: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B10" w:rsidRPr="006F5774" w:rsidRDefault="00C51B10" w:rsidP="006F57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firm must have efficient and latest Management Information System (MIS) for Micro-Financing (can generate reporting: Donor, Location, Trade, Risk analysis ratio, Recovery Ratio and Reconciliation etc.)</w:t>
            </w:r>
          </w:p>
        </w:tc>
      </w:tr>
      <w:tr w:rsidR="00B53F95" w:rsidRPr="005B3521" w:rsidTr="007E69D5">
        <w:trPr>
          <w:trHeight w:val="1610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21">
              <w:rPr>
                <w:rFonts w:ascii="Times New Roman" w:hAnsi="Times New Roman" w:cs="Times New Roman"/>
                <w:b/>
                <w:sz w:val="24"/>
                <w:szCs w:val="24"/>
              </w:rPr>
              <w:t>managerial capacity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(Core managerial and T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>echnical staff)</w:t>
            </w:r>
          </w:p>
          <w:p w:rsidR="00B53F95" w:rsidRPr="004C42B5" w:rsidRDefault="00B53F95" w:rsidP="00295A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Experts with relevant experience of </w:t>
            </w:r>
            <w:r w:rsidR="00295AA9">
              <w:rPr>
                <w:rFonts w:ascii="Times New Roman" w:hAnsi="Times New Roman" w:cs="Times New Roman"/>
                <w:sz w:val="24"/>
                <w:szCs w:val="24"/>
              </w:rPr>
              <w:t xml:space="preserve">micro-finance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of similar works across the Pakistan, the list of required staff is given in the </w:t>
            </w:r>
            <w:proofErr w:type="spellStart"/>
            <w:r w:rsidRPr="004C42B5">
              <w:rPr>
                <w:rFonts w:ascii="Times New Roman" w:hAnsi="Times New Roman" w:cs="Times New Roman"/>
                <w:sz w:val="24"/>
                <w:szCs w:val="24"/>
              </w:rPr>
              <w:t>ToRs</w:t>
            </w:r>
            <w:proofErr w:type="spellEnd"/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 (CVs will not be evaluated at this stage) </w:t>
            </w:r>
          </w:p>
        </w:tc>
      </w:tr>
    </w:tbl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A34624">
      <w:pPr>
        <w:suppressAutoHyphens/>
        <w:spacing w:after="0" w:line="36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forth IsDB’s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C74771" w:rsidRDefault="00566FAB" w:rsidP="008C1F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8E7C45" w:rsidRDefault="00566FAB" w:rsidP="00F3027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905401">
        <w:rPr>
          <w:rFonts w:ascii="Times New Roman" w:hAnsi="Times New Roman"/>
          <w:spacing w:val="-2"/>
          <w:sz w:val="24"/>
        </w:rPr>
        <w:t>Quality and Cost Based Selection (QCBS)</w:t>
      </w:r>
      <w:r w:rsidR="00EA537C" w:rsidRPr="008E7C45">
        <w:rPr>
          <w:rFonts w:ascii="Times New Roman" w:hAnsi="Times New Roman"/>
          <w:spacing w:val="-2"/>
          <w:sz w:val="24"/>
        </w:rPr>
        <w:t xml:space="preserve"> method set out in the Procurement Guidelines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BF778B" w:rsidRPr="007518BA" w:rsidRDefault="00566FAB" w:rsidP="007518BA">
      <w:pPr>
        <w:suppressAutoHyphens/>
        <w:spacing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</w:t>
      </w:r>
      <w:r w:rsidR="00705F63">
        <w:rPr>
          <w:rFonts w:ascii="Times New Roman" w:eastAsia="Calibri" w:hAnsi="Times New Roman" w:cs="Times New Roman"/>
          <w:spacing w:val="-2"/>
          <w:sz w:val="24"/>
          <w:szCs w:val="24"/>
        </w:rPr>
        <w:t>dress below during</w:t>
      </w:r>
      <w:r w:rsidR="00A634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office hours.</w:t>
      </w:r>
      <w:r w:rsidR="007518B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BF778B">
        <w:rPr>
          <w:rFonts w:ascii="Times New Roman" w:hAnsi="Times New Roman"/>
          <w:spacing w:val="-2"/>
          <w:sz w:val="24"/>
        </w:rPr>
        <w:t>in person</w:t>
      </w:r>
      <w:r w:rsidR="00EA537C" w:rsidRPr="008E7C45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9D019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09</w:t>
      </w:r>
      <w:r w:rsidR="009E680E">
        <w:rPr>
          <w:rFonts w:ascii="Times New Roman" w:eastAsia="Calibri" w:hAnsi="Times New Roman" w:cs="Times New Roman"/>
          <w:b/>
          <w:iCs/>
          <w:spacing w:val="-2"/>
          <w:sz w:val="24"/>
          <w:szCs w:val="24"/>
          <w:vertAlign w:val="superscript"/>
        </w:rPr>
        <w:t>th</w:t>
      </w:r>
      <w:r w:rsidR="009D019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July</w:t>
      </w:r>
      <w:r w:rsidR="00BF778B" w:rsidRPr="00BF778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, 2024</w:t>
      </w:r>
      <w:r w:rsidR="00002FD3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12:00 pm </w:t>
      </w:r>
      <w:r w:rsidR="00BF778B" w:rsidRPr="00BF778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at below given address</w:t>
      </w:r>
      <w:r w:rsidR="003E02AD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.</w:t>
      </w:r>
    </w:p>
    <w:p w:rsidR="007E69D5" w:rsidRDefault="007E69D5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0163EE" w:rsidRDefault="000163EE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566FAB" w:rsidRPr="003D5D53" w:rsidRDefault="003D5D53" w:rsidP="003D5D53">
      <w:pPr>
        <w:tabs>
          <w:tab w:val="left" w:pos="672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</w:pPr>
      <w:r w:rsidRPr="003D5D53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PROGRAM DIRECTOR</w:t>
      </w:r>
    </w:p>
    <w:p w:rsidR="007E69D5" w:rsidRDefault="007E69D5" w:rsidP="003D5D5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Sindh Integrated Health and Women Empowerment Project (SIHWEP)</w:t>
      </w:r>
    </w:p>
    <w:p w:rsidR="00566FAB" w:rsidRPr="008E7C45" w:rsidRDefault="00317BC0" w:rsidP="003D5D5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Office no 201, Plot No 180-C, Al </w:t>
      </w:r>
      <w:proofErr w:type="spellStart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Murtaza</w:t>
      </w:r>
      <w:proofErr w:type="spellEnd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Commercial Lane 2, DHA Phase VIII, Karachi</w:t>
      </w:r>
    </w:p>
    <w:p w:rsidR="00566FAB" w:rsidRPr="008E7C45" w:rsidRDefault="00317BC0" w:rsidP="003D5D5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Pakistan</w:t>
      </w:r>
    </w:p>
    <w:p w:rsidR="008B45E7" w:rsidRDefault="000E7B56" w:rsidP="003D5D5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+</w:t>
      </w:r>
      <w:r w:rsidR="00317BC0">
        <w:rPr>
          <w:rFonts w:ascii="Times New Roman" w:eastAsia="Calibri" w:hAnsi="Times New Roman" w:cs="Times New Roman"/>
          <w:spacing w:val="-2"/>
          <w:sz w:val="24"/>
          <w:szCs w:val="24"/>
        </w:rPr>
        <w:t>92-21-33406147</w:t>
      </w:r>
    </w:p>
    <w:p w:rsidR="00566FAB" w:rsidRPr="008B45E7" w:rsidRDefault="00566FAB" w:rsidP="003D5D5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E-mail: </w:t>
      </w:r>
      <w:r w:rsidR="008B45E7">
        <w:rPr>
          <w:rFonts w:ascii="Times New Roman" w:eastAsia="Calibri" w:hAnsi="Times New Roman" w:cs="Times New Roman"/>
          <w:spacing w:val="-2"/>
          <w:sz w:val="24"/>
          <w:szCs w:val="24"/>
        </w:rPr>
        <w:t>pd@sihpp.gos.pk</w:t>
      </w:r>
    </w:p>
    <w:p w:rsidR="00566FAB" w:rsidRPr="00566FAB" w:rsidRDefault="00317BC0" w:rsidP="003D5D53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https://sihpp.gos.pk</w:t>
      </w:r>
    </w:p>
    <w:sectPr w:rsidR="00566FAB" w:rsidRPr="00566FAB" w:rsidSect="000163EE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5FF1"/>
    <w:multiLevelType w:val="hybridMultilevel"/>
    <w:tmpl w:val="D5465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61DA"/>
    <w:multiLevelType w:val="hybridMultilevel"/>
    <w:tmpl w:val="775C7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4321"/>
    <w:multiLevelType w:val="hybridMultilevel"/>
    <w:tmpl w:val="F8100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A23FC"/>
    <w:multiLevelType w:val="hybridMultilevel"/>
    <w:tmpl w:val="53042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C4E"/>
    <w:multiLevelType w:val="hybridMultilevel"/>
    <w:tmpl w:val="A9EE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02FD3"/>
    <w:rsid w:val="000163EE"/>
    <w:rsid w:val="0002164D"/>
    <w:rsid w:val="00077BBD"/>
    <w:rsid w:val="000B683B"/>
    <w:rsid w:val="000E3F36"/>
    <w:rsid w:val="000E7B56"/>
    <w:rsid w:val="00145726"/>
    <w:rsid w:val="00190C22"/>
    <w:rsid w:val="00191584"/>
    <w:rsid w:val="001E39E5"/>
    <w:rsid w:val="001F451E"/>
    <w:rsid w:val="002050DE"/>
    <w:rsid w:val="00234B32"/>
    <w:rsid w:val="0023621D"/>
    <w:rsid w:val="00236989"/>
    <w:rsid w:val="00244D4A"/>
    <w:rsid w:val="00261F48"/>
    <w:rsid w:val="00295AA9"/>
    <w:rsid w:val="002E7192"/>
    <w:rsid w:val="00317BC0"/>
    <w:rsid w:val="00371AF5"/>
    <w:rsid w:val="003D5D53"/>
    <w:rsid w:val="003D5DA1"/>
    <w:rsid w:val="003E02AD"/>
    <w:rsid w:val="00472047"/>
    <w:rsid w:val="004F71A9"/>
    <w:rsid w:val="00566FAB"/>
    <w:rsid w:val="005B3C3D"/>
    <w:rsid w:val="005E21C5"/>
    <w:rsid w:val="005F43D9"/>
    <w:rsid w:val="0060077A"/>
    <w:rsid w:val="006335D0"/>
    <w:rsid w:val="00644996"/>
    <w:rsid w:val="006F5774"/>
    <w:rsid w:val="00705F63"/>
    <w:rsid w:val="00713F8A"/>
    <w:rsid w:val="0074698D"/>
    <w:rsid w:val="007518BA"/>
    <w:rsid w:val="00764111"/>
    <w:rsid w:val="007E69D5"/>
    <w:rsid w:val="007F353E"/>
    <w:rsid w:val="00803053"/>
    <w:rsid w:val="00812C2C"/>
    <w:rsid w:val="008203C2"/>
    <w:rsid w:val="00834E50"/>
    <w:rsid w:val="008473F9"/>
    <w:rsid w:val="00892A81"/>
    <w:rsid w:val="008B45E7"/>
    <w:rsid w:val="008C1FA6"/>
    <w:rsid w:val="008D24C6"/>
    <w:rsid w:val="008E7C45"/>
    <w:rsid w:val="00905401"/>
    <w:rsid w:val="009135DA"/>
    <w:rsid w:val="009A4BBC"/>
    <w:rsid w:val="009D019B"/>
    <w:rsid w:val="009E680E"/>
    <w:rsid w:val="00A20313"/>
    <w:rsid w:val="00A26E50"/>
    <w:rsid w:val="00A34624"/>
    <w:rsid w:val="00A37021"/>
    <w:rsid w:val="00A634B8"/>
    <w:rsid w:val="00A64690"/>
    <w:rsid w:val="00A962B6"/>
    <w:rsid w:val="00AD3A53"/>
    <w:rsid w:val="00B430DC"/>
    <w:rsid w:val="00B50647"/>
    <w:rsid w:val="00B53F95"/>
    <w:rsid w:val="00B767CA"/>
    <w:rsid w:val="00B85F2A"/>
    <w:rsid w:val="00BA4915"/>
    <w:rsid w:val="00BA7A4A"/>
    <w:rsid w:val="00BE4683"/>
    <w:rsid w:val="00BF778B"/>
    <w:rsid w:val="00C51B10"/>
    <w:rsid w:val="00C6431B"/>
    <w:rsid w:val="00C74771"/>
    <w:rsid w:val="00CC069A"/>
    <w:rsid w:val="00CE5DA0"/>
    <w:rsid w:val="00CF7B80"/>
    <w:rsid w:val="00D2359C"/>
    <w:rsid w:val="00D42FAB"/>
    <w:rsid w:val="00D522FE"/>
    <w:rsid w:val="00D6104A"/>
    <w:rsid w:val="00D63F18"/>
    <w:rsid w:val="00DE4523"/>
    <w:rsid w:val="00E02256"/>
    <w:rsid w:val="00E71720"/>
    <w:rsid w:val="00EA537C"/>
    <w:rsid w:val="00ED2B16"/>
    <w:rsid w:val="00ED2DCD"/>
    <w:rsid w:val="00F3027C"/>
    <w:rsid w:val="00F520A7"/>
    <w:rsid w:val="00FA7E42"/>
    <w:rsid w:val="00FB7984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Resume Title,List Paragraph (numbered (a)),References,MC Paragraphe Liste,Normal 2,Use Case List Paragraph,NUMBERED PARAGRAPH,List Paragraph 1,Bullets,List_Paragraph,Multilevel para_II,List Paragraph1,Liste 1,Title Style 1"/>
    <w:basedOn w:val="Normal"/>
    <w:link w:val="ListParagraphChar"/>
    <w:uiPriority w:val="34"/>
    <w:qFormat/>
    <w:rsid w:val="00DE4523"/>
    <w:pPr>
      <w:spacing w:after="160" w:line="254" w:lineRule="auto"/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Use Case List Paragraph Char,NUMBERED PARAGRAPH Char,List Paragraph 1 Char,Bullets Char,Liste 1 Char"/>
    <w:link w:val="ListParagraph"/>
    <w:uiPriority w:val="34"/>
    <w:qFormat/>
    <w:locked/>
    <w:rsid w:val="00DE4523"/>
  </w:style>
  <w:style w:type="table" w:styleId="TableGrid">
    <w:name w:val="Table Grid"/>
    <w:basedOn w:val="TableNormal"/>
    <w:uiPriority w:val="39"/>
    <w:rsid w:val="009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Microsoft account</cp:lastModifiedBy>
  <cp:revision>97</cp:revision>
  <cp:lastPrinted>2024-03-13T10:06:00Z</cp:lastPrinted>
  <dcterms:created xsi:type="dcterms:W3CDTF">2019-02-06T07:45:00Z</dcterms:created>
  <dcterms:modified xsi:type="dcterms:W3CDTF">2024-06-11T08:04:00Z</dcterms:modified>
</cp:coreProperties>
</file>