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F75A" w14:textId="77777777" w:rsidR="005C008A" w:rsidRPr="00F96061" w:rsidRDefault="005C008A" w:rsidP="005C008A">
      <w:pPr>
        <w:suppressAutoHyphens w:val="0"/>
        <w:overflowPunct/>
        <w:autoSpaceDE/>
        <w:autoSpaceDN/>
        <w:adjustRightInd/>
        <w:jc w:val="center"/>
        <w:textAlignment w:val="auto"/>
        <w:rPr>
          <w:rFonts w:ascii="Cambria" w:hAnsi="Cambria"/>
          <w:color w:val="000000" w:themeColor="text1"/>
          <w:sz w:val="48"/>
          <w:szCs w:val="48"/>
          <w:lang w:eastAsia="en-US"/>
        </w:rPr>
      </w:pPr>
      <w:bookmarkStart w:id="0" w:name="_Toc273556445"/>
      <w:bookmarkStart w:id="1" w:name="_Toc273556572"/>
      <w:bookmarkStart w:id="2" w:name="_Toc273608466"/>
      <w:bookmarkStart w:id="3" w:name="_Toc273608533"/>
      <w:r w:rsidRPr="00F96061">
        <w:rPr>
          <w:rFonts w:ascii="Cambria" w:hAnsi="Cambr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63C9C80" wp14:editId="2E4C9CBD">
            <wp:simplePos x="0" y="0"/>
            <wp:positionH relativeFrom="column">
              <wp:posOffset>5618480</wp:posOffset>
            </wp:positionH>
            <wp:positionV relativeFrom="paragraph">
              <wp:posOffset>-739775</wp:posOffset>
            </wp:positionV>
            <wp:extent cx="648335" cy="875030"/>
            <wp:effectExtent l="19050" t="0" r="0" b="0"/>
            <wp:wrapNone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061">
        <w:rPr>
          <w:rFonts w:ascii="Cambria" w:hAnsi="Cambr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C25C804" wp14:editId="6077149F">
            <wp:simplePos x="0" y="0"/>
            <wp:positionH relativeFrom="column">
              <wp:posOffset>-20320</wp:posOffset>
            </wp:positionH>
            <wp:positionV relativeFrom="paragraph">
              <wp:posOffset>-560070</wp:posOffset>
            </wp:positionV>
            <wp:extent cx="836930" cy="563880"/>
            <wp:effectExtent l="19050" t="0" r="1270" b="0"/>
            <wp:wrapNone/>
            <wp:docPr id="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50"/>
      </w:tblGrid>
      <w:tr w:rsidR="00F96061" w:rsidRPr="00F96061" w14:paraId="53A4990C" w14:textId="77777777" w:rsidTr="00E7740E">
        <w:tc>
          <w:tcPr>
            <w:tcW w:w="5495" w:type="dxa"/>
          </w:tcPr>
          <w:p w14:paraId="4D691EA5" w14:textId="77777777" w:rsidR="005C008A" w:rsidRPr="00F96061" w:rsidRDefault="005C008A" w:rsidP="00E7740E">
            <w:pPr>
              <w:spacing w:line="360" w:lineRule="auto"/>
              <w:jc w:val="left"/>
              <w:rPr>
                <w:rFonts w:ascii="Times New Roman Bold" w:hAnsi="Times New Roman Bold"/>
                <w:b/>
                <w:color w:val="000000" w:themeColor="text1"/>
                <w:spacing w:val="80"/>
                <w:sz w:val="44"/>
                <w:szCs w:val="44"/>
              </w:rPr>
            </w:pPr>
            <w:r w:rsidRPr="00F96061">
              <w:rPr>
                <w:b/>
                <w:bCs/>
                <w:color w:val="000000" w:themeColor="text1"/>
                <w:spacing w:val="40"/>
                <w:sz w:val="28"/>
                <w:szCs w:val="28"/>
              </w:rPr>
              <w:t>Ministère de la Santé</w:t>
            </w:r>
          </w:p>
        </w:tc>
        <w:tc>
          <w:tcPr>
            <w:tcW w:w="4750" w:type="dxa"/>
          </w:tcPr>
          <w:p w14:paraId="54C98FF5" w14:textId="77777777" w:rsidR="005C008A" w:rsidRPr="00F96061" w:rsidRDefault="005C008A" w:rsidP="00E7740E">
            <w:pPr>
              <w:spacing w:line="360" w:lineRule="auto"/>
              <w:jc w:val="center"/>
              <w:rPr>
                <w:rFonts w:ascii="Times New Roman Bold" w:hAnsi="Times New Roman Bold"/>
                <w:b/>
                <w:color w:val="000000" w:themeColor="text1"/>
                <w:spacing w:val="80"/>
                <w:sz w:val="44"/>
                <w:szCs w:val="44"/>
              </w:rPr>
            </w:pPr>
            <w:r w:rsidRPr="00F96061">
              <w:rPr>
                <w:b/>
                <w:bCs/>
                <w:color w:val="000000" w:themeColor="text1"/>
                <w:spacing w:val="40"/>
                <w:sz w:val="28"/>
                <w:szCs w:val="28"/>
              </w:rPr>
              <w:t xml:space="preserve">Ministère de l’Equipement et de l’Habitat </w:t>
            </w:r>
          </w:p>
        </w:tc>
      </w:tr>
    </w:tbl>
    <w:p w14:paraId="6C90428A" w14:textId="77777777" w:rsidR="005C008A" w:rsidRPr="00F96061" w:rsidRDefault="005C008A" w:rsidP="005C008A">
      <w:pPr>
        <w:suppressAutoHyphens w:val="0"/>
        <w:overflowPunct/>
        <w:autoSpaceDE/>
        <w:autoSpaceDN/>
        <w:adjustRightInd/>
        <w:jc w:val="center"/>
        <w:textAlignment w:val="auto"/>
        <w:rPr>
          <w:rFonts w:ascii="Cambria" w:hAnsi="Cambria"/>
          <w:color w:val="000000" w:themeColor="text1"/>
          <w:sz w:val="48"/>
          <w:szCs w:val="48"/>
          <w:lang w:eastAsia="en-US"/>
        </w:rPr>
      </w:pPr>
    </w:p>
    <w:bookmarkEnd w:id="0"/>
    <w:bookmarkEnd w:id="1"/>
    <w:bookmarkEnd w:id="2"/>
    <w:bookmarkEnd w:id="3"/>
    <w:p w14:paraId="75559886" w14:textId="77777777" w:rsidR="005C008A" w:rsidRPr="00F96061" w:rsidRDefault="005C008A" w:rsidP="005C008A">
      <w:pPr>
        <w:rPr>
          <w:color w:val="000000" w:themeColor="text1"/>
        </w:rPr>
      </w:pPr>
    </w:p>
    <w:p w14:paraId="6FC93833" w14:textId="77777777" w:rsidR="005C008A" w:rsidRPr="00F96061" w:rsidRDefault="005C008A" w:rsidP="005C008A">
      <w:pPr>
        <w:jc w:val="center"/>
        <w:rPr>
          <w:b/>
          <w:color w:val="000000" w:themeColor="text1"/>
          <w:sz w:val="56"/>
          <w:szCs w:val="56"/>
        </w:rPr>
      </w:pPr>
      <w:r w:rsidRPr="00F96061">
        <w:rPr>
          <w:b/>
          <w:color w:val="000000" w:themeColor="text1"/>
          <w:sz w:val="56"/>
          <w:szCs w:val="56"/>
        </w:rPr>
        <w:t xml:space="preserve">CONSTRUCTION DE L’HOPITAL REGIONAL CATEGORIE "B" </w:t>
      </w:r>
    </w:p>
    <w:p w14:paraId="157DEF8C" w14:textId="77777777" w:rsidR="005C008A" w:rsidRPr="00F96061" w:rsidRDefault="005C008A" w:rsidP="005C008A">
      <w:pPr>
        <w:jc w:val="center"/>
        <w:rPr>
          <w:b/>
          <w:color w:val="000000" w:themeColor="text1"/>
          <w:sz w:val="56"/>
          <w:szCs w:val="56"/>
        </w:rPr>
      </w:pPr>
      <w:r w:rsidRPr="00F96061">
        <w:rPr>
          <w:b/>
          <w:color w:val="000000" w:themeColor="text1"/>
          <w:sz w:val="56"/>
          <w:szCs w:val="56"/>
        </w:rPr>
        <w:t>A DAHMANI (lot Unique)</w:t>
      </w:r>
    </w:p>
    <w:p w14:paraId="1B5B7A72" w14:textId="77777777" w:rsidR="005C008A" w:rsidRPr="00F96061" w:rsidRDefault="005C008A" w:rsidP="005C008A">
      <w:pPr>
        <w:jc w:val="center"/>
        <w:rPr>
          <w:b/>
          <w:color w:val="000000" w:themeColor="text1"/>
          <w:sz w:val="56"/>
          <w:szCs w:val="56"/>
        </w:rPr>
      </w:pPr>
      <w:r w:rsidRPr="00F96061">
        <w:rPr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535F096D" wp14:editId="7FF9897D">
            <wp:simplePos x="0" y="0"/>
            <wp:positionH relativeFrom="column">
              <wp:posOffset>2823210</wp:posOffset>
            </wp:positionH>
            <wp:positionV relativeFrom="paragraph">
              <wp:posOffset>63500</wp:posOffset>
            </wp:positionV>
            <wp:extent cx="763270" cy="967105"/>
            <wp:effectExtent l="19050" t="0" r="0" b="0"/>
            <wp:wrapSquare wrapText="bothSides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DB | EN | logo | initials | colour |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51DD0" w14:textId="77777777" w:rsidR="005C008A" w:rsidRPr="00F96061" w:rsidRDefault="005C008A" w:rsidP="005C008A">
      <w:pPr>
        <w:tabs>
          <w:tab w:val="left" w:pos="6455"/>
        </w:tabs>
        <w:jc w:val="center"/>
        <w:rPr>
          <w:b/>
          <w:color w:val="000000" w:themeColor="text1"/>
          <w:sz w:val="52"/>
        </w:rPr>
      </w:pPr>
    </w:p>
    <w:p w14:paraId="6B058974" w14:textId="77777777" w:rsidR="005C008A" w:rsidRPr="00F96061" w:rsidRDefault="005C008A" w:rsidP="005C008A">
      <w:pPr>
        <w:rPr>
          <w:b/>
          <w:color w:val="000000" w:themeColor="text1"/>
          <w:sz w:val="28"/>
        </w:rPr>
      </w:pPr>
    </w:p>
    <w:p w14:paraId="4E771FA0" w14:textId="77777777" w:rsidR="005C008A" w:rsidRPr="00F96061" w:rsidRDefault="005C008A" w:rsidP="005C008A">
      <w:pPr>
        <w:rPr>
          <w:b/>
          <w:color w:val="000000" w:themeColor="text1"/>
          <w:sz w:val="28"/>
        </w:rPr>
      </w:pPr>
    </w:p>
    <w:p w14:paraId="4B0519F6" w14:textId="77777777" w:rsidR="005C008A" w:rsidRPr="00F96061" w:rsidRDefault="005C008A" w:rsidP="005C008A">
      <w:pPr>
        <w:jc w:val="center"/>
        <w:rPr>
          <w:b/>
          <w:color w:val="000000" w:themeColor="text1"/>
          <w:sz w:val="28"/>
        </w:rPr>
      </w:pPr>
      <w:r w:rsidRPr="00F96061">
        <w:rPr>
          <w:b/>
          <w:color w:val="000000" w:themeColor="text1"/>
          <w:sz w:val="28"/>
        </w:rPr>
        <w:t>BANQUE ISLAMIQUE DE DEVELOPPEMENT</w:t>
      </w:r>
    </w:p>
    <w:p w14:paraId="1DC1CE3B" w14:textId="77777777" w:rsidR="005C008A" w:rsidRPr="00F96061" w:rsidRDefault="005C008A" w:rsidP="005C008A">
      <w:pPr>
        <w:jc w:val="center"/>
        <w:rPr>
          <w:b/>
          <w:color w:val="000000" w:themeColor="text1"/>
          <w:sz w:val="28"/>
        </w:rPr>
      </w:pPr>
    </w:p>
    <w:p w14:paraId="2F117B6F" w14:textId="77777777" w:rsidR="005C008A" w:rsidRPr="00F96061" w:rsidRDefault="005C008A" w:rsidP="005C008A">
      <w:pPr>
        <w:rPr>
          <w:b/>
          <w:color w:val="000000" w:themeColor="text1"/>
          <w:sz w:val="28"/>
          <w:u w:val="single"/>
        </w:rPr>
      </w:pPr>
    </w:p>
    <w:p w14:paraId="4CB92E89" w14:textId="77777777" w:rsidR="005C008A" w:rsidRPr="00F96061" w:rsidRDefault="005C008A" w:rsidP="005C008A">
      <w:pPr>
        <w:jc w:val="center"/>
        <w:rPr>
          <w:b/>
          <w:color w:val="000000" w:themeColor="text1"/>
          <w:sz w:val="70"/>
          <w:szCs w:val="70"/>
          <w:u w:val="single"/>
        </w:rPr>
      </w:pPr>
      <w:r w:rsidRPr="00F96061">
        <w:rPr>
          <w:b/>
          <w:color w:val="000000" w:themeColor="text1"/>
          <w:sz w:val="70"/>
          <w:szCs w:val="70"/>
          <w:u w:val="single"/>
        </w:rPr>
        <w:t>ADDITIF N</w:t>
      </w:r>
      <w:r w:rsidR="001D0B22" w:rsidRPr="00F96061">
        <w:rPr>
          <w:b/>
          <w:color w:val="000000" w:themeColor="text1"/>
          <w:sz w:val="70"/>
          <w:szCs w:val="70"/>
          <w:u w:val="single"/>
        </w:rPr>
        <w:t>:</w:t>
      </w:r>
      <w:r w:rsidRPr="00F96061">
        <w:rPr>
          <w:b/>
          <w:color w:val="000000" w:themeColor="text1"/>
          <w:sz w:val="70"/>
          <w:szCs w:val="70"/>
          <w:u w:val="single"/>
        </w:rPr>
        <w:t>01</w:t>
      </w:r>
    </w:p>
    <w:p w14:paraId="773B161B" w14:textId="77777777" w:rsidR="005C008A" w:rsidRPr="00F96061" w:rsidRDefault="005C008A" w:rsidP="005C008A">
      <w:pPr>
        <w:jc w:val="center"/>
        <w:rPr>
          <w:b/>
          <w:color w:val="000000" w:themeColor="text1"/>
          <w:sz w:val="52"/>
          <w:szCs w:val="52"/>
        </w:rPr>
      </w:pPr>
    </w:p>
    <w:p w14:paraId="30CC0FEE" w14:textId="77777777" w:rsidR="005C008A" w:rsidRPr="00F96061" w:rsidRDefault="005C008A" w:rsidP="005C008A">
      <w:pPr>
        <w:jc w:val="center"/>
        <w:rPr>
          <w:b/>
          <w:color w:val="000000" w:themeColor="text1"/>
          <w:sz w:val="52"/>
          <w:szCs w:val="52"/>
        </w:rPr>
      </w:pPr>
    </w:p>
    <w:p w14:paraId="1F8BFCB2" w14:textId="77777777" w:rsidR="005C008A" w:rsidRPr="00F96061" w:rsidRDefault="005C008A" w:rsidP="005C008A">
      <w:pPr>
        <w:rPr>
          <w:b/>
          <w:color w:val="000000" w:themeColor="text1"/>
          <w:sz w:val="28"/>
        </w:rPr>
      </w:pPr>
      <w:r w:rsidRPr="00F96061">
        <w:rPr>
          <w:b/>
          <w:color w:val="000000" w:themeColor="text1"/>
          <w:sz w:val="28"/>
        </w:rPr>
        <w:t>Émis-le : 22 JANVIER 2024</w:t>
      </w:r>
    </w:p>
    <w:p w14:paraId="586A0D55" w14:textId="77777777" w:rsidR="005C008A" w:rsidRPr="00F96061" w:rsidRDefault="005C008A" w:rsidP="005C008A">
      <w:pPr>
        <w:jc w:val="left"/>
        <w:rPr>
          <w:b/>
          <w:color w:val="000000" w:themeColor="text1"/>
          <w:sz w:val="28"/>
        </w:rPr>
      </w:pPr>
    </w:p>
    <w:p w14:paraId="778E5975" w14:textId="77777777" w:rsidR="005C008A" w:rsidRPr="00F96061" w:rsidRDefault="005C008A" w:rsidP="005C008A">
      <w:pPr>
        <w:ind w:left="993" w:hanging="993"/>
        <w:jc w:val="left"/>
        <w:rPr>
          <w:b/>
          <w:color w:val="000000" w:themeColor="text1"/>
          <w:sz w:val="28"/>
        </w:rPr>
      </w:pPr>
      <w:r w:rsidRPr="00F96061">
        <w:rPr>
          <w:b/>
          <w:color w:val="000000" w:themeColor="text1"/>
          <w:sz w:val="28"/>
        </w:rPr>
        <w:t>Code du projet : TUN-1015</w:t>
      </w:r>
    </w:p>
    <w:p w14:paraId="2B0AC6B4" w14:textId="77777777" w:rsidR="005C008A" w:rsidRPr="00F96061" w:rsidRDefault="005C008A" w:rsidP="005C008A">
      <w:pPr>
        <w:rPr>
          <w:color w:val="000000" w:themeColor="text1"/>
        </w:rPr>
      </w:pPr>
    </w:p>
    <w:p w14:paraId="5775C221" w14:textId="77777777" w:rsidR="005C008A" w:rsidRPr="00F96061" w:rsidRDefault="005C008A" w:rsidP="005C008A">
      <w:pPr>
        <w:rPr>
          <w:b/>
          <w:color w:val="000000" w:themeColor="text1"/>
          <w:sz w:val="28"/>
        </w:rPr>
      </w:pPr>
      <w:r w:rsidRPr="00F96061">
        <w:rPr>
          <w:b/>
          <w:color w:val="000000" w:themeColor="text1"/>
          <w:sz w:val="28"/>
        </w:rPr>
        <w:t xml:space="preserve">Maître de l’Ouvrage : Ministère de la Santé. </w:t>
      </w:r>
    </w:p>
    <w:p w14:paraId="5BA5448D" w14:textId="77777777" w:rsidR="005C008A" w:rsidRPr="00F96061" w:rsidRDefault="005C008A" w:rsidP="005C008A">
      <w:pPr>
        <w:rPr>
          <w:b/>
          <w:color w:val="000000" w:themeColor="text1"/>
          <w:sz w:val="28"/>
        </w:rPr>
      </w:pPr>
    </w:p>
    <w:p w14:paraId="6E43C9E2" w14:textId="77777777" w:rsidR="005C008A" w:rsidRPr="00F96061" w:rsidRDefault="005C008A" w:rsidP="005C008A">
      <w:pPr>
        <w:rPr>
          <w:b/>
          <w:color w:val="000000" w:themeColor="text1"/>
          <w:sz w:val="28"/>
        </w:rPr>
      </w:pPr>
      <w:r w:rsidRPr="00F96061">
        <w:rPr>
          <w:b/>
          <w:color w:val="000000" w:themeColor="text1"/>
          <w:sz w:val="28"/>
        </w:rPr>
        <w:t xml:space="preserve">Maitre d’Ouvrage Délégué : Ministère de l’Equipement </w:t>
      </w:r>
      <w:r w:rsidRPr="00F96061">
        <w:rPr>
          <w:b/>
          <w:bCs/>
          <w:color w:val="000000" w:themeColor="text1"/>
          <w:spacing w:val="40"/>
          <w:sz w:val="28"/>
          <w:szCs w:val="28"/>
        </w:rPr>
        <w:t>et</w:t>
      </w:r>
      <w:r w:rsidRPr="00F96061">
        <w:rPr>
          <w:b/>
          <w:color w:val="000000" w:themeColor="text1"/>
          <w:sz w:val="28"/>
        </w:rPr>
        <w:t xml:space="preserve"> de l’Habitat </w:t>
      </w:r>
    </w:p>
    <w:p w14:paraId="39A4DC30" w14:textId="77777777" w:rsidR="005C008A" w:rsidRPr="00F96061" w:rsidRDefault="005C008A" w:rsidP="005C008A">
      <w:pPr>
        <w:rPr>
          <w:color w:val="000000" w:themeColor="text1"/>
        </w:rPr>
      </w:pPr>
    </w:p>
    <w:p w14:paraId="049FE54C" w14:textId="77777777" w:rsidR="005C008A" w:rsidRPr="00F96061" w:rsidRDefault="005C008A" w:rsidP="005C008A">
      <w:pPr>
        <w:rPr>
          <w:b/>
          <w:color w:val="000000" w:themeColor="text1"/>
          <w:sz w:val="52"/>
        </w:rPr>
      </w:pPr>
      <w:r w:rsidRPr="00F96061">
        <w:rPr>
          <w:b/>
          <w:color w:val="000000" w:themeColor="text1"/>
          <w:sz w:val="28"/>
        </w:rPr>
        <w:t>Pays : Tunisie</w:t>
      </w:r>
    </w:p>
    <w:p w14:paraId="052C4F82" w14:textId="77777777" w:rsidR="00FA1356" w:rsidRPr="00F96061" w:rsidRDefault="00FA1356">
      <w:pPr>
        <w:rPr>
          <w:color w:val="000000" w:themeColor="text1"/>
        </w:rPr>
      </w:pPr>
    </w:p>
    <w:p w14:paraId="0FF2D8DD" w14:textId="77777777" w:rsidR="005C008A" w:rsidRPr="00F96061" w:rsidRDefault="005C008A">
      <w:pPr>
        <w:rPr>
          <w:color w:val="000000" w:themeColor="text1"/>
        </w:rPr>
      </w:pPr>
    </w:p>
    <w:p w14:paraId="72765752" w14:textId="77777777" w:rsidR="005C008A" w:rsidRPr="00F96061" w:rsidRDefault="005C008A">
      <w:pPr>
        <w:rPr>
          <w:color w:val="000000" w:themeColor="text1"/>
        </w:rPr>
      </w:pPr>
    </w:p>
    <w:p w14:paraId="4100D81B" w14:textId="77777777" w:rsidR="005C008A" w:rsidRPr="00F96061" w:rsidRDefault="005C008A">
      <w:pPr>
        <w:rPr>
          <w:color w:val="000000" w:themeColor="text1"/>
        </w:rPr>
      </w:pPr>
    </w:p>
    <w:p w14:paraId="586F4C43" w14:textId="77777777" w:rsidR="005C008A" w:rsidRPr="00F96061" w:rsidRDefault="005C008A">
      <w:pPr>
        <w:rPr>
          <w:color w:val="000000" w:themeColor="text1"/>
        </w:rPr>
      </w:pPr>
    </w:p>
    <w:p w14:paraId="40CD98FB" w14:textId="77777777" w:rsidR="005C008A" w:rsidRPr="00F96061" w:rsidRDefault="005C008A">
      <w:pPr>
        <w:rPr>
          <w:color w:val="000000" w:themeColor="text1"/>
        </w:rPr>
      </w:pPr>
    </w:p>
    <w:p w14:paraId="2A72AB94" w14:textId="77777777" w:rsidR="005C008A" w:rsidRPr="00F96061" w:rsidRDefault="005C008A">
      <w:pPr>
        <w:rPr>
          <w:color w:val="000000" w:themeColor="text1"/>
        </w:rPr>
      </w:pPr>
    </w:p>
    <w:tbl>
      <w:tblPr>
        <w:tblW w:w="915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4577"/>
      </w:tblGrid>
      <w:tr w:rsidR="00F96061" w:rsidRPr="00F96061" w14:paraId="3562ED64" w14:textId="77777777" w:rsidTr="001D0B22">
        <w:trPr>
          <w:trHeight w:val="331"/>
        </w:trPr>
        <w:tc>
          <w:tcPr>
            <w:tcW w:w="4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0CE" w14:textId="77777777" w:rsidR="001D0B22" w:rsidRPr="00F96061" w:rsidRDefault="001D0B22" w:rsidP="001D0B22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9606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lastRenderedPageBreak/>
              <w:t>Article CCAG 48.1 Initial</w:t>
            </w:r>
          </w:p>
        </w:tc>
        <w:tc>
          <w:tcPr>
            <w:tcW w:w="45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EA5F9D" w14:textId="77777777" w:rsidR="001D0B22" w:rsidRPr="00F96061" w:rsidRDefault="001D0B22" w:rsidP="001D0B22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9606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Article CCAG 48.1 modifié</w:t>
            </w:r>
          </w:p>
        </w:tc>
      </w:tr>
      <w:tr w:rsidR="00F96061" w:rsidRPr="00F96061" w14:paraId="179E78BB" w14:textId="77777777" w:rsidTr="001D0B22">
        <w:trPr>
          <w:trHeight w:val="5126"/>
        </w:trPr>
        <w:tc>
          <w:tcPr>
            <w:tcW w:w="45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F39E9A0" w14:textId="77777777" w:rsidR="001D0B22" w:rsidRPr="00F96061" w:rsidRDefault="001D0B22" w:rsidP="001D0B22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Il sera accordé à l’entrepreneur et sur sa demande expresse de bénéfice de l’avance, une avance de dix pour cent (10%) du montant des travaux dont l’exécution est prévue pendant les 12 premiers mois.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Cette avance ne sera réglée à l’Entrepreneur qu’à l’approbation de son marché et après fourniture par celui - ci d’une caution bancaire personnelle et solidaire délivrée par une banque agréée dont le montant est égal au montant de l’avance pour garantir le remboursement de la totalité de l’avance.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Ce cautionnement bancaire est irrévocable, inconditionnel et payable à la première demande de l’administration.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Les montants dus au titre de l’avance sont remboursés par déduction, à mesure de l’avancement des travaux à raison de 10% du montant des travaux, sur les sommes dues à titre d’acomptes ou de paiement pour solde. toutefois la restitution totale de cette avance ne doit pas dépasser les douze premiers mois. 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La main levée de la caution bancaire afférente à cette avance sera donnée proportionnellement au montant restitué de l’avance.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C45FDD" w14:textId="77777777" w:rsidR="001D0B22" w:rsidRPr="00F96061" w:rsidRDefault="001D0B22" w:rsidP="001D0B22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Il sera accordé à l’entrepreneur et sur sa demande expresse de bénéfice de l’avance, une avance de vingt pour cent (20%) du montant des travaux dont l’exécution est prévue pendant les 12 premiers mois.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Cette avance ne sera réglée à l’Entrepreneur qu’à l’approbation de son marché et après fourniture par celui - ci d’une caution bancaire personnelle et solidaire délivrée par une banque agréée dont le montant est égal au montant de l’avance pour garantir le remboursement de la totalité de l’avance.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Ce cautionnement bancaire est irrévocable, inconditionnel et payable à la première demande de l’administration.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Les montants dus au titre de l’avance sont remboursés par déduction, à mesure de l’avancement des travaux à raison de 20% du montant des travaux, sur les sommes dues à titre d’acomptes ou de paiement pour solde. toutefois la restitution totale de cette avance ne doit pas dépasser les douze premiers mois. </w:t>
            </w:r>
            <w:r w:rsidRPr="00F960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La main levée de la caution bancaire afférente à cette avance sera donnée proportionnellement au montant restitué de l’avance.</w:t>
            </w:r>
          </w:p>
        </w:tc>
      </w:tr>
    </w:tbl>
    <w:p w14:paraId="358A5070" w14:textId="77777777" w:rsidR="005C008A" w:rsidRPr="00F96061" w:rsidRDefault="005C008A">
      <w:pPr>
        <w:rPr>
          <w:color w:val="000000" w:themeColor="text1"/>
        </w:rPr>
      </w:pPr>
    </w:p>
    <w:sectPr w:rsidR="005C008A" w:rsidRPr="00F96061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6732" w14:textId="77777777" w:rsidR="00DD21E2" w:rsidRDefault="00DD21E2" w:rsidP="00DD21E2">
      <w:r>
        <w:separator/>
      </w:r>
    </w:p>
  </w:endnote>
  <w:endnote w:type="continuationSeparator" w:id="0">
    <w:p w14:paraId="33727997" w14:textId="77777777" w:rsidR="00DD21E2" w:rsidRDefault="00DD21E2" w:rsidP="00DD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CDE1" w14:textId="77777777" w:rsidR="00DD21E2" w:rsidRDefault="00DD21E2" w:rsidP="00DD21E2">
      <w:r>
        <w:separator/>
      </w:r>
    </w:p>
  </w:footnote>
  <w:footnote w:type="continuationSeparator" w:id="0">
    <w:p w14:paraId="4A4DD6A5" w14:textId="77777777" w:rsidR="00DD21E2" w:rsidRDefault="00DD21E2" w:rsidP="00DD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E692" w14:textId="7AB9A54B" w:rsidR="00DD21E2" w:rsidRDefault="00DD21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07163F" wp14:editId="61CC0B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2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ACA5B" w14:textId="6BD1C366" w:rsidR="00DD21E2" w:rsidRPr="00DD21E2" w:rsidRDefault="00DD21E2" w:rsidP="00DD21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D21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7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11ACA5B" w14:textId="6BD1C366" w:rsidR="00DD21E2" w:rsidRPr="00DD21E2" w:rsidRDefault="00DD21E2" w:rsidP="00DD21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D21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B2A2" w14:textId="36FA334C" w:rsidR="00DD21E2" w:rsidRDefault="00DD21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8EAF78" wp14:editId="6ED95A35">
              <wp:simplePos x="900113" y="452438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23126" w14:textId="3CE44623" w:rsidR="00DD21E2" w:rsidRPr="00DD21E2" w:rsidRDefault="00DD21E2" w:rsidP="00DD21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D21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EAF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8C23126" w14:textId="3CE44623" w:rsidR="00DD21E2" w:rsidRPr="00DD21E2" w:rsidRDefault="00DD21E2" w:rsidP="00DD21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D21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22F" w14:textId="05A082EE" w:rsidR="00DD21E2" w:rsidRDefault="00DD21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CB8534" wp14:editId="6D4554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4609A" w14:textId="769A9762" w:rsidR="00DD21E2" w:rsidRPr="00DD21E2" w:rsidRDefault="00DD21E2" w:rsidP="00DD21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D21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B8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824609A" w14:textId="769A9762" w:rsidR="00DD21E2" w:rsidRPr="00DD21E2" w:rsidRDefault="00DD21E2" w:rsidP="00DD21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D21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8A"/>
    <w:rsid w:val="001D0B22"/>
    <w:rsid w:val="005C008A"/>
    <w:rsid w:val="00DD21E2"/>
    <w:rsid w:val="00F96061"/>
    <w:rsid w:val="00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E42A"/>
  <w15:chartTrackingRefBased/>
  <w15:docId w15:val="{DD57E4FF-E5ED-4894-B544-736F32A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8A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08A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1E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Mohamed Elusta</cp:lastModifiedBy>
  <cp:revision>2</cp:revision>
  <dcterms:created xsi:type="dcterms:W3CDTF">2024-02-13T13:22:00Z</dcterms:created>
  <dcterms:modified xsi:type="dcterms:W3CDTF">2024-02-13T13:22:00Z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2024-02-13T13:22:35Z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bb73f8fa-ae5b-45fd-b0d7-3d67327b4b8b</vt:lpwstr>
  </property>
  <property fmtid="{D5CDD505-2E9C-101B-9397-08002B2CF9AE}" pid="11" name="MSIP_Label_9ef4adf7-25a7-4f52-a61a-df7190f1d881_ContentBits">
    <vt:lpwstr>1</vt:lpwstr>
  </property>
</Properties>
</file>