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5D27" w14:textId="460223AC" w:rsidR="00C13C16" w:rsidRPr="00325602" w:rsidRDefault="001156AE" w:rsidP="005C146D">
      <w:pPr>
        <w:tabs>
          <w:tab w:val="left" w:pos="1134"/>
        </w:tabs>
        <w:jc w:val="center"/>
        <w:rPr>
          <w:rFonts w:asciiTheme="minorHAnsi" w:hAnsiTheme="minorHAnsi" w:cstheme="minorHAnsi"/>
          <w:b/>
          <w:bCs/>
          <w:rtl/>
        </w:rPr>
      </w:pPr>
      <w:commentRangeStart w:id="0"/>
      <w:commentRangeEnd w:id="0"/>
      <w:r>
        <w:rPr>
          <w:rStyle w:val="CommentReference"/>
        </w:rPr>
        <w:commentReference w:id="0"/>
      </w:r>
    </w:p>
    <w:tbl>
      <w:tblPr>
        <w:tblStyle w:val="Grilledutableau2"/>
        <w:tblpPr w:leftFromText="141" w:rightFromText="141" w:vertAnchor="text" w:horzAnchor="margin" w:tblpXSpec="center" w:tblpY="-2"/>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1"/>
        <w:gridCol w:w="1928"/>
        <w:gridCol w:w="5021"/>
      </w:tblGrid>
      <w:tr w:rsidR="00C13C16" w:rsidRPr="00325602" w14:paraId="0516636A" w14:textId="77777777" w:rsidTr="00C13C16">
        <w:tc>
          <w:tcPr>
            <w:tcW w:w="3401" w:type="dxa"/>
            <w:hideMark/>
          </w:tcPr>
          <w:p w14:paraId="3854B419" w14:textId="54B8A4AA" w:rsidR="00C13C16" w:rsidRPr="00325602" w:rsidRDefault="007345B9" w:rsidP="00C13C16">
            <w:pPr>
              <w:spacing w:before="120" w:line="180" w:lineRule="auto"/>
              <w:ind w:left="34"/>
              <w:rPr>
                <w:rFonts w:asciiTheme="minorHAnsi" w:hAnsiTheme="minorHAnsi" w:cstheme="minorHAnsi"/>
                <w:b/>
                <w:bCs/>
                <w:color w:val="000000"/>
                <w:lang w:bidi="ar-TN"/>
              </w:rPr>
            </w:pPr>
            <w:r w:rsidRPr="00325602">
              <w:rPr>
                <w:rFonts w:asciiTheme="minorHAnsi" w:hAnsiTheme="minorHAnsi" w:cstheme="minorHAnsi"/>
                <w:noProof/>
              </w:rPr>
              <w:drawing>
                <wp:anchor distT="0" distB="0" distL="114300" distR="114300" simplePos="0" relativeHeight="251658240" behindDoc="1" locked="0" layoutInCell="1" allowOverlap="1" wp14:anchorId="22AF92C2" wp14:editId="3899F6CB">
                  <wp:simplePos x="0" y="0"/>
                  <wp:positionH relativeFrom="column">
                    <wp:posOffset>-68580</wp:posOffset>
                  </wp:positionH>
                  <wp:positionV relativeFrom="paragraph">
                    <wp:posOffset>0</wp:posOffset>
                  </wp:positionV>
                  <wp:extent cx="2000250" cy="1504950"/>
                  <wp:effectExtent l="0" t="0" r="0" b="0"/>
                  <wp:wrapTight wrapText="bothSides">
                    <wp:wrapPolygon edited="0">
                      <wp:start x="0" y="0"/>
                      <wp:lineTo x="0" y="21327"/>
                      <wp:lineTo x="21394" y="21327"/>
                      <wp:lineTo x="21394" y="0"/>
                      <wp:lineTo x="0" y="0"/>
                    </wp:wrapPolygon>
                  </wp:wrapTight>
                  <wp:docPr id="8571834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anchor>
              </w:drawing>
            </w:r>
          </w:p>
          <w:p w14:paraId="248DEA91" w14:textId="0490B480" w:rsidR="00C13C16" w:rsidRPr="00325602" w:rsidRDefault="00C13C16" w:rsidP="00C13C16">
            <w:pPr>
              <w:spacing w:before="120" w:line="180" w:lineRule="auto"/>
              <w:ind w:left="34"/>
              <w:jc w:val="center"/>
              <w:rPr>
                <w:rFonts w:asciiTheme="minorHAnsi" w:hAnsiTheme="minorHAnsi" w:cstheme="minorHAnsi"/>
                <w:b/>
                <w:bCs/>
                <w:strike/>
                <w:color w:val="000000"/>
                <w:lang w:bidi="ar-TN"/>
              </w:rPr>
            </w:pPr>
          </w:p>
        </w:tc>
        <w:tc>
          <w:tcPr>
            <w:tcW w:w="1928" w:type="dxa"/>
          </w:tcPr>
          <w:p w14:paraId="736C7B17" w14:textId="00769C66" w:rsidR="00C13C16" w:rsidRPr="00325602" w:rsidRDefault="00C13C16" w:rsidP="00C13C16">
            <w:pPr>
              <w:rPr>
                <w:rFonts w:asciiTheme="minorHAnsi" w:hAnsiTheme="minorHAnsi" w:cstheme="minorHAnsi"/>
                <w:color w:val="000000"/>
                <w:lang w:bidi="ar-TN"/>
              </w:rPr>
            </w:pPr>
          </w:p>
        </w:tc>
        <w:tc>
          <w:tcPr>
            <w:tcW w:w="5021" w:type="dxa"/>
          </w:tcPr>
          <w:p w14:paraId="23BB06F6" w14:textId="77777777" w:rsidR="00C13C16" w:rsidRPr="00325602" w:rsidRDefault="00C13C16" w:rsidP="00C13C16">
            <w:pPr>
              <w:jc w:val="right"/>
              <w:rPr>
                <w:rFonts w:asciiTheme="minorHAnsi" w:hAnsiTheme="minorHAnsi" w:cstheme="minorHAnsi"/>
                <w:rtl/>
                <w:lang w:bidi="ar-TN"/>
              </w:rPr>
            </w:pPr>
            <w:r w:rsidRPr="00325602">
              <w:rPr>
                <w:rFonts w:asciiTheme="minorHAnsi" w:hAnsiTheme="minorHAnsi" w:cstheme="minorHAnsi"/>
                <w:noProof/>
              </w:rPr>
              <w:drawing>
                <wp:inline distT="0" distB="0" distL="0" distR="0" wp14:anchorId="58287245" wp14:editId="22B493A4">
                  <wp:extent cx="628650" cy="628650"/>
                  <wp:effectExtent l="0" t="0" r="0" b="0"/>
                  <wp:docPr id="1859978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7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5906CA88" w14:textId="77777777" w:rsidR="00C13C16" w:rsidRPr="00325602" w:rsidRDefault="00C13C16" w:rsidP="00C13C16">
            <w:pPr>
              <w:jc w:val="right"/>
              <w:rPr>
                <w:rFonts w:asciiTheme="minorHAnsi" w:hAnsiTheme="minorHAnsi" w:cstheme="minorHAnsi"/>
              </w:rPr>
            </w:pPr>
          </w:p>
          <w:p w14:paraId="0A25978B" w14:textId="77777777" w:rsidR="00C13C16" w:rsidRDefault="00C13C16" w:rsidP="00C13C16">
            <w:pPr>
              <w:bidi/>
              <w:rPr>
                <w:rFonts w:asciiTheme="minorHAnsi" w:hAnsiTheme="minorHAnsi" w:cstheme="minorHAnsi"/>
                <w:strike/>
              </w:rPr>
            </w:pPr>
          </w:p>
          <w:p w14:paraId="7494A1F6" w14:textId="5B1F4B09" w:rsidR="007345B9" w:rsidRPr="00325602" w:rsidRDefault="007345B9" w:rsidP="00AE194B">
            <w:pPr>
              <w:bidi/>
              <w:rPr>
                <w:rFonts w:asciiTheme="minorHAnsi" w:hAnsiTheme="minorHAnsi" w:cstheme="minorHAnsi"/>
                <w:strike/>
              </w:rPr>
            </w:pPr>
            <w:r w:rsidRPr="00BB53DF">
              <w:rPr>
                <w:b/>
                <w:noProof/>
                <w:sz w:val="56"/>
                <w:szCs w:val="56"/>
              </w:rPr>
              <w:drawing>
                <wp:anchor distT="0" distB="0" distL="114300" distR="114300" simplePos="0" relativeHeight="251660288" behindDoc="0" locked="0" layoutInCell="1" allowOverlap="1" wp14:anchorId="4F6BF305" wp14:editId="0F518FD1">
                  <wp:simplePos x="0" y="0"/>
                  <wp:positionH relativeFrom="column">
                    <wp:posOffset>2356485</wp:posOffset>
                  </wp:positionH>
                  <wp:positionV relativeFrom="paragraph">
                    <wp:posOffset>13970</wp:posOffset>
                  </wp:positionV>
                  <wp:extent cx="763270" cy="967105"/>
                  <wp:effectExtent l="19050" t="0" r="0" b="0"/>
                  <wp:wrapSquare wrapText="bothSides"/>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270" cy="967105"/>
                          </a:xfrm>
                          <a:prstGeom prst="rect">
                            <a:avLst/>
                          </a:prstGeom>
                        </pic:spPr>
                      </pic:pic>
                    </a:graphicData>
                  </a:graphic>
                </wp:anchor>
              </w:drawing>
            </w:r>
          </w:p>
        </w:tc>
      </w:tr>
    </w:tbl>
    <w:p w14:paraId="13CA2132" w14:textId="6572CA90" w:rsidR="005C146D" w:rsidRPr="00325602" w:rsidRDefault="005C146D" w:rsidP="005C146D">
      <w:pPr>
        <w:tabs>
          <w:tab w:val="left" w:pos="1134"/>
        </w:tabs>
        <w:jc w:val="center"/>
        <w:rPr>
          <w:rFonts w:asciiTheme="minorHAnsi" w:hAnsiTheme="minorHAnsi" w:cstheme="minorHAnsi"/>
          <w:b/>
          <w:bCs/>
        </w:rPr>
      </w:pPr>
      <w:r w:rsidRPr="00325602">
        <w:rPr>
          <w:rFonts w:asciiTheme="minorHAnsi" w:hAnsiTheme="minorHAnsi" w:cstheme="minorHAnsi"/>
          <w:b/>
          <w:bCs/>
        </w:rPr>
        <w:t>REPUBLIQUE TUNISIENNE</w:t>
      </w:r>
    </w:p>
    <w:p w14:paraId="4C6835E8" w14:textId="3EADCC0A" w:rsidR="005C146D" w:rsidRPr="00325602" w:rsidRDefault="005C146D" w:rsidP="005C146D">
      <w:pPr>
        <w:jc w:val="center"/>
        <w:rPr>
          <w:rFonts w:asciiTheme="minorHAnsi" w:hAnsiTheme="minorHAnsi" w:cstheme="minorHAnsi"/>
          <w:b/>
          <w:bCs/>
        </w:rPr>
      </w:pPr>
      <w:r w:rsidRPr="00325602">
        <w:rPr>
          <w:rFonts w:asciiTheme="minorHAnsi" w:hAnsiTheme="minorHAnsi" w:cstheme="minorHAnsi"/>
          <w:b/>
          <w:bCs/>
        </w:rPr>
        <w:t>MINISTERE DE L'EQUIPEMENT</w:t>
      </w:r>
      <w:r w:rsidR="00D76926" w:rsidRPr="00325602">
        <w:rPr>
          <w:rFonts w:asciiTheme="minorHAnsi" w:hAnsiTheme="minorHAnsi" w:cstheme="minorHAnsi"/>
          <w:b/>
          <w:bCs/>
        </w:rPr>
        <w:t xml:space="preserve"> ET</w:t>
      </w:r>
      <w:r w:rsidRPr="00325602">
        <w:rPr>
          <w:rFonts w:asciiTheme="minorHAnsi" w:hAnsiTheme="minorHAnsi" w:cstheme="minorHAnsi"/>
          <w:b/>
          <w:bCs/>
        </w:rPr>
        <w:t xml:space="preserve"> DE L’HABITAT</w:t>
      </w:r>
    </w:p>
    <w:p w14:paraId="19BCA879" w14:textId="48524695" w:rsidR="005C146D" w:rsidRDefault="005C146D" w:rsidP="005C146D">
      <w:pPr>
        <w:jc w:val="center"/>
        <w:rPr>
          <w:rFonts w:asciiTheme="minorHAnsi" w:hAnsiTheme="minorHAnsi" w:cstheme="minorHAnsi"/>
          <w:b/>
          <w:bCs/>
        </w:rPr>
      </w:pPr>
      <w:r w:rsidRPr="00325602">
        <w:rPr>
          <w:rFonts w:asciiTheme="minorHAnsi" w:hAnsiTheme="minorHAnsi" w:cstheme="minorHAnsi"/>
          <w:b/>
          <w:bCs/>
        </w:rPr>
        <w:t xml:space="preserve">DIRECTION GENERALE DES BATIMENTS </w:t>
      </w:r>
      <w:commentRangeStart w:id="1"/>
      <w:commentRangeStart w:id="2"/>
      <w:r w:rsidRPr="00325602">
        <w:rPr>
          <w:rFonts w:asciiTheme="minorHAnsi" w:hAnsiTheme="minorHAnsi" w:cstheme="minorHAnsi"/>
          <w:b/>
          <w:bCs/>
        </w:rPr>
        <w:t>CIVILS</w:t>
      </w:r>
      <w:commentRangeEnd w:id="1"/>
      <w:r w:rsidR="009A6659">
        <w:rPr>
          <w:rStyle w:val="CommentReference"/>
        </w:rPr>
        <w:commentReference w:id="1"/>
      </w:r>
      <w:commentRangeEnd w:id="2"/>
      <w:r w:rsidR="009A6659">
        <w:rPr>
          <w:rStyle w:val="CommentReference"/>
        </w:rPr>
        <w:commentReference w:id="2"/>
      </w:r>
      <w:r w:rsidRPr="00325602">
        <w:rPr>
          <w:rFonts w:asciiTheme="minorHAnsi" w:hAnsiTheme="minorHAnsi" w:cstheme="minorHAnsi"/>
          <w:b/>
          <w:bCs/>
        </w:rPr>
        <w:t xml:space="preserve"> </w:t>
      </w:r>
    </w:p>
    <w:p w14:paraId="52FD3728" w14:textId="2D3EE5DE" w:rsidR="009A6659" w:rsidRPr="00325602" w:rsidRDefault="009A6659" w:rsidP="005C146D">
      <w:pPr>
        <w:jc w:val="center"/>
        <w:rPr>
          <w:rFonts w:asciiTheme="minorHAnsi" w:hAnsiTheme="minorHAnsi" w:cstheme="minorHAnsi"/>
          <w:b/>
          <w:bCs/>
        </w:rPr>
      </w:pPr>
      <w:r>
        <w:rPr>
          <w:rFonts w:asciiTheme="minorHAnsi" w:hAnsiTheme="minorHAnsi" w:cstheme="minorHAnsi"/>
          <w:b/>
          <w:bCs/>
        </w:rPr>
        <w:t>-</w:t>
      </w:r>
    </w:p>
    <w:p w14:paraId="7597F961" w14:textId="744CA231" w:rsidR="005C146D" w:rsidRPr="0099207C" w:rsidRDefault="00CD6E45" w:rsidP="005C146D">
      <w:pPr>
        <w:jc w:val="center"/>
        <w:rPr>
          <w:rFonts w:asciiTheme="minorHAnsi" w:hAnsiTheme="minorHAnsi" w:cstheme="minorHAnsi"/>
          <w:b/>
          <w:bCs/>
        </w:rPr>
      </w:pPr>
      <w:r>
        <w:rPr>
          <w:rFonts w:asciiTheme="minorHAnsi" w:hAnsiTheme="minorHAnsi" w:cstheme="minorHAnsi"/>
          <w:b/>
          <w:bCs/>
        </w:rPr>
        <w:t xml:space="preserve">Nom du projet : </w:t>
      </w:r>
      <w:r w:rsidR="00756EF5">
        <w:rPr>
          <w:rFonts w:asciiTheme="minorHAnsi" w:hAnsiTheme="minorHAnsi" w:cstheme="minorHAnsi"/>
          <w:b/>
          <w:bCs/>
          <w:i/>
          <w:iCs/>
        </w:rPr>
        <w:t>P</w:t>
      </w:r>
      <w:r w:rsidRPr="0099207C">
        <w:rPr>
          <w:rFonts w:asciiTheme="minorHAnsi" w:hAnsiTheme="minorHAnsi" w:cstheme="minorHAnsi"/>
          <w:b/>
          <w:bCs/>
        </w:rPr>
        <w:t>rojet création de 2 hôpitaux régionaux à Thala et Dahmani</w:t>
      </w:r>
    </w:p>
    <w:p w14:paraId="1566098C" w14:textId="0F521968" w:rsidR="00CD6E45" w:rsidRPr="00325602" w:rsidRDefault="00CD6E45" w:rsidP="005C146D">
      <w:pPr>
        <w:jc w:val="center"/>
        <w:rPr>
          <w:rFonts w:asciiTheme="minorHAnsi" w:hAnsiTheme="minorHAnsi" w:cstheme="minorHAnsi"/>
          <w:b/>
          <w:bCs/>
        </w:rPr>
      </w:pPr>
      <w:r w:rsidRPr="0099207C">
        <w:rPr>
          <w:rFonts w:asciiTheme="minorHAnsi" w:hAnsiTheme="minorHAnsi" w:cstheme="minorHAnsi"/>
          <w:b/>
          <w:bCs/>
        </w:rPr>
        <w:t>No du Financement : TUN1015</w:t>
      </w:r>
    </w:p>
    <w:p w14:paraId="6246ECC1" w14:textId="170626C8" w:rsidR="005C146D" w:rsidRPr="00325602" w:rsidRDefault="005C146D" w:rsidP="0092412D">
      <w:pPr>
        <w:jc w:val="center"/>
        <w:rPr>
          <w:rFonts w:asciiTheme="minorHAnsi" w:hAnsiTheme="minorHAnsi" w:cstheme="minorHAnsi"/>
          <w:b/>
          <w:bCs/>
        </w:rPr>
      </w:pPr>
      <w:r w:rsidRPr="00325602">
        <w:rPr>
          <w:rFonts w:asciiTheme="minorHAnsi" w:hAnsiTheme="minorHAnsi" w:cstheme="minorHAnsi"/>
          <w:b/>
          <w:bCs/>
        </w:rPr>
        <w:t xml:space="preserve">AVIS </w:t>
      </w:r>
      <w:r w:rsidR="00D76926" w:rsidRPr="00325602">
        <w:rPr>
          <w:rFonts w:asciiTheme="minorHAnsi" w:hAnsiTheme="minorHAnsi" w:cstheme="minorHAnsi"/>
          <w:b/>
          <w:bCs/>
        </w:rPr>
        <w:t>SPECIFIQUE</w:t>
      </w:r>
      <w:r w:rsidRPr="00325602">
        <w:rPr>
          <w:rFonts w:asciiTheme="minorHAnsi" w:hAnsiTheme="minorHAnsi" w:cstheme="minorHAnsi"/>
          <w:b/>
          <w:bCs/>
        </w:rPr>
        <w:t xml:space="preserve"> D’APPEL D’OFFRES </w:t>
      </w:r>
      <w:r w:rsidR="002A7D05" w:rsidRPr="00325602">
        <w:rPr>
          <w:rFonts w:asciiTheme="minorHAnsi" w:hAnsiTheme="minorHAnsi" w:cstheme="minorHAnsi"/>
          <w:b/>
          <w:bCs/>
        </w:rPr>
        <w:t>INTER</w:t>
      </w:r>
      <w:r w:rsidRPr="00325602">
        <w:rPr>
          <w:rFonts w:asciiTheme="minorHAnsi" w:hAnsiTheme="minorHAnsi" w:cstheme="minorHAnsi"/>
          <w:b/>
          <w:bCs/>
        </w:rPr>
        <w:t xml:space="preserve">NATIONAL </w:t>
      </w:r>
      <w:r w:rsidR="00D76926" w:rsidRPr="00325602">
        <w:rPr>
          <w:rFonts w:asciiTheme="minorHAnsi" w:hAnsiTheme="minorHAnsi" w:cstheme="minorHAnsi"/>
          <w:b/>
          <w:bCs/>
        </w:rPr>
        <w:t xml:space="preserve">LIMTE AUX PAYS MEMBRES DE LA </w:t>
      </w:r>
      <w:proofErr w:type="spellStart"/>
      <w:r w:rsidR="00D76926" w:rsidRPr="00325602">
        <w:rPr>
          <w:rFonts w:asciiTheme="minorHAnsi" w:hAnsiTheme="minorHAnsi" w:cstheme="minorHAnsi"/>
          <w:b/>
          <w:bCs/>
        </w:rPr>
        <w:t>BI</w:t>
      </w:r>
      <w:r w:rsidR="00895EDD">
        <w:rPr>
          <w:rFonts w:asciiTheme="minorHAnsi" w:hAnsiTheme="minorHAnsi" w:cstheme="minorHAnsi"/>
          <w:b/>
          <w:bCs/>
        </w:rPr>
        <w:t>s</w:t>
      </w:r>
      <w:r w:rsidR="00D76926" w:rsidRPr="00325602">
        <w:rPr>
          <w:rFonts w:asciiTheme="minorHAnsi" w:hAnsiTheme="minorHAnsi" w:cstheme="minorHAnsi"/>
          <w:b/>
          <w:bCs/>
        </w:rPr>
        <w:t>D</w:t>
      </w:r>
      <w:proofErr w:type="spellEnd"/>
    </w:p>
    <w:p w14:paraId="6B925751" w14:textId="38DAD8D3" w:rsidR="00D76926" w:rsidRPr="00325602" w:rsidRDefault="00D76926" w:rsidP="0092412D">
      <w:pPr>
        <w:jc w:val="center"/>
        <w:rPr>
          <w:rFonts w:asciiTheme="minorHAnsi" w:hAnsiTheme="minorHAnsi" w:cstheme="minorHAnsi"/>
          <w:b/>
          <w:bCs/>
        </w:rPr>
      </w:pPr>
      <w:r w:rsidRPr="00325602">
        <w:rPr>
          <w:rFonts w:asciiTheme="minorHAnsi" w:hAnsiTheme="minorHAnsi" w:cstheme="minorHAnsi"/>
          <w:b/>
          <w:bCs/>
        </w:rPr>
        <w:t>Construction de l’hôpital régional catégorie « B » à Dahmani au gouvernorat du Kef (Lot Unique)</w:t>
      </w:r>
    </w:p>
    <w:p w14:paraId="6619A911" w14:textId="4AD9508F" w:rsidR="009A1A87" w:rsidRPr="00325602" w:rsidRDefault="00D76926" w:rsidP="0092412D">
      <w:pPr>
        <w:jc w:val="center"/>
        <w:rPr>
          <w:rFonts w:asciiTheme="minorHAnsi" w:hAnsiTheme="minorHAnsi" w:cstheme="minorHAnsi"/>
          <w:b/>
          <w:bCs/>
        </w:rPr>
      </w:pPr>
      <w:r w:rsidRPr="00325602">
        <w:rPr>
          <w:rFonts w:asciiTheme="minorHAnsi" w:hAnsiTheme="minorHAnsi" w:cstheme="minorHAnsi"/>
          <w:b/>
          <w:bCs/>
        </w:rPr>
        <w:t>AOI/PM : N°31/2023-Financement : Banque Islamique de Développement (</w:t>
      </w:r>
      <w:proofErr w:type="spellStart"/>
      <w:r w:rsidRPr="00325602">
        <w:rPr>
          <w:rFonts w:asciiTheme="minorHAnsi" w:hAnsiTheme="minorHAnsi" w:cstheme="minorHAnsi"/>
          <w:b/>
          <w:bCs/>
        </w:rPr>
        <w:t>BI</w:t>
      </w:r>
      <w:r w:rsidR="00895EDD">
        <w:rPr>
          <w:rFonts w:asciiTheme="minorHAnsi" w:hAnsiTheme="minorHAnsi" w:cstheme="minorHAnsi"/>
          <w:b/>
          <w:bCs/>
        </w:rPr>
        <w:t>s</w:t>
      </w:r>
      <w:r w:rsidRPr="00325602">
        <w:rPr>
          <w:rFonts w:asciiTheme="minorHAnsi" w:hAnsiTheme="minorHAnsi" w:cstheme="minorHAnsi"/>
          <w:b/>
          <w:bCs/>
        </w:rPr>
        <w:t>D</w:t>
      </w:r>
      <w:proofErr w:type="spellEnd"/>
      <w:r w:rsidRPr="00325602">
        <w:rPr>
          <w:rFonts w:asciiTheme="minorHAnsi" w:hAnsiTheme="minorHAnsi" w:cstheme="minorHAnsi"/>
          <w:b/>
          <w:bCs/>
        </w:rPr>
        <w:t>)</w:t>
      </w:r>
      <w:r w:rsidR="00325602" w:rsidRPr="00325602">
        <w:rPr>
          <w:rFonts w:asciiTheme="minorHAnsi" w:hAnsiTheme="minorHAnsi" w:cstheme="minorHAnsi"/>
          <w:b/>
          <w:bCs/>
        </w:rPr>
        <w:t xml:space="preserve"> </w:t>
      </w:r>
    </w:p>
    <w:p w14:paraId="0177CFD0" w14:textId="749DC0C5" w:rsidR="00E1308A" w:rsidRPr="00325602" w:rsidRDefault="00E1308A" w:rsidP="00C607DE">
      <w:pPr>
        <w:spacing w:line="360" w:lineRule="auto"/>
        <w:jc w:val="center"/>
        <w:rPr>
          <w:rFonts w:asciiTheme="minorHAnsi" w:hAnsiTheme="minorHAnsi" w:cstheme="minorHAnsi"/>
          <w:b/>
          <w:bCs/>
        </w:rPr>
      </w:pPr>
    </w:p>
    <w:p w14:paraId="786233A1" w14:textId="467A9517" w:rsidR="00895EDD" w:rsidRPr="007C6B70" w:rsidRDefault="005C146D" w:rsidP="006E4E92">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 xml:space="preserve">La </w:t>
      </w:r>
      <w:r w:rsidR="00846C0D" w:rsidRPr="007C6B70">
        <w:rPr>
          <w:rFonts w:asciiTheme="minorHAnsi" w:hAnsiTheme="minorHAnsi" w:cstheme="minorHAnsi"/>
        </w:rPr>
        <w:t>République</w:t>
      </w:r>
      <w:r w:rsidR="00846C0D" w:rsidRPr="007C6B70">
        <w:rPr>
          <w:rFonts w:asciiTheme="minorHAnsi" w:hAnsiTheme="minorHAnsi" w:cstheme="minorHAnsi"/>
          <w:rtl/>
        </w:rPr>
        <w:t xml:space="preserve"> </w:t>
      </w:r>
      <w:r w:rsidR="00846C0D" w:rsidRPr="007C6B70">
        <w:rPr>
          <w:rFonts w:asciiTheme="minorHAnsi" w:hAnsiTheme="minorHAnsi" w:cstheme="minorHAnsi"/>
        </w:rPr>
        <w:t>Tunisienne a reçu un prêt de la Banque Islamique de Développement (</w:t>
      </w:r>
      <w:proofErr w:type="spellStart"/>
      <w:r w:rsidR="00846C0D" w:rsidRPr="007C6B70">
        <w:rPr>
          <w:rFonts w:asciiTheme="minorHAnsi" w:hAnsiTheme="minorHAnsi" w:cstheme="minorHAnsi"/>
        </w:rPr>
        <w:t>BI</w:t>
      </w:r>
      <w:r w:rsidR="00895EDD" w:rsidRPr="007C6B70">
        <w:rPr>
          <w:rFonts w:asciiTheme="minorHAnsi" w:hAnsiTheme="minorHAnsi" w:cstheme="minorHAnsi"/>
        </w:rPr>
        <w:t>s</w:t>
      </w:r>
      <w:r w:rsidR="00846C0D" w:rsidRPr="007C6B70">
        <w:rPr>
          <w:rFonts w:asciiTheme="minorHAnsi" w:hAnsiTheme="minorHAnsi" w:cstheme="minorHAnsi"/>
        </w:rPr>
        <w:t>D</w:t>
      </w:r>
      <w:proofErr w:type="spellEnd"/>
      <w:r w:rsidR="00846C0D" w:rsidRPr="007C6B70">
        <w:rPr>
          <w:rFonts w:asciiTheme="minorHAnsi" w:hAnsiTheme="minorHAnsi" w:cstheme="minorHAnsi"/>
        </w:rPr>
        <w:t xml:space="preserve">) pour </w:t>
      </w:r>
      <w:commentRangeStart w:id="3"/>
      <w:r w:rsidR="00846C0D" w:rsidRPr="007C6B70">
        <w:rPr>
          <w:rFonts w:asciiTheme="minorHAnsi" w:hAnsiTheme="minorHAnsi" w:cstheme="minorHAnsi"/>
        </w:rPr>
        <w:t>financer</w:t>
      </w:r>
      <w:commentRangeEnd w:id="3"/>
      <w:r w:rsidR="00CD6E45" w:rsidRPr="007C6B70">
        <w:rPr>
          <w:rFonts w:asciiTheme="minorHAnsi" w:hAnsiTheme="minorHAnsi" w:cstheme="minorHAnsi"/>
        </w:rPr>
        <w:commentReference w:id="3"/>
      </w:r>
      <w:r w:rsidR="00846C0D" w:rsidRPr="007C6B70">
        <w:rPr>
          <w:rFonts w:asciiTheme="minorHAnsi" w:hAnsiTheme="minorHAnsi" w:cstheme="minorHAnsi"/>
        </w:rPr>
        <w:t xml:space="preserve"> </w:t>
      </w:r>
      <w:r w:rsidR="00CD6E45" w:rsidRPr="007C6B70">
        <w:rPr>
          <w:rFonts w:asciiTheme="minorHAnsi" w:hAnsiTheme="minorHAnsi" w:cstheme="minorHAnsi"/>
        </w:rPr>
        <w:t>le projet création de 2 hôpitaux régionaux à Thala et Dahmani_TUN1015</w:t>
      </w:r>
      <w:r w:rsidR="00895EDD" w:rsidRPr="007C6B70">
        <w:rPr>
          <w:rFonts w:asciiTheme="minorHAnsi" w:hAnsiTheme="minorHAnsi" w:cstheme="minorHAnsi"/>
        </w:rPr>
        <w:t xml:space="preserve"> </w:t>
      </w:r>
      <w:r w:rsidR="00CD6E45" w:rsidRPr="007C6B70">
        <w:rPr>
          <w:rFonts w:asciiTheme="minorHAnsi" w:hAnsiTheme="minorHAnsi" w:cstheme="minorHAnsi"/>
        </w:rPr>
        <w:t xml:space="preserve">et à l’intention d’utiliser une partie de ce financement pour effectuer des paiements au titre du </w:t>
      </w:r>
      <w:r w:rsidR="00CD6E45" w:rsidRPr="0063045B">
        <w:rPr>
          <w:rFonts w:asciiTheme="minorHAnsi" w:hAnsiTheme="minorHAnsi" w:cstheme="minorHAnsi"/>
        </w:rPr>
        <w:t xml:space="preserve">Marché de </w:t>
      </w:r>
      <w:r w:rsidR="00846C0D" w:rsidRPr="0063045B">
        <w:rPr>
          <w:rFonts w:asciiTheme="minorHAnsi" w:hAnsiTheme="minorHAnsi" w:cstheme="minorHAnsi"/>
        </w:rPr>
        <w:t xml:space="preserve">Construction et l’Equipement de </w:t>
      </w:r>
      <w:r w:rsidR="00846C0D" w:rsidRPr="0063045B">
        <w:rPr>
          <w:rFonts w:asciiTheme="minorHAnsi" w:hAnsiTheme="minorHAnsi" w:cstheme="minorHAnsi"/>
          <w:b/>
          <w:bCs/>
          <w:i/>
          <w:iCs/>
          <w:u w:val="single"/>
        </w:rPr>
        <w:t>l’hôpital ré</w:t>
      </w:r>
      <w:r w:rsidR="00277B56" w:rsidRPr="0063045B">
        <w:rPr>
          <w:rFonts w:asciiTheme="minorHAnsi" w:hAnsiTheme="minorHAnsi" w:cstheme="minorHAnsi"/>
          <w:b/>
          <w:bCs/>
          <w:i/>
          <w:iCs/>
          <w:u w:val="single"/>
        </w:rPr>
        <w:t>gional catégorie « B » à Dahmani</w:t>
      </w:r>
      <w:r w:rsidR="006E4E92">
        <w:rPr>
          <w:rFonts w:asciiTheme="minorHAnsi" w:hAnsiTheme="minorHAnsi" w:cstheme="minorHAnsi"/>
          <w:b/>
          <w:bCs/>
          <w:i/>
          <w:iCs/>
          <w:u w:val="single"/>
        </w:rPr>
        <w:t>,</w:t>
      </w:r>
      <w:r w:rsidR="00277B56" w:rsidRPr="0063045B">
        <w:rPr>
          <w:rFonts w:asciiTheme="minorHAnsi" w:hAnsiTheme="minorHAnsi" w:cstheme="minorHAnsi"/>
          <w:b/>
          <w:bCs/>
          <w:i/>
          <w:iCs/>
          <w:u w:val="single"/>
        </w:rPr>
        <w:t xml:space="preserve"> gouvernorat du Kef</w:t>
      </w:r>
      <w:r w:rsidR="00277B56" w:rsidRPr="007C6B70">
        <w:rPr>
          <w:rFonts w:asciiTheme="minorHAnsi" w:hAnsiTheme="minorHAnsi" w:cstheme="minorHAnsi"/>
        </w:rPr>
        <w:t>.</w:t>
      </w:r>
    </w:p>
    <w:p w14:paraId="010DB599" w14:textId="23821251" w:rsidR="00895EDD" w:rsidRPr="007C6B70" w:rsidRDefault="00C13C16" w:rsidP="0099207C">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 xml:space="preserve">La </w:t>
      </w:r>
      <w:r w:rsidR="005C146D" w:rsidRPr="007C6B70">
        <w:rPr>
          <w:rFonts w:asciiTheme="minorHAnsi" w:hAnsiTheme="minorHAnsi" w:cstheme="minorHAnsi"/>
        </w:rPr>
        <w:t>Direction Générale des Bâtiments Civils du Ministère de l’Equipement</w:t>
      </w:r>
      <w:r w:rsidR="00277B56" w:rsidRPr="007C6B70">
        <w:rPr>
          <w:rFonts w:asciiTheme="minorHAnsi" w:hAnsiTheme="minorHAnsi" w:cstheme="minorHAnsi"/>
        </w:rPr>
        <w:t xml:space="preserve"> et </w:t>
      </w:r>
      <w:r w:rsidR="005C146D" w:rsidRPr="007C6B70">
        <w:rPr>
          <w:rFonts w:asciiTheme="minorHAnsi" w:hAnsiTheme="minorHAnsi" w:cstheme="minorHAnsi"/>
        </w:rPr>
        <w:t>de l’Habitat in</w:t>
      </w:r>
      <w:r w:rsidR="0041324E" w:rsidRPr="007C6B70">
        <w:rPr>
          <w:rFonts w:asciiTheme="minorHAnsi" w:hAnsiTheme="minorHAnsi" w:cstheme="minorHAnsi"/>
        </w:rPr>
        <w:t>vite les soumissionnaires éligibles venant de pays répondant aux critères de prov</w:t>
      </w:r>
      <w:r w:rsidR="00503FFA" w:rsidRPr="007C6B70">
        <w:rPr>
          <w:rFonts w:asciiTheme="minorHAnsi" w:hAnsiTheme="minorHAnsi" w:cstheme="minorHAnsi"/>
        </w:rPr>
        <w:t>e</w:t>
      </w:r>
      <w:r w:rsidR="005C146D" w:rsidRPr="007C6B70">
        <w:rPr>
          <w:rFonts w:asciiTheme="minorHAnsi" w:hAnsiTheme="minorHAnsi" w:cstheme="minorHAnsi"/>
        </w:rPr>
        <w:t>n</w:t>
      </w:r>
      <w:r w:rsidR="00503FFA" w:rsidRPr="007C6B70">
        <w:rPr>
          <w:rFonts w:asciiTheme="minorHAnsi" w:hAnsiTheme="minorHAnsi" w:cstheme="minorHAnsi"/>
        </w:rPr>
        <w:t>an</w:t>
      </w:r>
      <w:r w:rsidR="0041324E" w:rsidRPr="007C6B70">
        <w:rPr>
          <w:rFonts w:asciiTheme="minorHAnsi" w:hAnsiTheme="minorHAnsi" w:cstheme="minorHAnsi"/>
        </w:rPr>
        <w:t xml:space="preserve">ce </w:t>
      </w:r>
      <w:r w:rsidR="00503FFA" w:rsidRPr="007C6B70">
        <w:rPr>
          <w:rFonts w:asciiTheme="minorHAnsi" w:hAnsiTheme="minorHAnsi" w:cstheme="minorHAnsi"/>
        </w:rPr>
        <w:t xml:space="preserve">des pays membres de la </w:t>
      </w:r>
      <w:proofErr w:type="spellStart"/>
      <w:r w:rsidR="00503FFA" w:rsidRPr="007C6B70">
        <w:rPr>
          <w:rFonts w:asciiTheme="minorHAnsi" w:hAnsiTheme="minorHAnsi" w:cstheme="minorHAnsi"/>
        </w:rPr>
        <w:t>BI</w:t>
      </w:r>
      <w:r w:rsidR="00895EDD" w:rsidRPr="007C6B70">
        <w:rPr>
          <w:rFonts w:asciiTheme="minorHAnsi" w:hAnsiTheme="minorHAnsi" w:cstheme="minorHAnsi"/>
        </w:rPr>
        <w:t>s</w:t>
      </w:r>
      <w:r w:rsidR="00503FFA" w:rsidRPr="007C6B70">
        <w:rPr>
          <w:rFonts w:asciiTheme="minorHAnsi" w:hAnsiTheme="minorHAnsi" w:cstheme="minorHAnsi"/>
        </w:rPr>
        <w:t>D</w:t>
      </w:r>
      <w:proofErr w:type="spellEnd"/>
      <w:r w:rsidR="00503FFA" w:rsidRPr="007C6B70">
        <w:rPr>
          <w:rFonts w:asciiTheme="minorHAnsi" w:hAnsiTheme="minorHAnsi" w:cstheme="minorHAnsi"/>
        </w:rPr>
        <w:t>,</w:t>
      </w:r>
      <w:r w:rsidR="00895EDD" w:rsidRPr="007C6B70">
        <w:rPr>
          <w:rFonts w:asciiTheme="minorHAnsi" w:hAnsiTheme="minorHAnsi" w:cstheme="minorHAnsi"/>
        </w:rPr>
        <w:t xml:space="preserve"> et répondant aux qualifications requises pour Construction de l’hôpital régional catégorie « B » à Dahmani au gouvernorat du Kef (Lot Unique) à</w:t>
      </w:r>
      <w:r w:rsidR="00503FFA" w:rsidRPr="007C6B70">
        <w:rPr>
          <w:rFonts w:asciiTheme="minorHAnsi" w:hAnsiTheme="minorHAnsi" w:cstheme="minorHAnsi"/>
        </w:rPr>
        <w:t xml:space="preserve"> présenter leurs offres sous plis fermé</w:t>
      </w:r>
      <w:r w:rsidR="00895EDD" w:rsidRPr="007C6B70">
        <w:rPr>
          <w:rFonts w:asciiTheme="minorHAnsi" w:hAnsiTheme="minorHAnsi" w:cstheme="minorHAnsi"/>
        </w:rPr>
        <w:t xml:space="preserve">. </w:t>
      </w:r>
      <w:r w:rsidR="00C85681" w:rsidRPr="007C6B70">
        <w:rPr>
          <w:rFonts w:asciiTheme="minorHAnsi" w:hAnsiTheme="minorHAnsi" w:cstheme="minorHAnsi"/>
        </w:rPr>
        <w:t>La</w:t>
      </w:r>
      <w:r w:rsidR="00E63AC0" w:rsidRPr="007C6B70">
        <w:rPr>
          <w:rFonts w:asciiTheme="minorHAnsi" w:hAnsiTheme="minorHAnsi" w:cstheme="minorHAnsi"/>
        </w:rPr>
        <w:t xml:space="preserve"> </w:t>
      </w:r>
      <w:r w:rsidR="00C85681" w:rsidRPr="007C6B70">
        <w:rPr>
          <w:rFonts w:asciiTheme="minorHAnsi" w:hAnsiTheme="minorHAnsi" w:cstheme="minorHAnsi"/>
        </w:rPr>
        <w:t xml:space="preserve">période </w:t>
      </w:r>
      <w:r w:rsidR="00E63AC0" w:rsidRPr="007C6B70">
        <w:rPr>
          <w:rFonts w:asciiTheme="minorHAnsi" w:hAnsiTheme="minorHAnsi" w:cstheme="minorHAnsi"/>
        </w:rPr>
        <w:t>d</w:t>
      </w:r>
      <w:r w:rsidR="00C85681" w:rsidRPr="007C6B70">
        <w:rPr>
          <w:rFonts w:asciiTheme="minorHAnsi" w:hAnsiTheme="minorHAnsi" w:cstheme="minorHAnsi"/>
        </w:rPr>
        <w:t>e l</w:t>
      </w:r>
      <w:r w:rsidR="00E63AC0" w:rsidRPr="007C6B70">
        <w:rPr>
          <w:rFonts w:asciiTheme="minorHAnsi" w:hAnsiTheme="minorHAnsi" w:cstheme="minorHAnsi"/>
        </w:rPr>
        <w:t>a</w:t>
      </w:r>
      <w:r w:rsidR="00C85681" w:rsidRPr="007C6B70">
        <w:rPr>
          <w:rFonts w:asciiTheme="minorHAnsi" w:hAnsiTheme="minorHAnsi" w:cstheme="minorHAnsi"/>
        </w:rPr>
        <w:t xml:space="preserve"> construction du projet est de vingt-quatre (24) mois.</w:t>
      </w:r>
    </w:p>
    <w:p w14:paraId="4D6533CF" w14:textId="278FBEA5" w:rsidR="00895EDD" w:rsidRPr="007C6B70" w:rsidRDefault="00895EDD" w:rsidP="0099207C">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 xml:space="preserve">La procédure d’appel d’offres sera Appel d’Offres International réservé aux Pays Membres de la </w:t>
      </w:r>
      <w:proofErr w:type="spellStart"/>
      <w:r w:rsidRPr="007C6B70">
        <w:rPr>
          <w:rFonts w:asciiTheme="minorHAnsi" w:hAnsiTheme="minorHAnsi" w:cstheme="minorHAnsi"/>
        </w:rPr>
        <w:t>BIsD</w:t>
      </w:r>
      <w:proofErr w:type="spellEnd"/>
      <w:r w:rsidRPr="007C6B70">
        <w:rPr>
          <w:rFonts w:asciiTheme="minorHAnsi" w:hAnsiTheme="minorHAnsi" w:cstheme="minorHAnsi"/>
        </w:rPr>
        <w:t xml:space="preserve"> (AOI/PM)] tel que défini dans les Directives pour l’acquisition de Biens, Travaux et Services connexes dans le cadre de Projets financés par la </w:t>
      </w:r>
      <w:proofErr w:type="spellStart"/>
      <w:r w:rsidRPr="007C6B70">
        <w:rPr>
          <w:rFonts w:asciiTheme="minorHAnsi" w:hAnsiTheme="minorHAnsi" w:cstheme="minorHAnsi"/>
        </w:rPr>
        <w:t>BIsD</w:t>
      </w:r>
      <w:proofErr w:type="spellEnd"/>
      <w:r w:rsidRPr="007C6B70">
        <w:rPr>
          <w:rFonts w:asciiTheme="minorHAnsi" w:hAnsiTheme="minorHAnsi" w:cstheme="minorHAnsi"/>
        </w:rPr>
        <w:t>, Avril 2019 et R</w:t>
      </w:r>
      <w:r w:rsidRPr="007C6B70">
        <w:rPr>
          <w:rFonts w:asciiTheme="minorHAnsi" w:hAnsiTheme="minorHAnsi" w:cstheme="minorHAnsi" w:hint="eastAsia"/>
        </w:rPr>
        <w:t>é</w:t>
      </w:r>
      <w:r w:rsidRPr="007C6B70">
        <w:rPr>
          <w:rFonts w:asciiTheme="minorHAnsi" w:hAnsiTheme="minorHAnsi" w:cstheme="minorHAnsi"/>
        </w:rPr>
        <w:t>vis</w:t>
      </w:r>
      <w:r w:rsidRPr="007C6B70">
        <w:rPr>
          <w:rFonts w:asciiTheme="minorHAnsi" w:hAnsiTheme="minorHAnsi" w:cstheme="minorHAnsi" w:hint="eastAsia"/>
        </w:rPr>
        <w:t>é</w:t>
      </w:r>
      <w:r w:rsidRPr="007C6B70">
        <w:rPr>
          <w:rFonts w:asciiTheme="minorHAnsi" w:hAnsiTheme="minorHAnsi" w:cstheme="minorHAnsi"/>
        </w:rPr>
        <w:t xml:space="preserve">e en Février 2023,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7C6B70">
        <w:rPr>
          <w:rFonts w:asciiTheme="minorHAnsi" w:hAnsiTheme="minorHAnsi" w:cstheme="minorHAnsi"/>
        </w:rPr>
        <w:t>BIsD</w:t>
      </w:r>
      <w:proofErr w:type="spellEnd"/>
      <w:r w:rsidRPr="007C6B70">
        <w:rPr>
          <w:rFonts w:asciiTheme="minorHAnsi" w:hAnsiTheme="minorHAnsi" w:cstheme="minorHAnsi"/>
        </w:rPr>
        <w:t xml:space="preserve"> portant sur les conflits d’intérêt.</w:t>
      </w:r>
    </w:p>
    <w:p w14:paraId="50A5B803" w14:textId="3156060F" w:rsidR="00D75C84" w:rsidRPr="007C6B70" w:rsidRDefault="00C85681" w:rsidP="00895EDD">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b/>
          <w:bCs/>
        </w:rPr>
      </w:pPr>
      <w:r w:rsidRPr="007C6B70">
        <w:rPr>
          <w:rFonts w:asciiTheme="minorHAnsi" w:hAnsiTheme="minorHAnsi" w:cstheme="minorHAnsi"/>
        </w:rPr>
        <w:t xml:space="preserve">L’appel d’offre se fera par voie d’appel </w:t>
      </w:r>
      <w:r w:rsidR="00D75C84" w:rsidRPr="007C6B70">
        <w:rPr>
          <w:rFonts w:asciiTheme="minorHAnsi" w:hAnsiTheme="minorHAnsi" w:cstheme="minorHAnsi"/>
        </w:rPr>
        <w:t xml:space="preserve">d’offre International ouvert aux pays membres de la Banque Islamique de Développement BID, et est ouvert à tous </w:t>
      </w:r>
      <w:r w:rsidR="008E5D8B" w:rsidRPr="007C6B70">
        <w:rPr>
          <w:rFonts w:asciiTheme="minorHAnsi" w:hAnsiTheme="minorHAnsi" w:cstheme="minorHAnsi"/>
        </w:rPr>
        <w:t>soumissionnaires</w:t>
      </w:r>
      <w:r w:rsidR="00D75C84" w:rsidRPr="007C6B70">
        <w:rPr>
          <w:rFonts w:asciiTheme="minorHAnsi" w:hAnsiTheme="minorHAnsi" w:cstheme="minorHAnsi"/>
        </w:rPr>
        <w:t xml:space="preserve"> éligibles tels que définis dans la Section V du Dossier d’appel d’</w:t>
      </w:r>
      <w:r w:rsidR="008E5D8B" w:rsidRPr="007C6B70">
        <w:rPr>
          <w:rFonts w:asciiTheme="minorHAnsi" w:hAnsiTheme="minorHAnsi" w:cstheme="minorHAnsi"/>
        </w:rPr>
        <w:t>offres</w:t>
      </w:r>
      <w:r w:rsidR="00D75C84" w:rsidRPr="007C6B70">
        <w:rPr>
          <w:rFonts w:asciiTheme="minorHAnsi" w:hAnsiTheme="minorHAnsi" w:cstheme="minorHAnsi"/>
        </w:rPr>
        <w:t>.</w:t>
      </w:r>
    </w:p>
    <w:p w14:paraId="7BA46835" w14:textId="185D9982" w:rsidR="009B4B9C" w:rsidRPr="007C6B70" w:rsidRDefault="009B4B9C" w:rsidP="005A18E9">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Les Soumissionnaires intéressés et éligibles peuvent obtenir des informations auprès de La Direction Générale des Bâtiments Civils du Ministère de l’Equipement et de l’Habitat</w:t>
      </w:r>
      <w:r w:rsidRPr="007C6B70">
        <w:rPr>
          <w:rFonts w:asciiTheme="minorHAnsi" w:hAnsiTheme="minorHAnsi" w:cstheme="minorHAnsi"/>
          <w:i/>
          <w:iCs/>
        </w:rPr>
        <w:t> </w:t>
      </w:r>
      <w:r w:rsidRPr="007C6B70">
        <w:rPr>
          <w:rFonts w:asciiTheme="minorHAnsi" w:hAnsiTheme="minorHAnsi" w:cstheme="minorHAnsi"/>
        </w:rPr>
        <w:t xml:space="preserve">; </w:t>
      </w:r>
      <w:r w:rsidRPr="007C6B70">
        <w:rPr>
          <w:rStyle w:val="cf01"/>
        </w:rPr>
        <w:t>[</w:t>
      </w:r>
      <w:r w:rsidR="007345B9" w:rsidRPr="007C6B70">
        <w:rPr>
          <w:rFonts w:asciiTheme="minorHAnsi" w:hAnsiTheme="minorHAnsi" w:cstheme="minorHAnsi"/>
          <w:i/>
          <w:iCs/>
        </w:rPr>
        <w:t>Directeur</w:t>
      </w:r>
      <w:r w:rsidR="007345B9" w:rsidRPr="007C6B70">
        <w:t xml:space="preserve"> </w:t>
      </w:r>
      <w:r w:rsidR="007345B9" w:rsidRPr="007C6B70">
        <w:rPr>
          <w:rFonts w:asciiTheme="minorHAnsi" w:hAnsiTheme="minorHAnsi" w:cstheme="minorHAnsi"/>
          <w:i/>
          <w:iCs/>
        </w:rPr>
        <w:t>Générale des Bâtiments Civils, dgbc.bo@mehat.gov.tn]</w:t>
      </w:r>
      <w:r w:rsidRPr="007C6B70">
        <w:rPr>
          <w:rFonts w:asciiTheme="minorHAnsi" w:hAnsiTheme="minorHAnsi" w:cstheme="minorHAnsi"/>
        </w:rPr>
        <w:t xml:space="preserve"> et prendre connaissance des documents d’Appel d’offres à l’adresse mentionnée ci-dessous [</w:t>
      </w:r>
      <w:r w:rsidR="007345B9" w:rsidRPr="007C6B70">
        <w:rPr>
          <w:rFonts w:asciiTheme="minorHAnsi" w:hAnsiTheme="minorHAnsi" w:cstheme="minorHAnsi"/>
          <w:i/>
          <w:iCs/>
        </w:rPr>
        <w:t xml:space="preserve">DGBC, MEH avenue </w:t>
      </w:r>
      <w:proofErr w:type="spellStart"/>
      <w:r w:rsidR="007345B9" w:rsidRPr="007C6B70">
        <w:rPr>
          <w:rFonts w:asciiTheme="minorHAnsi" w:hAnsiTheme="minorHAnsi" w:cstheme="minorHAnsi"/>
          <w:i/>
          <w:iCs/>
        </w:rPr>
        <w:t>hbib</w:t>
      </w:r>
      <w:proofErr w:type="spellEnd"/>
      <w:r w:rsidR="007345B9" w:rsidRPr="007C6B70">
        <w:rPr>
          <w:rFonts w:asciiTheme="minorHAnsi" w:hAnsiTheme="minorHAnsi" w:cstheme="minorHAnsi"/>
          <w:i/>
          <w:iCs/>
        </w:rPr>
        <w:t xml:space="preserve"> </w:t>
      </w:r>
      <w:proofErr w:type="spellStart"/>
      <w:r w:rsidR="007345B9" w:rsidRPr="007C6B70">
        <w:rPr>
          <w:rFonts w:asciiTheme="minorHAnsi" w:hAnsiTheme="minorHAnsi" w:cstheme="minorHAnsi"/>
          <w:i/>
          <w:iCs/>
        </w:rPr>
        <w:t>chrita</w:t>
      </w:r>
      <w:proofErr w:type="spellEnd"/>
      <w:r w:rsidR="007345B9" w:rsidRPr="007C6B70">
        <w:rPr>
          <w:rFonts w:asciiTheme="minorHAnsi" w:hAnsiTheme="minorHAnsi" w:cstheme="minorHAnsi"/>
          <w:i/>
          <w:iCs/>
        </w:rPr>
        <w:t xml:space="preserve">, 1000 </w:t>
      </w:r>
      <w:proofErr w:type="spellStart"/>
      <w:r w:rsidR="007345B9" w:rsidRPr="007C6B70">
        <w:rPr>
          <w:rFonts w:asciiTheme="minorHAnsi" w:hAnsiTheme="minorHAnsi" w:cstheme="minorHAnsi"/>
          <w:i/>
          <w:iCs/>
        </w:rPr>
        <w:t>tunis</w:t>
      </w:r>
      <w:proofErr w:type="spellEnd"/>
      <w:r w:rsidRPr="007C6B70">
        <w:rPr>
          <w:rFonts w:asciiTheme="minorHAnsi" w:hAnsiTheme="minorHAnsi" w:cstheme="minorHAnsi"/>
        </w:rPr>
        <w:t>] de [</w:t>
      </w:r>
      <w:r w:rsidR="007345B9" w:rsidRPr="007C6B70">
        <w:rPr>
          <w:rFonts w:asciiTheme="minorHAnsi" w:hAnsiTheme="minorHAnsi" w:cstheme="minorHAnsi"/>
        </w:rPr>
        <w:t>8h30 à 17h</w:t>
      </w:r>
      <w:r w:rsidRPr="007C6B70">
        <w:rPr>
          <w:rFonts w:asciiTheme="minorHAnsi" w:hAnsiTheme="minorHAnsi" w:cstheme="minorHAnsi"/>
        </w:rPr>
        <w:t>]</w:t>
      </w:r>
      <w:r w:rsidRPr="007C6B70">
        <w:rPr>
          <w:rFonts w:asciiTheme="minorHAnsi" w:hAnsiTheme="minorHAnsi" w:cstheme="minorHAnsi"/>
        </w:rPr>
        <w:footnoteReference w:id="1"/>
      </w:r>
      <w:r w:rsidRPr="007C6B70">
        <w:rPr>
          <w:rFonts w:asciiTheme="minorHAnsi" w:hAnsiTheme="minorHAnsi" w:cstheme="minorHAnsi"/>
        </w:rPr>
        <w:t>.</w:t>
      </w:r>
    </w:p>
    <w:p w14:paraId="16D38D71" w14:textId="6E32DB75" w:rsidR="009B4B9C" w:rsidRPr="007C6B70" w:rsidRDefault="009B4B9C" w:rsidP="006D1B8B">
      <w:pPr>
        <w:pStyle w:val="ListParagraph"/>
        <w:numPr>
          <w:ilvl w:val="0"/>
          <w:numId w:val="1"/>
        </w:numPr>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lastRenderedPageBreak/>
        <w:t>Le Dossier d’Appel d’offres en français peut être acheté par tout Soumissionnaire intéressé en formulant une demande écrite à l’adresse ci-dessous contre un paiement</w:t>
      </w:r>
      <w:r w:rsidRPr="007C6B70">
        <w:footnoteReference w:id="2"/>
      </w:r>
      <w:r w:rsidRPr="007C6B70">
        <w:rPr>
          <w:rFonts w:asciiTheme="minorHAnsi" w:hAnsiTheme="minorHAnsi" w:cstheme="minorHAnsi"/>
        </w:rPr>
        <w:t xml:space="preserve"> non remboursable de [</w:t>
      </w:r>
      <w:r w:rsidR="0011258E" w:rsidRPr="0063045B">
        <w:rPr>
          <w:rFonts w:asciiTheme="minorHAnsi" w:hAnsiTheme="minorHAnsi" w:cstheme="minorHAnsi"/>
          <w:b/>
          <w:bCs/>
          <w:i/>
          <w:iCs/>
          <w:u w:val="single"/>
        </w:rPr>
        <w:t xml:space="preserve">Mille trois </w:t>
      </w:r>
      <w:proofErr w:type="gramStart"/>
      <w:r w:rsidR="0011258E" w:rsidRPr="0063045B">
        <w:rPr>
          <w:rFonts w:asciiTheme="minorHAnsi" w:hAnsiTheme="minorHAnsi" w:cstheme="minorHAnsi"/>
          <w:b/>
          <w:bCs/>
          <w:i/>
          <w:iCs/>
          <w:u w:val="single"/>
        </w:rPr>
        <w:t>cent</w:t>
      </w:r>
      <w:proofErr w:type="gramEnd"/>
      <w:r w:rsidR="0011258E" w:rsidRPr="0063045B">
        <w:rPr>
          <w:rFonts w:asciiTheme="minorHAnsi" w:hAnsiTheme="minorHAnsi" w:cstheme="minorHAnsi"/>
          <w:b/>
          <w:bCs/>
          <w:i/>
          <w:iCs/>
          <w:u w:val="single"/>
        </w:rPr>
        <w:t xml:space="preserve"> dinars tunisien, 1300 TND</w:t>
      </w:r>
      <w:r w:rsidRPr="007C6B70">
        <w:rPr>
          <w:rFonts w:asciiTheme="minorHAnsi" w:hAnsiTheme="minorHAnsi" w:cstheme="minorHAnsi"/>
        </w:rPr>
        <w:t xml:space="preserve">]. La méthode de paiement sera </w:t>
      </w:r>
      <w:r w:rsidR="00AE194B" w:rsidRPr="007C6B70">
        <w:rPr>
          <w:rFonts w:asciiTheme="minorHAnsi" w:hAnsiTheme="minorHAnsi" w:cstheme="minorHAnsi"/>
          <w:u w:val="single"/>
        </w:rPr>
        <w:t>en espèces ou par chèques</w:t>
      </w:r>
      <w:r w:rsidRPr="007C6B70">
        <w:footnoteReference w:id="3"/>
      </w:r>
      <w:r w:rsidRPr="007C6B70">
        <w:rPr>
          <w:rFonts w:asciiTheme="minorHAnsi" w:hAnsiTheme="minorHAnsi" w:cstheme="minorHAnsi"/>
        </w:rPr>
        <w:t xml:space="preserve">. Le dossier d’appel d’offres sera adressé </w:t>
      </w:r>
      <w:r w:rsidRPr="001B29B5">
        <w:rPr>
          <w:rFonts w:asciiTheme="minorHAnsi" w:hAnsiTheme="minorHAnsi" w:cstheme="minorHAnsi"/>
        </w:rPr>
        <w:t>par</w:t>
      </w:r>
      <w:r w:rsidRPr="001B29B5">
        <w:rPr>
          <w:rFonts w:asciiTheme="minorHAnsi" w:hAnsiTheme="minorHAnsi" w:cstheme="minorHAnsi"/>
        </w:rPr>
        <w:footnoteReference w:id="4"/>
      </w:r>
      <w:r w:rsidR="00AE194B" w:rsidRPr="001B29B5">
        <w:rPr>
          <w:rFonts w:asciiTheme="minorHAnsi" w:hAnsiTheme="minorHAnsi" w:cstheme="minorHAnsi"/>
        </w:rPr>
        <w:t xml:space="preserve"> voie</w:t>
      </w:r>
      <w:r w:rsidR="00AE194B" w:rsidRPr="007C6B70">
        <w:rPr>
          <w:rFonts w:asciiTheme="minorHAnsi" w:hAnsiTheme="minorHAnsi" w:cstheme="minorHAnsi"/>
        </w:rPr>
        <w:t xml:space="preserve"> postale sous plis recommandé ou par rapide poste ou déposé directement au bureau d’ordre </w:t>
      </w:r>
      <w:r w:rsidR="00B64487" w:rsidRPr="007C6B70">
        <w:rPr>
          <w:rFonts w:asciiTheme="minorHAnsi" w:hAnsiTheme="minorHAnsi" w:cstheme="minorHAnsi"/>
        </w:rPr>
        <w:t>central du</w:t>
      </w:r>
      <w:r w:rsidR="00AE194B" w:rsidRPr="007C6B70">
        <w:rPr>
          <w:rFonts w:asciiTheme="minorHAnsi" w:hAnsiTheme="minorHAnsi" w:cstheme="minorHAnsi"/>
        </w:rPr>
        <w:t xml:space="preserve"> Ministère de l’Equipement et de l’Habitat Avenue Habib </w:t>
      </w:r>
      <w:proofErr w:type="spellStart"/>
      <w:r w:rsidR="00AE194B" w:rsidRPr="007C6B70">
        <w:rPr>
          <w:rFonts w:asciiTheme="minorHAnsi" w:hAnsiTheme="minorHAnsi" w:cstheme="minorHAnsi"/>
        </w:rPr>
        <w:t>Chrita</w:t>
      </w:r>
      <w:proofErr w:type="spellEnd"/>
      <w:r w:rsidR="00AE194B" w:rsidRPr="007C6B70">
        <w:rPr>
          <w:rFonts w:asciiTheme="minorHAnsi" w:hAnsiTheme="minorHAnsi" w:cstheme="minorHAnsi"/>
        </w:rPr>
        <w:t>, cité jardins 1002 Tunis – Belvédère</w:t>
      </w:r>
      <w:r w:rsidRPr="007C6B70">
        <w:rPr>
          <w:rFonts w:asciiTheme="minorHAnsi" w:hAnsiTheme="minorHAnsi" w:cstheme="minorHAnsi"/>
        </w:rPr>
        <w:t>].</w:t>
      </w:r>
    </w:p>
    <w:p w14:paraId="0443C09F" w14:textId="2C56A163" w:rsidR="009B4B9C" w:rsidRPr="007C6B70" w:rsidRDefault="00756EF5" w:rsidP="006D1B8B">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Les offres devront être remises à l’adresse ci-dessous</w:t>
      </w:r>
      <w:r w:rsidRPr="007C6B70">
        <w:rPr>
          <w:rStyle w:val="FootnoteReference"/>
          <w:rFonts w:asciiTheme="minorHAnsi" w:hAnsiTheme="minorHAnsi" w:cstheme="minorHAnsi"/>
        </w:rPr>
        <w:footnoteReference w:id="5"/>
      </w:r>
      <w:r w:rsidRPr="007C6B70">
        <w:rPr>
          <w:rFonts w:asciiTheme="minorHAnsi" w:hAnsiTheme="minorHAnsi" w:cstheme="minorHAnsi"/>
        </w:rPr>
        <w:t xml:space="preserve"> au plus tard </w:t>
      </w:r>
      <w:r w:rsidR="00B64487" w:rsidRPr="0063045B">
        <w:rPr>
          <w:rFonts w:asciiTheme="minorHAnsi" w:hAnsiTheme="minorHAnsi" w:cstheme="minorHAnsi"/>
          <w:b/>
          <w:bCs/>
          <w:i/>
          <w:iCs/>
          <w:u w:val="single"/>
        </w:rPr>
        <w:t xml:space="preserve">le </w:t>
      </w:r>
      <w:proofErr w:type="gramStart"/>
      <w:r w:rsidR="00B64487" w:rsidRPr="0063045B">
        <w:rPr>
          <w:rFonts w:asciiTheme="minorHAnsi" w:hAnsiTheme="minorHAnsi" w:cstheme="minorHAnsi"/>
          <w:b/>
          <w:bCs/>
          <w:i/>
          <w:iCs/>
          <w:u w:val="single"/>
        </w:rPr>
        <w:t>Lundi</w:t>
      </w:r>
      <w:proofErr w:type="gramEnd"/>
      <w:r w:rsidR="00B64487" w:rsidRPr="0063045B">
        <w:rPr>
          <w:rFonts w:asciiTheme="minorHAnsi" w:hAnsiTheme="minorHAnsi" w:cstheme="minorHAnsi"/>
          <w:b/>
          <w:bCs/>
          <w:i/>
          <w:iCs/>
          <w:u w:val="single"/>
        </w:rPr>
        <w:t xml:space="preserve"> 12 février 2024 à 9h00</w:t>
      </w:r>
      <w:r w:rsidRPr="007C6B70">
        <w:rPr>
          <w:rFonts w:asciiTheme="minorHAnsi" w:hAnsiTheme="minorHAnsi" w:cstheme="minorHAnsi"/>
        </w:rPr>
        <w:t xml:space="preserve">. La soumission des offres par voie électronique </w:t>
      </w:r>
      <w:r w:rsidRPr="007C6B70">
        <w:rPr>
          <w:rFonts w:asciiTheme="minorHAnsi" w:hAnsiTheme="minorHAnsi" w:cstheme="minorHAnsi"/>
          <w:b/>
          <w:bCs/>
          <w:i/>
          <w:iCs/>
          <w:u w:val="single"/>
        </w:rPr>
        <w:t>ne sera pas</w:t>
      </w:r>
      <w:r w:rsidR="00BB53DF" w:rsidRPr="007C6B70">
        <w:rPr>
          <w:rFonts w:asciiTheme="minorHAnsi" w:hAnsiTheme="minorHAnsi" w:cstheme="minorHAnsi"/>
          <w:i/>
          <w:iCs/>
        </w:rPr>
        <w:t> </w:t>
      </w:r>
      <w:r w:rsidR="00BB53DF" w:rsidRPr="007C6B70">
        <w:rPr>
          <w:rFonts w:asciiTheme="minorHAnsi" w:hAnsiTheme="minorHAnsi" w:cstheme="minorHAnsi"/>
        </w:rPr>
        <w:t>autorisée</w:t>
      </w:r>
      <w:r w:rsidRPr="007C6B70">
        <w:rPr>
          <w:rFonts w:asciiTheme="minorHAnsi" w:hAnsiTheme="minorHAnsi" w:cstheme="minorHAnsi"/>
        </w:rPr>
        <w:t>. Toute offre arrivée après la date et l’heure limites de remise des offres sera écartée. Les offres seront ouvertes en présence des représentants des soumissionnaires et des personnes présentes à l’adresse</w:t>
      </w:r>
      <w:r w:rsidR="006D1B8B" w:rsidRPr="007C6B70">
        <w:rPr>
          <w:rFonts w:asciiTheme="minorHAnsi" w:hAnsiTheme="minorHAnsi" w:cstheme="minorHAnsi"/>
        </w:rPr>
        <w:t> :</w:t>
      </w:r>
      <w:r w:rsidRPr="007C6B70">
        <w:rPr>
          <w:rFonts w:asciiTheme="minorHAnsi" w:hAnsiTheme="minorHAnsi" w:cstheme="minorHAnsi"/>
        </w:rPr>
        <w:t xml:space="preserve"> </w:t>
      </w:r>
      <w:r w:rsidR="00B64487" w:rsidRPr="007C6B70">
        <w:rPr>
          <w:rFonts w:asciiTheme="minorHAnsi" w:hAnsiTheme="minorHAnsi" w:cstheme="minorHAnsi"/>
          <w:i/>
          <w:iCs/>
          <w:u w:val="single"/>
        </w:rPr>
        <w:t>salle de réunion au 2éme étage de la direction général des bâtiments civils</w:t>
      </w:r>
      <w:r w:rsidR="006D1B8B" w:rsidRPr="007C6B70">
        <w:rPr>
          <w:rFonts w:asciiTheme="minorHAnsi" w:hAnsiTheme="minorHAnsi" w:cstheme="minorHAnsi"/>
        </w:rPr>
        <w:t xml:space="preserve"> mentionnée ci-dessous </w:t>
      </w:r>
      <w:r w:rsidR="00B64487" w:rsidRPr="0063045B">
        <w:rPr>
          <w:rFonts w:asciiTheme="minorHAnsi" w:hAnsiTheme="minorHAnsi" w:cstheme="minorHAnsi"/>
          <w:b/>
          <w:bCs/>
          <w:i/>
          <w:iCs/>
          <w:u w:val="single"/>
        </w:rPr>
        <w:t xml:space="preserve">le </w:t>
      </w:r>
      <w:proofErr w:type="gramStart"/>
      <w:r w:rsidR="00B64487" w:rsidRPr="0063045B">
        <w:rPr>
          <w:rFonts w:asciiTheme="minorHAnsi" w:hAnsiTheme="minorHAnsi" w:cstheme="minorHAnsi"/>
          <w:b/>
          <w:bCs/>
          <w:i/>
          <w:iCs/>
          <w:u w:val="single"/>
        </w:rPr>
        <w:t>Lundi</w:t>
      </w:r>
      <w:proofErr w:type="gramEnd"/>
      <w:r w:rsidR="00B64487" w:rsidRPr="0063045B">
        <w:rPr>
          <w:rFonts w:asciiTheme="minorHAnsi" w:hAnsiTheme="minorHAnsi" w:cstheme="minorHAnsi"/>
          <w:b/>
          <w:bCs/>
          <w:i/>
          <w:iCs/>
          <w:u w:val="single"/>
        </w:rPr>
        <w:t xml:space="preserve"> 12 février 2024 à 10h00</w:t>
      </w:r>
      <w:r w:rsidRPr="007C6B70">
        <w:rPr>
          <w:rFonts w:asciiTheme="minorHAnsi" w:hAnsiTheme="minorHAnsi" w:cstheme="minorHAnsi"/>
          <w:i/>
          <w:iCs/>
        </w:rPr>
        <w:t>.</w:t>
      </w:r>
      <w:r w:rsidRPr="007C6B70">
        <w:rPr>
          <w:rFonts w:asciiTheme="minorHAnsi" w:hAnsiTheme="minorHAnsi" w:cstheme="minorHAnsi"/>
        </w:rPr>
        <w:t xml:space="preserve"> </w:t>
      </w:r>
    </w:p>
    <w:p w14:paraId="440C608E" w14:textId="59B2B8E9" w:rsidR="008E5D8B" w:rsidRPr="007C6B70" w:rsidRDefault="00D75C84" w:rsidP="0099207C">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b/>
          <w:bCs/>
        </w:rPr>
      </w:pPr>
      <w:r w:rsidRPr="007C6B70">
        <w:rPr>
          <w:rFonts w:asciiTheme="minorHAnsi" w:hAnsiTheme="minorHAnsi" w:cstheme="minorHAnsi"/>
        </w:rPr>
        <w:t xml:space="preserve">Chaque offre doit obligatoirement être accompagnée d’une caution de soumission selon le modèle émis d’un montant de </w:t>
      </w:r>
      <w:r w:rsidR="00325602" w:rsidRPr="007C6B70">
        <w:rPr>
          <w:rFonts w:asciiTheme="minorHAnsi" w:hAnsiTheme="minorHAnsi" w:cstheme="minorHAnsi"/>
          <w:b/>
          <w:bCs/>
        </w:rPr>
        <w:t>six</w:t>
      </w:r>
      <w:r w:rsidRPr="007C6B70">
        <w:rPr>
          <w:rFonts w:asciiTheme="minorHAnsi" w:hAnsiTheme="minorHAnsi" w:cstheme="minorHAnsi"/>
          <w:b/>
          <w:bCs/>
        </w:rPr>
        <w:t xml:space="preserve"> cent mille dinars</w:t>
      </w:r>
      <w:r w:rsidRPr="007C6B70">
        <w:rPr>
          <w:rFonts w:asciiTheme="minorHAnsi" w:hAnsiTheme="minorHAnsi" w:cstheme="minorHAnsi"/>
        </w:rPr>
        <w:t xml:space="preserve"> (</w:t>
      </w:r>
      <w:r w:rsidR="00C13C16" w:rsidRPr="007C6B70">
        <w:rPr>
          <w:rFonts w:asciiTheme="minorHAnsi" w:hAnsiTheme="minorHAnsi" w:cstheme="minorHAnsi"/>
          <w:b/>
          <w:bCs/>
        </w:rPr>
        <w:t>6</w:t>
      </w:r>
      <w:r w:rsidRPr="007C6B70">
        <w:rPr>
          <w:rFonts w:asciiTheme="minorHAnsi" w:hAnsiTheme="minorHAnsi" w:cstheme="minorHAnsi"/>
          <w:b/>
          <w:bCs/>
        </w:rPr>
        <w:t>00 000 DT</w:t>
      </w:r>
      <w:r w:rsidRPr="007C6B70">
        <w:rPr>
          <w:rFonts w:asciiTheme="minorHAnsi" w:hAnsiTheme="minorHAnsi" w:cstheme="minorHAnsi"/>
        </w:rPr>
        <w:t xml:space="preserve">) </w:t>
      </w:r>
      <w:r w:rsidR="008E5D8B" w:rsidRPr="007C6B70">
        <w:rPr>
          <w:rFonts w:asciiTheme="minorHAnsi" w:hAnsiTheme="minorHAnsi" w:cstheme="minorHAnsi"/>
        </w:rPr>
        <w:t xml:space="preserve">ou quatre-vingt-huit mille Euro </w:t>
      </w:r>
      <w:r w:rsidR="008E5D8B" w:rsidRPr="007C6B70">
        <w:rPr>
          <w:rFonts w:asciiTheme="minorHAnsi" w:hAnsiTheme="minorHAnsi" w:cstheme="minorHAnsi"/>
          <w:b/>
          <w:bCs/>
        </w:rPr>
        <w:t>(</w:t>
      </w:r>
      <w:r w:rsidR="00C13C16" w:rsidRPr="007C6B70">
        <w:rPr>
          <w:rFonts w:asciiTheme="minorHAnsi" w:hAnsiTheme="minorHAnsi" w:cstheme="minorHAnsi"/>
          <w:b/>
          <w:bCs/>
        </w:rPr>
        <w:t>178</w:t>
      </w:r>
      <w:r w:rsidR="008E5D8B" w:rsidRPr="007C6B70">
        <w:rPr>
          <w:rFonts w:asciiTheme="minorHAnsi" w:hAnsiTheme="minorHAnsi" w:cstheme="minorHAnsi"/>
          <w:b/>
          <w:bCs/>
        </w:rPr>
        <w:t xml:space="preserve"> 000 €)</w:t>
      </w:r>
      <w:r w:rsidR="008E5D8B" w:rsidRPr="007C6B70">
        <w:rPr>
          <w:rFonts w:asciiTheme="minorHAnsi" w:hAnsiTheme="minorHAnsi" w:cstheme="minorHAnsi"/>
        </w:rPr>
        <w:t>.</w:t>
      </w:r>
    </w:p>
    <w:p w14:paraId="433130CF" w14:textId="27790CE4" w:rsidR="008E5D8B" w:rsidRPr="007C6B70" w:rsidRDefault="0092412D" w:rsidP="0099207C">
      <w:pPr>
        <w:pStyle w:val="ListParagraph"/>
        <w:tabs>
          <w:tab w:val="left" w:pos="426"/>
        </w:tabs>
        <w:spacing w:before="120" w:after="120"/>
        <w:ind w:left="0"/>
        <w:contextualSpacing w:val="0"/>
        <w:jc w:val="lowKashida"/>
        <w:rPr>
          <w:rFonts w:asciiTheme="minorHAnsi" w:hAnsiTheme="minorHAnsi" w:cstheme="minorHAnsi"/>
          <w:b/>
          <w:bCs/>
        </w:rPr>
      </w:pPr>
      <w:r w:rsidRPr="007C6B70">
        <w:rPr>
          <w:rFonts w:asciiTheme="minorHAnsi" w:hAnsiTheme="minorHAnsi" w:cstheme="minorHAnsi"/>
        </w:rPr>
        <w:t>Si la</w:t>
      </w:r>
      <w:r w:rsidR="008E5D8B" w:rsidRPr="007C6B70">
        <w:rPr>
          <w:rFonts w:asciiTheme="minorHAnsi" w:hAnsiTheme="minorHAnsi" w:cstheme="minorHAnsi"/>
        </w:rPr>
        <w:t xml:space="preserve"> caution </w:t>
      </w:r>
      <w:r w:rsidRPr="007C6B70">
        <w:rPr>
          <w:rFonts w:asciiTheme="minorHAnsi" w:hAnsiTheme="minorHAnsi" w:cstheme="minorHAnsi"/>
        </w:rPr>
        <w:t xml:space="preserve">est </w:t>
      </w:r>
      <w:r w:rsidR="008E5D8B" w:rsidRPr="007C6B70">
        <w:rPr>
          <w:rFonts w:asciiTheme="minorHAnsi" w:hAnsiTheme="minorHAnsi" w:cstheme="minorHAnsi"/>
        </w:rPr>
        <w:t xml:space="preserve">délivrée par une institution bancaire non tunisienne, </w:t>
      </w:r>
      <w:r w:rsidRPr="007C6B70">
        <w:rPr>
          <w:rFonts w:asciiTheme="minorHAnsi" w:hAnsiTheme="minorHAnsi" w:cstheme="minorHAnsi"/>
        </w:rPr>
        <w:t xml:space="preserve">cette dernière </w:t>
      </w:r>
      <w:r w:rsidR="008E5D8B" w:rsidRPr="007C6B70">
        <w:rPr>
          <w:rFonts w:asciiTheme="minorHAnsi" w:hAnsiTheme="minorHAnsi" w:cstheme="minorHAnsi"/>
        </w:rPr>
        <w:t>devra désigner une banque tunisienne comme correspondant pour rendre exécutoire ladite caution.</w:t>
      </w:r>
    </w:p>
    <w:p w14:paraId="388399BB" w14:textId="74BEA3D9" w:rsidR="008E5D8B" w:rsidRPr="007C6B70" w:rsidRDefault="008E5D8B" w:rsidP="0099207C">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La période de validité des offres est de cent vingt (120) jours à partir de la date limite de remise des offres.</w:t>
      </w:r>
    </w:p>
    <w:p w14:paraId="0DBD1B38" w14:textId="75EDF90A" w:rsidR="001156AE" w:rsidRPr="007C6B70" w:rsidRDefault="001156AE" w:rsidP="00BB53DF">
      <w:pPr>
        <w:pStyle w:val="ListParagraph"/>
        <w:numPr>
          <w:ilvl w:val="0"/>
          <w:numId w:val="1"/>
        </w:numPr>
        <w:tabs>
          <w:tab w:val="left" w:pos="426"/>
        </w:tabs>
        <w:spacing w:before="120" w:after="120"/>
        <w:ind w:left="284" w:hanging="284"/>
        <w:contextualSpacing w:val="0"/>
        <w:jc w:val="lowKashida"/>
        <w:rPr>
          <w:rFonts w:asciiTheme="minorHAnsi" w:hAnsiTheme="minorHAnsi" w:cstheme="minorHAnsi"/>
        </w:rPr>
      </w:pPr>
      <w:r w:rsidRPr="007C6B70">
        <w:rPr>
          <w:rFonts w:asciiTheme="minorHAnsi" w:hAnsiTheme="minorHAnsi" w:cstheme="minorHAnsi"/>
        </w:rPr>
        <w:t>L’(les) adresse(s) auxquelles il est fait référence ci-dessus est</w:t>
      </w:r>
      <w:r w:rsidR="007C6B70">
        <w:rPr>
          <w:rFonts w:asciiTheme="minorHAnsi" w:hAnsiTheme="minorHAnsi" w:cstheme="minorHAnsi"/>
        </w:rPr>
        <w:t xml:space="preserve"> </w:t>
      </w:r>
      <w:r w:rsidRPr="007C6B70">
        <w:rPr>
          <w:rFonts w:asciiTheme="minorHAnsi" w:hAnsiTheme="minorHAnsi" w:cstheme="minorHAnsi"/>
        </w:rPr>
        <w:t>(sont) : [</w:t>
      </w:r>
      <w:r w:rsidR="00BB53DF" w:rsidRPr="007C6B70">
        <w:rPr>
          <w:rFonts w:asciiTheme="minorHAnsi" w:hAnsiTheme="minorHAnsi" w:cstheme="minorHAnsi"/>
        </w:rPr>
        <w:t>dgbc.bo@mehat.gov.tn</w:t>
      </w:r>
      <w:r w:rsidRPr="007C6B70">
        <w:rPr>
          <w:rFonts w:asciiTheme="minorHAnsi" w:hAnsiTheme="minorHAnsi" w:cstheme="minorHAnsi"/>
        </w:rPr>
        <w:t>]</w:t>
      </w:r>
    </w:p>
    <w:p w14:paraId="2AC9FCD0" w14:textId="77777777" w:rsidR="001156AE" w:rsidRPr="007C6B70" w:rsidRDefault="001156AE" w:rsidP="001156AE">
      <w:pPr>
        <w:rPr>
          <w:i/>
        </w:rPr>
      </w:pPr>
    </w:p>
    <w:p w14:paraId="21F48202" w14:textId="77777777" w:rsidR="001156AE" w:rsidRPr="007C6B70" w:rsidRDefault="001156AE" w:rsidP="001156AE">
      <w:pPr>
        <w:suppressAutoHyphens/>
        <w:ind w:left="578" w:hanging="578"/>
        <w:rPr>
          <w:i/>
          <w:iCs/>
        </w:rPr>
      </w:pPr>
      <w:r w:rsidRPr="007C6B70">
        <w:rPr>
          <w:bCs/>
          <w:i/>
          <w:iCs/>
        </w:rPr>
        <w:t>[Insérer</w:t>
      </w:r>
      <w:r w:rsidRPr="007C6B70">
        <w:rPr>
          <w:i/>
          <w:iCs/>
        </w:rPr>
        <w:t xml:space="preserve"> Nom de l’Agence d’exécution]</w:t>
      </w:r>
    </w:p>
    <w:p w14:paraId="3C2C38AB" w14:textId="77777777" w:rsidR="001156AE" w:rsidRPr="007C6B70" w:rsidRDefault="001156AE" w:rsidP="001156AE">
      <w:pPr>
        <w:rPr>
          <w:i/>
        </w:rPr>
      </w:pPr>
      <w:r w:rsidRPr="007C6B70">
        <w:rPr>
          <w:i/>
        </w:rPr>
        <w:t xml:space="preserve"> [Insérer le nom du bureau</w:t>
      </w:r>
      <w:r w:rsidRPr="007C6B70">
        <w:rPr>
          <w:i/>
          <w:iCs/>
        </w:rPr>
        <w:t xml:space="preserve"> et les coordonnées du bureau (étage, numéro)]</w:t>
      </w:r>
      <w:r w:rsidRPr="007C6B70">
        <w:rPr>
          <w:i/>
        </w:rPr>
        <w:t>]</w:t>
      </w:r>
    </w:p>
    <w:p w14:paraId="0786C138" w14:textId="77777777" w:rsidR="001156AE" w:rsidRPr="007C6B70" w:rsidRDefault="001156AE" w:rsidP="001156AE">
      <w:pPr>
        <w:rPr>
          <w:i/>
        </w:rPr>
      </w:pPr>
      <w:r w:rsidRPr="007C6B70">
        <w:rPr>
          <w:i/>
        </w:rPr>
        <w:t>[Insérer le nom et la position du responsable]</w:t>
      </w:r>
    </w:p>
    <w:p w14:paraId="57AF28E8" w14:textId="77777777" w:rsidR="001156AE" w:rsidRPr="007C6B70" w:rsidRDefault="001156AE" w:rsidP="001156AE">
      <w:pPr>
        <w:rPr>
          <w:i/>
          <w:iCs/>
          <w:spacing w:val="-2"/>
        </w:rPr>
      </w:pPr>
      <w:r w:rsidRPr="007C6B70">
        <w:rPr>
          <w:i/>
        </w:rPr>
        <w:t>[Insérer l’adresse postale complète</w:t>
      </w:r>
      <w:r w:rsidRPr="007C6B70">
        <w:rPr>
          <w:i/>
          <w:iCs/>
          <w:spacing w:val="-2"/>
        </w:rPr>
        <w:t>]</w:t>
      </w:r>
    </w:p>
    <w:p w14:paraId="75C12285" w14:textId="77777777" w:rsidR="001156AE" w:rsidRPr="007C6B70" w:rsidRDefault="001156AE" w:rsidP="001156AE">
      <w:pPr>
        <w:rPr>
          <w:i/>
        </w:rPr>
      </w:pPr>
      <w:r w:rsidRPr="007C6B70">
        <w:rPr>
          <w:i/>
        </w:rPr>
        <w:t>[Insérer téléphone]</w:t>
      </w:r>
    </w:p>
    <w:p w14:paraId="0D564B25" w14:textId="77777777" w:rsidR="001156AE" w:rsidRPr="007C6B70" w:rsidRDefault="001156AE" w:rsidP="001156AE">
      <w:pPr>
        <w:rPr>
          <w:i/>
        </w:rPr>
      </w:pPr>
      <w:r w:rsidRPr="007C6B70">
        <w:rPr>
          <w:i/>
        </w:rPr>
        <w:t>[Insérer télécopie]</w:t>
      </w:r>
    </w:p>
    <w:p w14:paraId="428D839D" w14:textId="77777777" w:rsidR="001156AE" w:rsidRPr="007C6B70" w:rsidRDefault="001156AE" w:rsidP="001156AE">
      <w:pPr>
        <w:tabs>
          <w:tab w:val="left" w:pos="2628"/>
        </w:tabs>
        <w:rPr>
          <w:i/>
        </w:rPr>
      </w:pPr>
      <w:r w:rsidRPr="007C6B70">
        <w:rPr>
          <w:i/>
        </w:rPr>
        <w:t>[Insérer adresse électronique]</w:t>
      </w:r>
    </w:p>
    <w:p w14:paraId="49FEE837" w14:textId="77777777" w:rsidR="001156AE" w:rsidRPr="007C6B70" w:rsidRDefault="001156AE" w:rsidP="001156AE">
      <w:pPr>
        <w:rPr>
          <w:i/>
        </w:rPr>
      </w:pPr>
      <w:r w:rsidRPr="007C6B70">
        <w:rPr>
          <w:i/>
        </w:rPr>
        <w:t>[Insérer l’adresse du site internet]</w:t>
      </w:r>
    </w:p>
    <w:p w14:paraId="25618C0E" w14:textId="77777777" w:rsidR="001156AE" w:rsidRPr="007C6B70" w:rsidRDefault="001156AE" w:rsidP="0099207C">
      <w:pPr>
        <w:rPr>
          <w:rFonts w:asciiTheme="minorHAnsi" w:hAnsiTheme="minorHAnsi" w:cstheme="minorHAnsi"/>
          <w:rtl/>
          <w:lang w:val="en-US"/>
        </w:rPr>
      </w:pPr>
    </w:p>
    <w:sectPr w:rsidR="001156AE" w:rsidRPr="007C6B70" w:rsidSect="00BB53DF">
      <w:headerReference w:type="even" r:id="rId15"/>
      <w:headerReference w:type="default" r:id="rId16"/>
      <w:headerReference w:type="first" r:id="rId17"/>
      <w:pgSz w:w="11907" w:h="16839" w:code="9"/>
      <w:pgMar w:top="142" w:right="708" w:bottom="567" w:left="1134" w:header="137" w:footer="709"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fik Rdhaounia" w:date="2023-12-19T15:27:00Z" w:initials="RR">
    <w:p w14:paraId="77C5B07C" w14:textId="77777777" w:rsidR="001156AE" w:rsidRDefault="001156AE" w:rsidP="001156AE">
      <w:pPr>
        <w:pStyle w:val="CommentText"/>
      </w:pPr>
      <w:r>
        <w:rPr>
          <w:rStyle w:val="CommentReference"/>
        </w:rPr>
        <w:annotationRef/>
      </w:r>
      <w:r>
        <w:t>Ajouter logo de la ISdB</w:t>
      </w:r>
    </w:p>
  </w:comment>
  <w:comment w:id="1" w:author="Rafik Rdhaounia" w:date="2023-12-19T14:07:00Z" w:initials="RR">
    <w:p w14:paraId="2CFB46D2" w14:textId="5DFB6597" w:rsidR="009A6659" w:rsidRDefault="009A6659" w:rsidP="009A6659">
      <w:pPr>
        <w:pStyle w:val="CommentText"/>
      </w:pPr>
      <w:r>
        <w:rPr>
          <w:rStyle w:val="CommentReference"/>
        </w:rPr>
        <w:annotationRef/>
      </w:r>
      <w:r>
        <w:rPr>
          <w:i/>
          <w:iCs/>
        </w:rPr>
        <w:t>Insérer : nom du Projet</w:t>
      </w:r>
    </w:p>
  </w:comment>
  <w:comment w:id="2" w:author="Rafik Rdhaounia" w:date="2023-12-19T14:10:00Z" w:initials="RR">
    <w:p w14:paraId="2537217A" w14:textId="77777777" w:rsidR="009A6659" w:rsidRDefault="009A6659" w:rsidP="009A6659">
      <w:pPr>
        <w:pStyle w:val="CommentText"/>
      </w:pPr>
      <w:r>
        <w:rPr>
          <w:rStyle w:val="CommentReference"/>
        </w:rPr>
        <w:annotationRef/>
      </w:r>
      <w:r>
        <w:rPr>
          <w:i/>
          <w:iCs/>
        </w:rPr>
        <w:t>[insérer :No du Financement]</w:t>
      </w:r>
    </w:p>
  </w:comment>
  <w:comment w:id="3" w:author="Rafik Rdhaounia" w:date="2023-12-19T14:24:00Z" w:initials="RR">
    <w:p w14:paraId="7BB29CAF" w14:textId="77777777" w:rsidR="00CD6E45" w:rsidRDefault="00CD6E45" w:rsidP="00CD6E45">
      <w:pPr>
        <w:pStyle w:val="CommentText"/>
      </w:pPr>
      <w:r>
        <w:rPr>
          <w:rStyle w:val="CommentReference"/>
        </w:rPr>
        <w:annotationRef/>
      </w:r>
      <w:r>
        <w:rPr>
          <w:i/>
          <w:iCs/>
        </w:rPr>
        <w:t xml:space="preserve">Ajouter: le projet </w:t>
      </w:r>
      <w:r>
        <w:t xml:space="preserve"> création de 2 hôpitaux régionaux à Thala et Dahmani_TUN1015</w:t>
      </w:r>
    </w:p>
    <w:p w14:paraId="27B5911E" w14:textId="77777777" w:rsidR="00CD6E45" w:rsidRDefault="00CD6E45" w:rsidP="00CD6E45">
      <w:pPr>
        <w:pStyle w:val="CommentText"/>
      </w:pPr>
      <w:r>
        <w:t>et à l’intention d’utiliser une partie de ce financement pour effectuer des paiements au titre du Marché 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5B07C" w15:done="0"/>
  <w15:commentEx w15:paraId="2CFB46D2" w15:done="0"/>
  <w15:commentEx w15:paraId="2537217A" w15:paraIdParent="2CFB46D2" w15:done="0"/>
  <w15:commentEx w15:paraId="27B59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89E850" w16cex:dateUtc="2023-12-19T14:27:00Z"/>
  <w16cex:commentExtensible w16cex:durableId="1AB3F946" w16cex:dateUtc="2023-12-19T13:07:00Z"/>
  <w16cex:commentExtensible w16cex:durableId="32720194" w16cex:dateUtc="2023-12-19T13:10:00Z"/>
  <w16cex:commentExtensible w16cex:durableId="771B37E2" w16cex:dateUtc="2023-12-19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5B07C" w16cid:durableId="6789E850"/>
  <w16cid:commentId w16cid:paraId="2CFB46D2" w16cid:durableId="1AB3F946"/>
  <w16cid:commentId w16cid:paraId="2537217A" w16cid:durableId="32720194"/>
  <w16cid:commentId w16cid:paraId="27B5911E" w16cid:durableId="771B3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63A2" w14:textId="77777777" w:rsidR="00C96C48" w:rsidRDefault="00C96C48" w:rsidP="009B4B9C">
      <w:r>
        <w:separator/>
      </w:r>
    </w:p>
  </w:endnote>
  <w:endnote w:type="continuationSeparator" w:id="0">
    <w:p w14:paraId="52E9F36B" w14:textId="77777777" w:rsidR="00C96C48" w:rsidRDefault="00C96C48" w:rsidP="009B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839A" w14:textId="77777777" w:rsidR="00C96C48" w:rsidRDefault="00C96C48" w:rsidP="009B4B9C">
      <w:r>
        <w:separator/>
      </w:r>
    </w:p>
  </w:footnote>
  <w:footnote w:type="continuationSeparator" w:id="0">
    <w:p w14:paraId="2EACDF85" w14:textId="77777777" w:rsidR="00C96C48" w:rsidRDefault="00C96C48" w:rsidP="009B4B9C">
      <w:r>
        <w:continuationSeparator/>
      </w:r>
    </w:p>
  </w:footnote>
  <w:footnote w:id="1">
    <w:p w14:paraId="6D3EAF1D" w14:textId="77777777" w:rsidR="009B4B9C" w:rsidRPr="0005459A" w:rsidRDefault="009B4B9C" w:rsidP="009B4B9C">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Le bureau où les documents peuvent être consultés et obtenus, et celui où les offres doivent être soumises ne sont pas nécessairement les mêmes.</w:t>
      </w:r>
    </w:p>
  </w:footnote>
  <w:footnote w:id="2">
    <w:p w14:paraId="4CE5E98A" w14:textId="77777777" w:rsidR="009B4B9C" w:rsidRPr="0005459A" w:rsidRDefault="009B4B9C" w:rsidP="009B4B9C">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Le prix demandé est destiné à défrayer </w:t>
      </w:r>
      <w:r>
        <w:rPr>
          <w:sz w:val="18"/>
          <w:szCs w:val="18"/>
          <w:lang w:val="fr-FR"/>
        </w:rPr>
        <w:t>l’Agence d’exécution</w:t>
      </w:r>
      <w:r w:rsidRPr="0005459A">
        <w:rPr>
          <w:sz w:val="18"/>
          <w:szCs w:val="18"/>
          <w:lang w:val="fr-FR"/>
        </w:rPr>
        <w:t xml:space="preserve"> du coût d’impression, du courrier / d’acheminement du dossier d’Appel d’offres. Un montant de 50 à 300 USD ou équivalent est réputé raisonnable.</w:t>
      </w:r>
    </w:p>
  </w:footnote>
  <w:footnote w:id="3">
    <w:p w14:paraId="2B3D2388" w14:textId="77777777" w:rsidR="009B4B9C" w:rsidRPr="0005459A" w:rsidRDefault="009B4B9C" w:rsidP="009B4B9C">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Par exemple chèque de caisse, dépôt direct sur un compte particulier.</w:t>
      </w:r>
    </w:p>
  </w:footnote>
  <w:footnote w:id="4">
    <w:p w14:paraId="6388EE6C" w14:textId="77777777" w:rsidR="009B4B9C" w:rsidRPr="0005459A" w:rsidRDefault="009B4B9C" w:rsidP="009B4B9C">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proofErr w:type="spellStart"/>
      <w:r>
        <w:rPr>
          <w:sz w:val="18"/>
          <w:szCs w:val="18"/>
          <w:lang w:val="fr-FR"/>
        </w:rPr>
        <w:t>BIsD</w:t>
      </w:r>
      <w:proofErr w:type="spellEnd"/>
      <w:r w:rsidRPr="0005459A">
        <w:rPr>
          <w:sz w:val="18"/>
          <w:szCs w:val="18"/>
          <w:lang w:val="fr-FR"/>
        </w:rPr>
        <w:t>, les documents peuvent être distribués par courriel, téléchargés à partir d’un site autorisé ou d’un système d’achat électronique.</w:t>
      </w:r>
    </w:p>
  </w:footnote>
  <w:footnote w:id="5">
    <w:p w14:paraId="77869257" w14:textId="77777777" w:rsidR="00756EF5" w:rsidRPr="0005459A" w:rsidRDefault="00756EF5" w:rsidP="00756EF5">
      <w:pPr>
        <w:pStyle w:val="FootnoteText"/>
        <w:ind w:left="360" w:hanging="360"/>
        <w:rPr>
          <w:sz w:val="18"/>
          <w:szCs w:val="18"/>
          <w:lang w:val="fr-FR"/>
        </w:rPr>
      </w:pPr>
      <w:r w:rsidRPr="0005459A">
        <w:rPr>
          <w:rStyle w:val="FootnoteReference"/>
          <w:sz w:val="18"/>
          <w:szCs w:val="18"/>
        </w:rPr>
        <w:footnoteRef/>
      </w:r>
      <w:r w:rsidRPr="0005459A">
        <w:rPr>
          <w:sz w:val="18"/>
          <w:szCs w:val="18"/>
          <w:lang w:val="fr-FR"/>
        </w:rPr>
        <w:t xml:space="preserve"> </w:t>
      </w:r>
      <w:r w:rsidRPr="0005459A">
        <w:rPr>
          <w:sz w:val="18"/>
          <w:szCs w:val="18"/>
          <w:lang w:val="fr-FR"/>
        </w:rPr>
        <w:tab/>
        <w:t xml:space="preserve">Indiquer l’adresse pour le dépôt des offres si elle est différente de l’adresse de consultation ou de retrait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7047" w14:textId="2BE61264" w:rsidR="001156AE" w:rsidRDefault="001156AE">
    <w:pPr>
      <w:pStyle w:val="Header"/>
    </w:pPr>
    <w:r>
      <w:rPr>
        <w:noProof/>
      </w:rPr>
      <mc:AlternateContent>
        <mc:Choice Requires="wps">
          <w:drawing>
            <wp:anchor distT="0" distB="0" distL="0" distR="0" simplePos="0" relativeHeight="251659264" behindDoc="0" locked="0" layoutInCell="1" allowOverlap="1" wp14:anchorId="345C463F" wp14:editId="6187774C">
              <wp:simplePos x="635" y="635"/>
              <wp:positionH relativeFrom="page">
                <wp:align>left</wp:align>
              </wp:positionH>
              <wp:positionV relativeFrom="page">
                <wp:align>top</wp:align>
              </wp:positionV>
              <wp:extent cx="443865" cy="443865"/>
              <wp:effectExtent l="0" t="0" r="17780" b="16510"/>
              <wp:wrapNone/>
              <wp:docPr id="178440111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A4AB8" w14:textId="2C713762" w:rsidR="001156AE" w:rsidRPr="001156AE" w:rsidRDefault="001156AE" w:rsidP="001156AE">
                          <w:pPr>
                            <w:rPr>
                              <w:rFonts w:ascii="Calibri" w:eastAsia="Calibri" w:hAnsi="Calibri" w:cs="Calibri"/>
                              <w:noProof/>
                              <w:color w:val="000000"/>
                              <w:sz w:val="20"/>
                              <w:szCs w:val="20"/>
                            </w:rPr>
                          </w:pPr>
                          <w:r w:rsidRPr="001156A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5C463F"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7DA4AB8" w14:textId="2C713762" w:rsidR="001156AE" w:rsidRPr="001156AE" w:rsidRDefault="001156AE" w:rsidP="001156AE">
                    <w:pPr>
                      <w:rPr>
                        <w:rFonts w:ascii="Calibri" w:eastAsia="Calibri" w:hAnsi="Calibri" w:cs="Calibri"/>
                        <w:noProof/>
                        <w:color w:val="000000"/>
                        <w:sz w:val="20"/>
                        <w:szCs w:val="20"/>
                      </w:rPr>
                    </w:pPr>
                    <w:r w:rsidRPr="001156AE">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1B6" w14:textId="21970C4A" w:rsidR="001156AE" w:rsidRDefault="00115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05E4" w14:textId="7EC8B2BA" w:rsidR="001156AE" w:rsidRDefault="001156AE">
    <w:pPr>
      <w:pStyle w:val="Header"/>
    </w:pPr>
    <w:r>
      <w:rPr>
        <w:noProof/>
      </w:rPr>
      <mc:AlternateContent>
        <mc:Choice Requires="wps">
          <w:drawing>
            <wp:anchor distT="0" distB="0" distL="0" distR="0" simplePos="0" relativeHeight="251658240" behindDoc="0" locked="0" layoutInCell="1" allowOverlap="1" wp14:anchorId="747D76F6" wp14:editId="4E7F402D">
              <wp:simplePos x="635" y="635"/>
              <wp:positionH relativeFrom="page">
                <wp:align>left</wp:align>
              </wp:positionH>
              <wp:positionV relativeFrom="page">
                <wp:align>top</wp:align>
              </wp:positionV>
              <wp:extent cx="443865" cy="443865"/>
              <wp:effectExtent l="0" t="0" r="17780" b="16510"/>
              <wp:wrapNone/>
              <wp:docPr id="60760318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5D971" w14:textId="5793B39E" w:rsidR="001156AE" w:rsidRPr="001156AE" w:rsidRDefault="001156AE" w:rsidP="001156AE">
                          <w:pPr>
                            <w:rPr>
                              <w:rFonts w:ascii="Calibri" w:eastAsia="Calibri" w:hAnsi="Calibri" w:cs="Calibri"/>
                              <w:noProof/>
                              <w:color w:val="000000"/>
                              <w:sz w:val="20"/>
                              <w:szCs w:val="20"/>
                            </w:rPr>
                          </w:pPr>
                          <w:r w:rsidRPr="001156A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7D76F6"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AA5D971" w14:textId="5793B39E" w:rsidR="001156AE" w:rsidRPr="001156AE" w:rsidRDefault="001156AE" w:rsidP="001156AE">
                    <w:pPr>
                      <w:rPr>
                        <w:rFonts w:ascii="Calibri" w:eastAsia="Calibri" w:hAnsi="Calibri" w:cs="Calibri"/>
                        <w:noProof/>
                        <w:color w:val="000000"/>
                        <w:sz w:val="20"/>
                        <w:szCs w:val="20"/>
                      </w:rPr>
                    </w:pPr>
                    <w:r w:rsidRPr="001156AE">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A79"/>
    <w:multiLevelType w:val="hybridMultilevel"/>
    <w:tmpl w:val="DFD0BBE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C67D4D"/>
    <w:multiLevelType w:val="hybridMultilevel"/>
    <w:tmpl w:val="A5AA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07384531">
    <w:abstractNumId w:val="0"/>
  </w:num>
  <w:num w:numId="2" w16cid:durableId="942112455">
    <w:abstractNumId w:val="2"/>
  </w:num>
  <w:num w:numId="3" w16cid:durableId="9868646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ik Rdhaounia">
    <w15:presenceInfo w15:providerId="AD" w15:userId="S::RRdhounia@isdb.org::91306dae-d16b-4572-9989-de78ac339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6D"/>
    <w:rsid w:val="00057EB8"/>
    <w:rsid w:val="000F430F"/>
    <w:rsid w:val="0011258E"/>
    <w:rsid w:val="001156AE"/>
    <w:rsid w:val="00144C36"/>
    <w:rsid w:val="001B29B5"/>
    <w:rsid w:val="002320D3"/>
    <w:rsid w:val="00262D6C"/>
    <w:rsid w:val="00264A8B"/>
    <w:rsid w:val="00267835"/>
    <w:rsid w:val="00277B56"/>
    <w:rsid w:val="002915EC"/>
    <w:rsid w:val="002A7D05"/>
    <w:rsid w:val="00322FB7"/>
    <w:rsid w:val="00325602"/>
    <w:rsid w:val="003401DF"/>
    <w:rsid w:val="00387385"/>
    <w:rsid w:val="0041324E"/>
    <w:rsid w:val="004A4625"/>
    <w:rsid w:val="004E3C6A"/>
    <w:rsid w:val="004E5FB3"/>
    <w:rsid w:val="00503FFA"/>
    <w:rsid w:val="00574113"/>
    <w:rsid w:val="005803AA"/>
    <w:rsid w:val="005A0AFC"/>
    <w:rsid w:val="005A18E9"/>
    <w:rsid w:val="005A3DDA"/>
    <w:rsid w:val="005C146D"/>
    <w:rsid w:val="005F748D"/>
    <w:rsid w:val="0063045B"/>
    <w:rsid w:val="006628C5"/>
    <w:rsid w:val="006645C1"/>
    <w:rsid w:val="00686D50"/>
    <w:rsid w:val="006D1B8B"/>
    <w:rsid w:val="006E1CCB"/>
    <w:rsid w:val="006E4E92"/>
    <w:rsid w:val="007345B9"/>
    <w:rsid w:val="00750BE6"/>
    <w:rsid w:val="00756EF5"/>
    <w:rsid w:val="007C6B70"/>
    <w:rsid w:val="007E71E1"/>
    <w:rsid w:val="008369F9"/>
    <w:rsid w:val="00846C0D"/>
    <w:rsid w:val="00867B3F"/>
    <w:rsid w:val="00895EDD"/>
    <w:rsid w:val="008B207D"/>
    <w:rsid w:val="008E5D8B"/>
    <w:rsid w:val="0092412D"/>
    <w:rsid w:val="00953431"/>
    <w:rsid w:val="0099207C"/>
    <w:rsid w:val="009A1A87"/>
    <w:rsid w:val="009A6659"/>
    <w:rsid w:val="009B4B9C"/>
    <w:rsid w:val="009C0D3F"/>
    <w:rsid w:val="009E3CE1"/>
    <w:rsid w:val="00A75002"/>
    <w:rsid w:val="00A87379"/>
    <w:rsid w:val="00A93FD6"/>
    <w:rsid w:val="00AE194B"/>
    <w:rsid w:val="00AE5DE2"/>
    <w:rsid w:val="00B20649"/>
    <w:rsid w:val="00B64487"/>
    <w:rsid w:val="00B90864"/>
    <w:rsid w:val="00BB53DF"/>
    <w:rsid w:val="00BF6457"/>
    <w:rsid w:val="00C06DC8"/>
    <w:rsid w:val="00C13C16"/>
    <w:rsid w:val="00C607DE"/>
    <w:rsid w:val="00C85681"/>
    <w:rsid w:val="00C96C48"/>
    <w:rsid w:val="00CB4C96"/>
    <w:rsid w:val="00CD6E45"/>
    <w:rsid w:val="00D75C84"/>
    <w:rsid w:val="00D76926"/>
    <w:rsid w:val="00DD05D9"/>
    <w:rsid w:val="00E1308A"/>
    <w:rsid w:val="00E14AE0"/>
    <w:rsid w:val="00E63AC0"/>
    <w:rsid w:val="00E66EAA"/>
    <w:rsid w:val="00EC740C"/>
    <w:rsid w:val="00F733D9"/>
    <w:rsid w:val="00FA14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B507"/>
  <w15:docId w15:val="{AC5C8945-9F8F-4DE1-ACDE-3B2750C2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6D"/>
    <w:pPr>
      <w:autoSpaceDE w:val="0"/>
      <w:autoSpaceDN w:val="0"/>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0D"/>
    <w:pPr>
      <w:ind w:left="720"/>
      <w:contextualSpacing/>
    </w:pPr>
  </w:style>
  <w:style w:type="table" w:customStyle="1" w:styleId="Grilledutableau2">
    <w:name w:val="Grille du tableau2"/>
    <w:basedOn w:val="TableNormal"/>
    <w:rsid w:val="00C13C1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6659"/>
    <w:rPr>
      <w:sz w:val="16"/>
      <w:szCs w:val="16"/>
    </w:rPr>
  </w:style>
  <w:style w:type="paragraph" w:styleId="CommentText">
    <w:name w:val="annotation text"/>
    <w:basedOn w:val="Normal"/>
    <w:link w:val="CommentTextChar"/>
    <w:uiPriority w:val="99"/>
    <w:unhideWhenUsed/>
    <w:rsid w:val="009A6659"/>
    <w:rPr>
      <w:sz w:val="20"/>
      <w:szCs w:val="20"/>
    </w:rPr>
  </w:style>
  <w:style w:type="character" w:customStyle="1" w:styleId="CommentTextChar">
    <w:name w:val="Comment Text Char"/>
    <w:basedOn w:val="DefaultParagraphFont"/>
    <w:link w:val="CommentText"/>
    <w:uiPriority w:val="99"/>
    <w:rsid w:val="009A665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9A6659"/>
    <w:rPr>
      <w:b/>
      <w:bCs/>
    </w:rPr>
  </w:style>
  <w:style w:type="character" w:customStyle="1" w:styleId="CommentSubjectChar">
    <w:name w:val="Comment Subject Char"/>
    <w:basedOn w:val="CommentTextChar"/>
    <w:link w:val="CommentSubject"/>
    <w:uiPriority w:val="99"/>
    <w:semiHidden/>
    <w:rsid w:val="009A6659"/>
    <w:rPr>
      <w:rFonts w:ascii="Times New Roman" w:eastAsia="Times New Roman" w:hAnsi="Times New Roman" w:cs="Times New Roman"/>
      <w:b/>
      <w:bCs/>
      <w:sz w:val="20"/>
      <w:szCs w:val="20"/>
      <w:lang w:eastAsia="fr-FR"/>
    </w:rPr>
  </w:style>
  <w:style w:type="paragraph" w:styleId="Revision">
    <w:name w:val="Revision"/>
    <w:hidden/>
    <w:uiPriority w:val="99"/>
    <w:semiHidden/>
    <w:rsid w:val="00CD6E45"/>
    <w:pPr>
      <w:spacing w:after="0" w:line="240" w:lineRule="auto"/>
    </w:pPr>
    <w:rPr>
      <w:rFonts w:ascii="Times New Roman" w:eastAsia="Times New Roman" w:hAnsi="Times New Roman" w:cs="Times New Roman"/>
      <w:sz w:val="24"/>
      <w:szCs w:val="24"/>
      <w:lang w:eastAsia="fr-FR"/>
    </w:rPr>
  </w:style>
  <w:style w:type="character" w:customStyle="1" w:styleId="cf01">
    <w:name w:val="cf01"/>
    <w:basedOn w:val="DefaultParagraphFont"/>
    <w:rsid w:val="00CD6E45"/>
    <w:rPr>
      <w:rFonts w:ascii="Segoe UI" w:hAnsi="Segoe UI" w:cs="Segoe UI" w:hint="default"/>
      <w:i/>
      <w:iCs/>
      <w:sz w:val="18"/>
      <w:szCs w:val="18"/>
    </w:rPr>
  </w:style>
  <w:style w:type="character" w:customStyle="1" w:styleId="cf11">
    <w:name w:val="cf11"/>
    <w:basedOn w:val="DefaultParagraphFont"/>
    <w:rsid w:val="00CD6E45"/>
    <w:rPr>
      <w:rFonts w:ascii="Segoe UI" w:hAnsi="Segoe UI" w:cs="Segoe UI" w:hint="default"/>
      <w:sz w:val="18"/>
      <w:szCs w:val="18"/>
    </w:rPr>
  </w:style>
  <w:style w:type="paragraph" w:customStyle="1" w:styleId="pf0">
    <w:name w:val="pf0"/>
    <w:basedOn w:val="Normal"/>
    <w:rsid w:val="00CD6E45"/>
    <w:pPr>
      <w:autoSpaceDE/>
      <w:autoSpaceDN/>
      <w:spacing w:before="100" w:beforeAutospacing="1" w:after="100" w:afterAutospacing="1"/>
    </w:pPr>
    <w:rPr>
      <w:lang w:val="en-US" w:eastAsia="en-US"/>
    </w:rPr>
  </w:style>
  <w:style w:type="character" w:customStyle="1" w:styleId="cf21">
    <w:name w:val="cf21"/>
    <w:basedOn w:val="DefaultParagraphFont"/>
    <w:rsid w:val="00CD6E45"/>
    <w:rPr>
      <w:rFonts w:ascii="Segoe UI" w:hAnsi="Segoe UI" w:cs="Segoe UI" w:hint="default"/>
      <w:sz w:val="18"/>
      <w:szCs w:val="18"/>
    </w:rPr>
  </w:style>
  <w:style w:type="character" w:customStyle="1" w:styleId="cf31">
    <w:name w:val="cf31"/>
    <w:basedOn w:val="DefaultParagraphFont"/>
    <w:rsid w:val="00CD6E45"/>
    <w:rPr>
      <w:rFonts w:ascii="Segoe UI" w:hAnsi="Segoe UI" w:cs="Segoe UI" w:hint="default"/>
      <w:sz w:val="18"/>
      <w:szCs w:val="18"/>
    </w:rPr>
  </w:style>
  <w:style w:type="character" w:styleId="FootnoteReference">
    <w:name w:val="footnote reference"/>
    <w:rsid w:val="009B4B9C"/>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9B4B9C"/>
    <w:pPr>
      <w:autoSpaceDE/>
      <w:autoSpaceDN/>
      <w:jc w:val="both"/>
    </w:pPr>
    <w:rPr>
      <w:sz w:val="20"/>
      <w:szCs w:val="20"/>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9B4B9C"/>
    <w:rPr>
      <w:rFonts w:ascii="Times New Roman" w:eastAsia="Times New Roman" w:hAnsi="Times New Roman" w:cs="Times New Roman"/>
      <w:sz w:val="20"/>
      <w:szCs w:val="20"/>
      <w:lang w:val="es-ES_tradnl" w:eastAsia="fr-FR"/>
    </w:rPr>
  </w:style>
  <w:style w:type="paragraph" w:styleId="Header">
    <w:name w:val="header"/>
    <w:basedOn w:val="Normal"/>
    <w:link w:val="HeaderChar"/>
    <w:uiPriority w:val="99"/>
    <w:unhideWhenUsed/>
    <w:rsid w:val="001156AE"/>
    <w:pPr>
      <w:tabs>
        <w:tab w:val="center" w:pos="4680"/>
        <w:tab w:val="right" w:pos="9360"/>
      </w:tabs>
    </w:pPr>
  </w:style>
  <w:style w:type="character" w:customStyle="1" w:styleId="HeaderChar">
    <w:name w:val="Header Char"/>
    <w:basedOn w:val="DefaultParagraphFont"/>
    <w:link w:val="Header"/>
    <w:uiPriority w:val="99"/>
    <w:rsid w:val="001156AE"/>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734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5B9"/>
    <w:rPr>
      <w:rFonts w:ascii="Segoe UI" w:eastAsia="Times New Roman" w:hAnsi="Segoe UI" w:cs="Segoe UI"/>
      <w:sz w:val="18"/>
      <w:szCs w:val="18"/>
      <w:lang w:eastAsia="fr-FR"/>
    </w:rPr>
  </w:style>
  <w:style w:type="paragraph" w:styleId="Footer">
    <w:name w:val="footer"/>
    <w:basedOn w:val="Normal"/>
    <w:link w:val="FooterChar"/>
    <w:uiPriority w:val="99"/>
    <w:unhideWhenUsed/>
    <w:rsid w:val="007345B9"/>
    <w:pPr>
      <w:tabs>
        <w:tab w:val="center" w:pos="4536"/>
        <w:tab w:val="right" w:pos="9072"/>
      </w:tabs>
    </w:pPr>
  </w:style>
  <w:style w:type="character" w:customStyle="1" w:styleId="FooterChar">
    <w:name w:val="Footer Char"/>
    <w:basedOn w:val="DefaultParagraphFont"/>
    <w:link w:val="Footer"/>
    <w:uiPriority w:val="99"/>
    <w:rsid w:val="007345B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4978">
      <w:bodyDiv w:val="1"/>
      <w:marLeft w:val="0"/>
      <w:marRight w:val="0"/>
      <w:marTop w:val="0"/>
      <w:marBottom w:val="0"/>
      <w:divBdr>
        <w:top w:val="none" w:sz="0" w:space="0" w:color="auto"/>
        <w:left w:val="none" w:sz="0" w:space="0" w:color="auto"/>
        <w:bottom w:val="none" w:sz="0" w:space="0" w:color="auto"/>
        <w:right w:val="none" w:sz="0" w:space="0" w:color="auto"/>
      </w:divBdr>
    </w:div>
    <w:div w:id="6096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3FB0-2A55-48C9-94DE-493E62BE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670</Words>
  <Characters>3820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MEHAT</dc:creator>
  <cp:lastModifiedBy>Mohamed Elusta</cp:lastModifiedBy>
  <cp:revision>8</cp:revision>
  <cp:lastPrinted>2019-09-24T08:51:00Z</cp:lastPrinted>
  <dcterms:created xsi:type="dcterms:W3CDTF">2023-12-21T09:03:00Z</dcterms:created>
  <dcterms:modified xsi:type="dcterms:W3CDTF">2023-12-25T09:59:00Z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243749ef,6a5bccd8,6a49ea79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2023-12-19T14:28:18Z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e5b32d17-4430-4d34-832d-58d175a4ce3f</vt:lpwstr>
  </property>
  <property fmtid="{D5CDD505-2E9C-101B-9397-08002B2CF9AE}" pid="11" name="MSIP_Label_9ef4adf7-25a7-4f52-a61a-df7190f1d881_ContentBits">
    <vt:lpwstr>1</vt:lpwstr>
  </property>
</Properties>
</file>