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6101" w14:textId="77777777" w:rsidR="00703F60" w:rsidRPr="008C4FEE" w:rsidRDefault="00703F60" w:rsidP="00703F60">
      <w:pPr>
        <w:jc w:val="center"/>
        <w:rPr>
          <w:b/>
          <w:bCs/>
          <w:lang w:val="fr-FR" w:eastAsia="fr-FR"/>
        </w:rPr>
      </w:pPr>
      <w:r w:rsidRPr="008C4FEE">
        <w:rPr>
          <w:b/>
          <w:bCs/>
          <w:lang w:val="fr-FR" w:eastAsia="fr-FR"/>
        </w:rPr>
        <w:t>REPUBLIQUE ISLAMIQUE DE MAURITANIE</w:t>
      </w:r>
    </w:p>
    <w:p w14:paraId="50102E71" w14:textId="77777777" w:rsidR="00703F60" w:rsidRPr="008C4FEE" w:rsidRDefault="00703F60" w:rsidP="00703F60">
      <w:pPr>
        <w:jc w:val="center"/>
        <w:rPr>
          <w:b/>
          <w:bCs/>
          <w:lang w:val="fr-FR" w:eastAsia="fr-FR"/>
        </w:rPr>
      </w:pPr>
    </w:p>
    <w:p w14:paraId="17D27F0B" w14:textId="77777777" w:rsidR="00703F60" w:rsidRPr="008C4FEE" w:rsidRDefault="00703F60" w:rsidP="00703F60">
      <w:pPr>
        <w:spacing w:line="360" w:lineRule="auto"/>
        <w:jc w:val="center"/>
        <w:rPr>
          <w:b/>
          <w:caps/>
          <w:lang w:val="fr-FR"/>
        </w:rPr>
      </w:pPr>
      <w:r w:rsidRPr="008C4FEE">
        <w:rPr>
          <w:b/>
          <w:caps/>
          <w:lang w:val="fr-FR"/>
        </w:rPr>
        <w:t>MINISTERE De l’hdraulique et de l’assainissement</w:t>
      </w:r>
    </w:p>
    <w:p w14:paraId="0160823F" w14:textId="77777777" w:rsidR="00703F60" w:rsidRPr="008C4FEE" w:rsidRDefault="00703F60" w:rsidP="00703F60">
      <w:pPr>
        <w:spacing w:line="360" w:lineRule="auto"/>
        <w:jc w:val="center"/>
        <w:rPr>
          <w:b/>
          <w:caps/>
          <w:lang w:val="fr-FR"/>
        </w:rPr>
      </w:pPr>
    </w:p>
    <w:p w14:paraId="6E7155AB" w14:textId="77777777" w:rsidR="00703F60" w:rsidRPr="008C4FEE" w:rsidRDefault="00703F60" w:rsidP="00703F60">
      <w:pPr>
        <w:spacing w:line="360" w:lineRule="auto"/>
        <w:jc w:val="center"/>
        <w:rPr>
          <w:b/>
          <w:caps/>
          <w:lang w:val="fr-FR"/>
        </w:rPr>
      </w:pPr>
      <w:r w:rsidRPr="008C4FEE">
        <w:rPr>
          <w:b/>
          <w:caps/>
          <w:lang w:val="fr-FR"/>
        </w:rPr>
        <w:t>Projet Alimentation en Eau Potable de la Ville de Kiffa à Partir du Fleuve Sénégal</w:t>
      </w:r>
    </w:p>
    <w:p w14:paraId="0CF07677" w14:textId="77777777" w:rsidR="00703F60" w:rsidRPr="008C4FEE" w:rsidRDefault="00703F60" w:rsidP="00703F60">
      <w:pPr>
        <w:spacing w:line="360" w:lineRule="auto"/>
        <w:jc w:val="center"/>
        <w:rPr>
          <w:b/>
          <w:caps/>
          <w:lang w:val="fr-FR"/>
        </w:rPr>
      </w:pPr>
    </w:p>
    <w:p w14:paraId="7FFD5D1D" w14:textId="77777777" w:rsidR="00C30C3D" w:rsidRPr="008C4FEE" w:rsidRDefault="00C30C3D">
      <w:pPr>
        <w:ind w:right="72"/>
        <w:jc w:val="center"/>
        <w:rPr>
          <w:rFonts w:ascii="CG Times" w:hAnsi="CG Times"/>
          <w:sz w:val="28"/>
          <w:szCs w:val="28"/>
          <w:lang w:val="fr-FR"/>
        </w:rPr>
      </w:pPr>
      <w:r w:rsidRPr="008C4FEE">
        <w:rPr>
          <w:rFonts w:ascii="CG Times" w:hAnsi="CG Times"/>
          <w:b/>
          <w:sz w:val="28"/>
          <w:szCs w:val="28"/>
          <w:lang w:val="fr-FR"/>
        </w:rPr>
        <w:t>AVIS GENERAL DE PASSATION DES MARCHES</w:t>
      </w:r>
      <w:r w:rsidR="00D4629B" w:rsidRPr="008C4FEE">
        <w:rPr>
          <w:rFonts w:ascii="CG Times" w:hAnsi="CG Times"/>
          <w:b/>
          <w:sz w:val="28"/>
          <w:szCs w:val="28"/>
          <w:lang w:val="fr-FR"/>
        </w:rPr>
        <w:t xml:space="preserve"> (AGPM)</w:t>
      </w:r>
    </w:p>
    <w:p w14:paraId="35EA0FFB" w14:textId="77777777" w:rsidR="00C30C3D" w:rsidRPr="008C4FEE" w:rsidRDefault="00C30C3D">
      <w:pPr>
        <w:ind w:right="72"/>
        <w:rPr>
          <w:rFonts w:ascii="CG Times" w:hAnsi="CG Times"/>
          <w:lang w:val="fr-FR"/>
        </w:rPr>
      </w:pPr>
    </w:p>
    <w:p w14:paraId="6F73E021" w14:textId="77777777" w:rsidR="00AD5768" w:rsidRPr="008C4FEE" w:rsidRDefault="00AD5768" w:rsidP="00AD5768">
      <w:pPr>
        <w:shd w:val="clear" w:color="auto" w:fill="FFFFFF"/>
        <w:rPr>
          <w:rFonts w:asciiTheme="majorBidi" w:hAnsiTheme="majorBidi" w:cstheme="majorBidi"/>
          <w:b/>
          <w:color w:val="212529"/>
          <w:sz w:val="22"/>
          <w:szCs w:val="22"/>
          <w:lang w:val="fr-FR"/>
        </w:rPr>
      </w:pPr>
      <w:r w:rsidRPr="008C4FEE">
        <w:rPr>
          <w:rFonts w:asciiTheme="majorBidi" w:hAnsiTheme="majorBidi" w:cstheme="majorBidi"/>
          <w:color w:val="212529"/>
          <w:lang w:val="fr-FR"/>
        </w:rPr>
        <w:t xml:space="preserve">Pays </w:t>
      </w:r>
      <w:r w:rsidRPr="008C4FEE">
        <w:rPr>
          <w:rFonts w:asciiTheme="majorBidi" w:hAnsiTheme="majorBidi" w:cstheme="majorBidi"/>
          <w:color w:val="212529"/>
          <w:sz w:val="22"/>
          <w:szCs w:val="22"/>
          <w:lang w:val="fr-FR"/>
        </w:rPr>
        <w:t>: </w:t>
      </w:r>
      <w:r w:rsidRPr="008C4FEE">
        <w:rPr>
          <w:rFonts w:asciiTheme="majorBidi" w:hAnsiTheme="majorBidi" w:cstheme="majorBidi"/>
          <w:b/>
          <w:color w:val="212529"/>
          <w:sz w:val="22"/>
          <w:szCs w:val="22"/>
          <w:lang w:val="fr-FR"/>
        </w:rPr>
        <w:t>Mauritanie</w:t>
      </w:r>
    </w:p>
    <w:p w14:paraId="4B6A4AEC" w14:textId="77777777" w:rsidR="00AD5768" w:rsidRPr="008C4FEE" w:rsidRDefault="00AD5768" w:rsidP="00AD5768">
      <w:pPr>
        <w:shd w:val="clear" w:color="auto" w:fill="FFFFFF"/>
        <w:rPr>
          <w:rFonts w:asciiTheme="majorBidi" w:hAnsiTheme="majorBidi" w:cstheme="majorBidi"/>
          <w:b/>
          <w:color w:val="212529"/>
          <w:sz w:val="22"/>
          <w:szCs w:val="22"/>
          <w:lang w:val="fr-FR"/>
        </w:rPr>
      </w:pPr>
      <w:r w:rsidRPr="008C4FEE">
        <w:rPr>
          <w:rFonts w:asciiTheme="majorBidi" w:hAnsiTheme="majorBidi" w:cstheme="majorBidi"/>
          <w:iCs/>
          <w:lang w:val="fr-FR"/>
        </w:rPr>
        <w:t xml:space="preserve">Nom </w:t>
      </w:r>
      <w:r w:rsidRPr="008C4FEE">
        <w:rPr>
          <w:rFonts w:asciiTheme="majorBidi" w:hAnsiTheme="majorBidi" w:cstheme="majorBidi"/>
          <w:iCs/>
          <w:color w:val="212529"/>
          <w:lang w:val="fr-FR"/>
        </w:rPr>
        <w:t>du Projet</w:t>
      </w:r>
      <w:r w:rsidRPr="008C4FEE">
        <w:rPr>
          <w:rFonts w:asciiTheme="majorBidi" w:hAnsiTheme="majorBidi" w:cstheme="majorBidi"/>
          <w:color w:val="212529"/>
          <w:sz w:val="22"/>
          <w:szCs w:val="22"/>
          <w:lang w:val="fr-FR"/>
        </w:rPr>
        <w:t xml:space="preserve"> : </w:t>
      </w:r>
      <w:r w:rsidRPr="008C4FEE">
        <w:rPr>
          <w:rFonts w:asciiTheme="majorBidi" w:hAnsiTheme="majorBidi" w:cstheme="majorBidi"/>
          <w:b/>
          <w:color w:val="212529"/>
          <w:sz w:val="22"/>
          <w:szCs w:val="22"/>
          <w:lang w:val="fr-FR"/>
        </w:rPr>
        <w:t>Alimentation en Eau Potable de la Ville de Kiffa à Partir du Fleuve Sénégal</w:t>
      </w:r>
    </w:p>
    <w:p w14:paraId="47C9202B" w14:textId="77777777" w:rsidR="00C30C3D" w:rsidRPr="008C4FEE" w:rsidRDefault="00AD5768" w:rsidP="00AD5768">
      <w:pPr>
        <w:ind w:right="72"/>
        <w:rPr>
          <w:rFonts w:asciiTheme="majorBidi" w:hAnsiTheme="majorBidi" w:cstheme="majorBidi"/>
          <w:i/>
          <w:lang w:val="fr-FR"/>
        </w:rPr>
      </w:pPr>
      <w:r w:rsidRPr="008C4FEE">
        <w:rPr>
          <w:rFonts w:asciiTheme="majorBidi" w:hAnsiTheme="majorBidi" w:cstheme="majorBidi"/>
          <w:iCs/>
          <w:lang w:val="fr-FR"/>
        </w:rPr>
        <w:t>Secteur</w:t>
      </w:r>
      <w:r w:rsidRPr="008C4FEE">
        <w:rPr>
          <w:rFonts w:asciiTheme="majorBidi" w:hAnsiTheme="majorBidi" w:cstheme="majorBidi"/>
          <w:i/>
          <w:lang w:val="fr-FR"/>
        </w:rPr>
        <w:t xml:space="preserve"> : </w:t>
      </w:r>
      <w:r w:rsidRPr="008C4FEE">
        <w:rPr>
          <w:rFonts w:asciiTheme="majorBidi" w:hAnsiTheme="majorBidi" w:cstheme="majorBidi"/>
          <w:b/>
          <w:color w:val="212529"/>
          <w:sz w:val="22"/>
          <w:szCs w:val="22"/>
          <w:lang w:val="fr-FR"/>
        </w:rPr>
        <w:t>Hydraulique</w:t>
      </w:r>
      <w:r w:rsidRPr="008C4FEE">
        <w:rPr>
          <w:rFonts w:asciiTheme="majorBidi" w:hAnsiTheme="majorBidi" w:cstheme="majorBidi"/>
          <w:i/>
          <w:lang w:val="fr-FR"/>
        </w:rPr>
        <w:t xml:space="preserve">  </w:t>
      </w:r>
    </w:p>
    <w:p w14:paraId="09E3E2B2" w14:textId="77777777" w:rsidR="00AD5768" w:rsidRPr="008C4FEE" w:rsidRDefault="00AD5768" w:rsidP="00FF3848">
      <w:pPr>
        <w:ind w:right="72"/>
        <w:rPr>
          <w:rFonts w:asciiTheme="majorBidi" w:hAnsiTheme="majorBidi" w:cstheme="majorBidi"/>
          <w:i/>
          <w:lang w:val="fr-FR"/>
        </w:rPr>
      </w:pPr>
      <w:r w:rsidRPr="008C4FEE">
        <w:rPr>
          <w:rFonts w:asciiTheme="majorBidi" w:hAnsiTheme="majorBidi" w:cstheme="majorBidi"/>
          <w:color w:val="212529"/>
          <w:lang w:val="fr-FR"/>
        </w:rPr>
        <w:t>Mode de financement</w:t>
      </w:r>
      <w:r w:rsidRPr="008C4FEE">
        <w:rPr>
          <w:rFonts w:asciiTheme="majorBidi" w:hAnsiTheme="majorBidi" w:cstheme="majorBidi"/>
          <w:b/>
          <w:color w:val="212529"/>
          <w:sz w:val="22"/>
          <w:szCs w:val="22"/>
          <w:lang w:val="fr-FR"/>
        </w:rPr>
        <w:t xml:space="preserve"> : </w:t>
      </w:r>
      <w:r w:rsidR="00FF3848" w:rsidRPr="008C4FEE">
        <w:rPr>
          <w:b/>
          <w:bCs/>
          <w:color w:val="212529"/>
          <w:lang w:val="fr-FR"/>
        </w:rPr>
        <w:t>Qardh Hasan (Loan) et Vente à tempérament (Instalment Sale)</w:t>
      </w:r>
    </w:p>
    <w:p w14:paraId="067C8EAD" w14:textId="77777777" w:rsidR="00AD5768" w:rsidRPr="008C4FEE" w:rsidRDefault="00AD5768" w:rsidP="00AD5768">
      <w:pPr>
        <w:shd w:val="clear" w:color="auto" w:fill="FFFFFF"/>
        <w:rPr>
          <w:rFonts w:asciiTheme="majorBidi" w:hAnsiTheme="majorBidi" w:cstheme="majorBidi"/>
          <w:b/>
          <w:color w:val="212529"/>
          <w:sz w:val="22"/>
          <w:szCs w:val="22"/>
          <w:lang w:val="fr-FR"/>
        </w:rPr>
      </w:pPr>
      <w:r w:rsidRPr="008C4FEE">
        <w:rPr>
          <w:rFonts w:asciiTheme="majorBidi" w:hAnsiTheme="majorBidi" w:cstheme="majorBidi"/>
          <w:lang w:val="fr-FR"/>
        </w:rPr>
        <w:t xml:space="preserve">N° de </w:t>
      </w:r>
      <w:r w:rsidR="00BB4418" w:rsidRPr="008C4FEE">
        <w:rPr>
          <w:rFonts w:asciiTheme="majorBidi" w:hAnsiTheme="majorBidi" w:cstheme="majorBidi"/>
          <w:lang w:val="fr-FR"/>
        </w:rPr>
        <w:t>Financement</w:t>
      </w:r>
      <w:r w:rsidR="00BB4418" w:rsidRPr="008C4FEE">
        <w:rPr>
          <w:rFonts w:asciiTheme="majorBidi" w:hAnsiTheme="majorBidi" w:cstheme="majorBidi"/>
          <w:sz w:val="22"/>
          <w:szCs w:val="22"/>
          <w:lang w:val="fr-FR"/>
        </w:rPr>
        <w:t xml:space="preserve"> :</w:t>
      </w:r>
      <w:r w:rsidRPr="008C4FEE">
        <w:rPr>
          <w:rFonts w:asciiTheme="majorBidi" w:hAnsiTheme="majorBidi" w:cstheme="majorBidi"/>
          <w:sz w:val="22"/>
          <w:szCs w:val="22"/>
          <w:lang w:val="fr-FR"/>
        </w:rPr>
        <w:t xml:space="preserve"> </w:t>
      </w:r>
      <w:r w:rsidRPr="008C4FEE">
        <w:rPr>
          <w:rFonts w:asciiTheme="majorBidi" w:hAnsiTheme="majorBidi" w:cstheme="majorBidi"/>
          <w:b/>
          <w:color w:val="212529"/>
          <w:sz w:val="22"/>
          <w:szCs w:val="22"/>
          <w:lang w:val="fr-FR"/>
        </w:rPr>
        <w:t xml:space="preserve">MRT 1039 </w:t>
      </w:r>
    </w:p>
    <w:p w14:paraId="737A2550" w14:textId="77777777" w:rsidR="00517E16" w:rsidRPr="008C4FEE" w:rsidRDefault="00517E16" w:rsidP="00AA4BB7">
      <w:pPr>
        <w:spacing w:after="120"/>
        <w:ind w:right="72"/>
        <w:rPr>
          <w:rFonts w:ascii="CG Times" w:hAnsi="CG Times"/>
          <w:lang w:val="fr-FR"/>
        </w:rPr>
      </w:pPr>
    </w:p>
    <w:p w14:paraId="2FF65D2F" w14:textId="14B1F2A9" w:rsidR="00D21E57" w:rsidRPr="008C4FEE" w:rsidRDefault="00D21E57" w:rsidP="00255AFC">
      <w:pPr>
        <w:spacing w:after="120"/>
        <w:ind w:right="72"/>
        <w:jc w:val="both"/>
        <w:rPr>
          <w:rFonts w:asciiTheme="majorBidi" w:hAnsiTheme="majorBidi" w:cstheme="majorBidi"/>
          <w:lang w:val="fr-FR"/>
        </w:rPr>
      </w:pPr>
      <w:r w:rsidRPr="008C4FEE">
        <w:rPr>
          <w:rFonts w:asciiTheme="majorBidi" w:hAnsiTheme="majorBidi" w:cstheme="majorBidi"/>
          <w:lang w:val="fr-FR"/>
        </w:rPr>
        <w:t>Le Gouvernement de la République Islamique de Mauritanie</w:t>
      </w:r>
      <w:r w:rsidR="00C30C3D" w:rsidRPr="008C4FEE">
        <w:rPr>
          <w:rFonts w:asciiTheme="majorBidi" w:hAnsiTheme="majorBidi" w:cstheme="majorBidi"/>
          <w:lang w:val="fr-FR"/>
        </w:rPr>
        <w:t xml:space="preserve"> a </w:t>
      </w:r>
      <w:r w:rsidR="00531E04" w:rsidRPr="008C4FEE">
        <w:rPr>
          <w:rFonts w:asciiTheme="majorBidi" w:hAnsiTheme="majorBidi" w:cstheme="majorBidi"/>
          <w:lang w:val="fr-FR"/>
        </w:rPr>
        <w:t>sollicité</w:t>
      </w:r>
      <w:r w:rsidR="00C30C3D" w:rsidRPr="008C4FEE">
        <w:rPr>
          <w:rFonts w:asciiTheme="majorBidi" w:hAnsiTheme="majorBidi" w:cstheme="majorBidi"/>
          <w:lang w:val="fr-FR"/>
        </w:rPr>
        <w:t xml:space="preserve"> </w:t>
      </w:r>
      <w:r w:rsidR="00D4629B" w:rsidRPr="008C4FEE">
        <w:rPr>
          <w:rFonts w:asciiTheme="majorBidi" w:hAnsiTheme="majorBidi" w:cstheme="majorBidi"/>
          <w:lang w:val="fr-FR"/>
        </w:rPr>
        <w:t xml:space="preserve">un </w:t>
      </w:r>
      <w:r w:rsidR="00531E04" w:rsidRPr="008C4FEE">
        <w:rPr>
          <w:rFonts w:asciiTheme="majorBidi" w:hAnsiTheme="majorBidi" w:cstheme="majorBidi"/>
          <w:lang w:val="fr-FR"/>
        </w:rPr>
        <w:t>financement</w:t>
      </w:r>
      <w:r w:rsidR="00752680" w:rsidRPr="008C4FEE">
        <w:rPr>
          <w:rFonts w:asciiTheme="majorBidi" w:hAnsiTheme="majorBidi" w:cstheme="majorBidi"/>
          <w:lang w:val="fr-FR"/>
        </w:rPr>
        <w:t xml:space="preserve"> d’</w:t>
      </w:r>
      <w:r w:rsidR="00890201" w:rsidRPr="008C4FEE">
        <w:rPr>
          <w:rFonts w:asciiTheme="majorBidi" w:hAnsiTheme="majorBidi" w:cstheme="majorBidi"/>
          <w:lang w:val="fr-FR"/>
        </w:rPr>
        <w:t>un</w:t>
      </w:r>
      <w:r w:rsidR="00531E04" w:rsidRPr="008C4FEE">
        <w:rPr>
          <w:rFonts w:asciiTheme="majorBidi" w:hAnsiTheme="majorBidi" w:cstheme="majorBidi"/>
          <w:lang w:val="fr-FR"/>
        </w:rPr>
        <w:t xml:space="preserve"> </w:t>
      </w:r>
      <w:r w:rsidR="00D4629B" w:rsidRPr="008C4FEE">
        <w:rPr>
          <w:rFonts w:asciiTheme="majorBidi" w:hAnsiTheme="majorBidi" w:cstheme="majorBidi"/>
          <w:lang w:val="fr-FR"/>
        </w:rPr>
        <w:t xml:space="preserve">montant </w:t>
      </w:r>
      <w:r w:rsidR="00255AFC">
        <w:rPr>
          <w:rFonts w:asciiTheme="majorBidi" w:hAnsiTheme="majorBidi" w:cstheme="majorBidi"/>
          <w:lang w:val="fr-FR"/>
        </w:rPr>
        <w:t xml:space="preserve">de </w:t>
      </w:r>
      <w:r w:rsidR="00FF3848" w:rsidRPr="008C4FEE">
        <w:rPr>
          <w:rFonts w:asciiTheme="majorBidi" w:hAnsiTheme="majorBidi" w:cstheme="majorBidi"/>
          <w:lang w:val="fr-FR"/>
        </w:rPr>
        <w:t>40 millions</w:t>
      </w:r>
      <w:r w:rsidR="004C7025" w:rsidRPr="008C4FEE">
        <w:rPr>
          <w:rFonts w:asciiTheme="majorBidi" w:hAnsiTheme="majorBidi" w:cstheme="majorBidi"/>
          <w:lang w:val="fr-FR"/>
        </w:rPr>
        <w:t xml:space="preserve"> </w:t>
      </w:r>
      <w:r w:rsidR="004C7025" w:rsidRPr="008C4FEE">
        <w:rPr>
          <w:rFonts w:asciiTheme="majorBidi" w:hAnsiTheme="majorBidi" w:cstheme="majorBidi"/>
          <w:b/>
          <w:bCs/>
          <w:lang w:val="fr-FR"/>
        </w:rPr>
        <w:t>USD</w:t>
      </w:r>
      <w:r w:rsidR="00FF3848" w:rsidRPr="008C4FEE">
        <w:rPr>
          <w:rFonts w:asciiTheme="majorBidi" w:hAnsiTheme="majorBidi" w:cstheme="majorBidi"/>
          <w:lang w:val="fr-FR"/>
        </w:rPr>
        <w:t>, comprendra une opération</w:t>
      </w:r>
      <w:r w:rsidR="00FF3848" w:rsidRPr="008C4FEE">
        <w:rPr>
          <w:lang w:val="fr-FR"/>
        </w:rPr>
        <w:t xml:space="preserve"> </w:t>
      </w:r>
      <w:r w:rsidR="00FF3848" w:rsidRPr="008C4FEE">
        <w:rPr>
          <w:rFonts w:asciiTheme="majorBidi" w:hAnsiTheme="majorBidi" w:cstheme="majorBidi"/>
          <w:lang w:val="fr-FR"/>
        </w:rPr>
        <w:t xml:space="preserve">Qardh Hasan (Loan) de 15 millions </w:t>
      </w:r>
      <w:r w:rsidR="00FF3848" w:rsidRPr="008C4FEE">
        <w:rPr>
          <w:rFonts w:asciiTheme="majorBidi" w:hAnsiTheme="majorBidi" w:cstheme="majorBidi"/>
          <w:b/>
          <w:bCs/>
          <w:lang w:val="fr-FR"/>
        </w:rPr>
        <w:t>US</w:t>
      </w:r>
      <w:r w:rsidR="004C7025" w:rsidRPr="008C4FEE">
        <w:rPr>
          <w:rFonts w:asciiTheme="majorBidi" w:hAnsiTheme="majorBidi" w:cstheme="majorBidi"/>
          <w:b/>
          <w:bCs/>
          <w:lang w:val="fr-FR"/>
        </w:rPr>
        <w:t>D</w:t>
      </w:r>
      <w:r w:rsidR="00FF3848" w:rsidRPr="008C4FEE">
        <w:rPr>
          <w:rFonts w:asciiTheme="majorBidi" w:hAnsiTheme="majorBidi" w:cstheme="majorBidi"/>
          <w:lang w:val="fr-FR"/>
        </w:rPr>
        <w:t xml:space="preserve"> </w:t>
      </w:r>
      <w:r w:rsidR="004C7025" w:rsidRPr="008C4FEE">
        <w:rPr>
          <w:rFonts w:asciiTheme="majorBidi" w:hAnsiTheme="majorBidi" w:cstheme="majorBidi"/>
          <w:lang w:val="fr-FR"/>
        </w:rPr>
        <w:t xml:space="preserve">et une opération de Vente à tempérament (Instalment Sale) de 25 millions </w:t>
      </w:r>
      <w:r w:rsidR="004C7025" w:rsidRPr="008C4FEE">
        <w:rPr>
          <w:rFonts w:asciiTheme="majorBidi" w:hAnsiTheme="majorBidi" w:cstheme="majorBidi"/>
          <w:b/>
          <w:bCs/>
          <w:lang w:val="fr-FR"/>
        </w:rPr>
        <w:t xml:space="preserve">USD </w:t>
      </w:r>
      <w:r w:rsidR="00C30C3D" w:rsidRPr="008C4FEE">
        <w:rPr>
          <w:rFonts w:asciiTheme="majorBidi" w:hAnsiTheme="majorBidi" w:cstheme="majorBidi"/>
          <w:lang w:val="fr-FR"/>
        </w:rPr>
        <w:t xml:space="preserve">de la Banque </w:t>
      </w:r>
      <w:r w:rsidR="00D4629B" w:rsidRPr="008C4FEE">
        <w:rPr>
          <w:rFonts w:asciiTheme="majorBidi" w:hAnsiTheme="majorBidi" w:cstheme="majorBidi"/>
          <w:lang w:val="fr-FR"/>
        </w:rPr>
        <w:t xml:space="preserve">Islamique de Développement </w:t>
      </w:r>
      <w:r w:rsidR="00C30C3D" w:rsidRPr="008C4FEE">
        <w:rPr>
          <w:rFonts w:asciiTheme="majorBidi" w:hAnsiTheme="majorBidi" w:cstheme="majorBidi"/>
          <w:lang w:val="fr-FR"/>
        </w:rPr>
        <w:t xml:space="preserve">pour financer le </w:t>
      </w:r>
      <w:r w:rsidRPr="008C4FEE">
        <w:rPr>
          <w:rFonts w:asciiTheme="majorBidi" w:hAnsiTheme="majorBidi" w:cstheme="majorBidi"/>
          <w:iCs/>
          <w:color w:val="212529"/>
          <w:lang w:val="fr-FR"/>
        </w:rPr>
        <w:t>Projet</w:t>
      </w:r>
      <w:r w:rsidRPr="008C4FEE">
        <w:rPr>
          <w:rFonts w:asciiTheme="majorBidi" w:hAnsiTheme="majorBidi" w:cstheme="majorBidi"/>
          <w:color w:val="212529"/>
          <w:lang w:val="fr-FR"/>
        </w:rPr>
        <w:t xml:space="preserve"> </w:t>
      </w:r>
      <w:r w:rsidRPr="008C4FEE">
        <w:rPr>
          <w:rFonts w:asciiTheme="majorBidi" w:hAnsiTheme="majorBidi" w:cstheme="majorBidi"/>
          <w:iCs/>
          <w:color w:val="212529"/>
          <w:lang w:val="fr-FR"/>
        </w:rPr>
        <w:t xml:space="preserve">Alimentation en Eau Potable de la Ville de Kiffa à Partir du Fleuve Sénégal </w:t>
      </w:r>
      <w:r w:rsidR="001C075F" w:rsidRPr="008C4FEE">
        <w:rPr>
          <w:rFonts w:asciiTheme="majorBidi" w:hAnsiTheme="majorBidi" w:cstheme="majorBidi"/>
          <w:iCs/>
          <w:color w:val="212529"/>
          <w:lang w:val="fr-FR"/>
        </w:rPr>
        <w:t xml:space="preserve">et </w:t>
      </w:r>
      <w:r w:rsidR="00255AFC">
        <w:rPr>
          <w:rFonts w:asciiTheme="majorBidi" w:hAnsiTheme="majorBidi" w:cstheme="majorBidi"/>
          <w:iCs/>
          <w:color w:val="212529"/>
          <w:lang w:val="fr-FR"/>
        </w:rPr>
        <w:t>a</w:t>
      </w:r>
      <w:r w:rsidR="001C075F" w:rsidRPr="008C4FEE">
        <w:rPr>
          <w:rFonts w:asciiTheme="majorBidi" w:hAnsiTheme="majorBidi" w:cstheme="majorBidi"/>
          <w:iCs/>
          <w:color w:val="212529"/>
          <w:lang w:val="fr-FR"/>
        </w:rPr>
        <w:t xml:space="preserve"> l’</w:t>
      </w:r>
      <w:r w:rsidR="001C075F" w:rsidRPr="008C4FEE">
        <w:rPr>
          <w:rFonts w:asciiTheme="majorBidi" w:hAnsiTheme="majorBidi" w:cstheme="majorBidi"/>
          <w:lang w:val="fr-FR"/>
        </w:rPr>
        <w:t xml:space="preserve">intention d’utiliser une partie de ce </w:t>
      </w:r>
      <w:r w:rsidR="001C075F" w:rsidRPr="008C4FEE">
        <w:rPr>
          <w:rFonts w:asciiTheme="majorBidi" w:hAnsiTheme="majorBidi" w:cstheme="majorBidi"/>
          <w:iCs/>
          <w:lang w:val="fr-FR"/>
        </w:rPr>
        <w:t>financement</w:t>
      </w:r>
      <w:r w:rsidR="001C075F" w:rsidRPr="008C4FEE">
        <w:rPr>
          <w:rFonts w:asciiTheme="majorBidi" w:hAnsiTheme="majorBidi" w:cstheme="majorBidi"/>
          <w:lang w:val="fr-FR"/>
        </w:rPr>
        <w:t xml:space="preserve"> pour effectuer des paiements pour l’acquisition de biens, travaux et services connexes et de services de consultants nécessaires dans le cadre de ce projet</w:t>
      </w:r>
      <w:r w:rsidRPr="008C4FEE">
        <w:rPr>
          <w:rFonts w:asciiTheme="majorBidi" w:hAnsiTheme="majorBidi" w:cstheme="majorBidi"/>
          <w:lang w:val="fr-FR"/>
        </w:rPr>
        <w:t xml:space="preserve">. </w:t>
      </w:r>
      <w:r w:rsidR="001C075F" w:rsidRPr="008C4FEE">
        <w:rPr>
          <w:rFonts w:asciiTheme="majorBidi" w:hAnsiTheme="majorBidi" w:cstheme="majorBidi"/>
          <w:lang w:val="fr-FR"/>
        </w:rPr>
        <w:t>Ce projet sera financé conjointement par</w:t>
      </w:r>
      <w:r w:rsidR="00810AFF" w:rsidRPr="008C4FEE">
        <w:rPr>
          <w:rFonts w:asciiTheme="majorBidi" w:hAnsiTheme="majorBidi" w:cstheme="majorBidi"/>
          <w:lang w:val="fr-FR"/>
        </w:rPr>
        <w:t> :</w:t>
      </w:r>
    </w:p>
    <w:p w14:paraId="196195F0" w14:textId="77777777" w:rsidR="00D21E57" w:rsidRPr="008C4FEE" w:rsidRDefault="00D21E57" w:rsidP="00810AFF">
      <w:pPr>
        <w:pStyle w:val="ListParagraph"/>
        <w:numPr>
          <w:ilvl w:val="0"/>
          <w:numId w:val="3"/>
        </w:numPr>
        <w:ind w:right="72"/>
        <w:rPr>
          <w:rStyle w:val="IntenseReference"/>
          <w:rFonts w:asciiTheme="majorBidi" w:hAnsiTheme="majorBidi" w:cstheme="majorBidi"/>
          <w:sz w:val="22"/>
          <w:szCs w:val="22"/>
          <w:lang w:val="fr-FR"/>
        </w:rPr>
      </w:pPr>
      <w:r w:rsidRPr="008C4FEE">
        <w:rPr>
          <w:rStyle w:val="IntenseReference"/>
          <w:rFonts w:asciiTheme="majorBidi" w:hAnsiTheme="majorBidi" w:cstheme="majorBidi"/>
          <w:sz w:val="22"/>
          <w:szCs w:val="22"/>
          <w:lang w:val="fr-FR"/>
        </w:rPr>
        <w:t xml:space="preserve">Fonds Saoudien de Développement (FSD), </w:t>
      </w:r>
    </w:p>
    <w:p w14:paraId="4FC1E510" w14:textId="77777777" w:rsidR="00D21E57" w:rsidRPr="008C4FEE" w:rsidRDefault="00D21E57" w:rsidP="00810AFF">
      <w:pPr>
        <w:pStyle w:val="ListParagraph"/>
        <w:numPr>
          <w:ilvl w:val="0"/>
          <w:numId w:val="3"/>
        </w:numPr>
        <w:ind w:right="72"/>
        <w:rPr>
          <w:rStyle w:val="IntenseReference"/>
          <w:rFonts w:asciiTheme="majorBidi" w:hAnsiTheme="majorBidi" w:cstheme="majorBidi"/>
          <w:sz w:val="22"/>
          <w:szCs w:val="22"/>
          <w:lang w:val="fr-FR"/>
        </w:rPr>
      </w:pPr>
      <w:r w:rsidRPr="008C4FEE">
        <w:rPr>
          <w:rStyle w:val="IntenseReference"/>
          <w:rFonts w:asciiTheme="majorBidi" w:hAnsiTheme="majorBidi" w:cstheme="majorBidi"/>
          <w:sz w:val="22"/>
          <w:szCs w:val="22"/>
          <w:lang w:val="fr-FR"/>
        </w:rPr>
        <w:t>Fonds Arabe pour le Développement Economique et Social (FADES),</w:t>
      </w:r>
    </w:p>
    <w:p w14:paraId="5C7D7E96" w14:textId="77777777" w:rsidR="00D21E57" w:rsidRPr="008C4FEE" w:rsidRDefault="00D21E57" w:rsidP="00810AFF">
      <w:pPr>
        <w:pStyle w:val="ListParagraph"/>
        <w:numPr>
          <w:ilvl w:val="0"/>
          <w:numId w:val="3"/>
        </w:numPr>
        <w:ind w:right="72"/>
        <w:rPr>
          <w:rStyle w:val="IntenseReference"/>
          <w:rFonts w:asciiTheme="majorBidi" w:hAnsiTheme="majorBidi" w:cstheme="majorBidi"/>
          <w:sz w:val="22"/>
          <w:szCs w:val="22"/>
          <w:lang w:val="fr-FR"/>
        </w:rPr>
      </w:pPr>
      <w:r w:rsidRPr="008C4FEE">
        <w:rPr>
          <w:rStyle w:val="IntenseReference"/>
          <w:rFonts w:asciiTheme="majorBidi" w:hAnsiTheme="majorBidi" w:cstheme="majorBidi"/>
          <w:sz w:val="22"/>
          <w:szCs w:val="22"/>
          <w:lang w:val="fr-FR"/>
        </w:rPr>
        <w:t xml:space="preserve">Fonds Koweïtien de Développement (FKD), </w:t>
      </w:r>
    </w:p>
    <w:p w14:paraId="556E3049" w14:textId="77777777" w:rsidR="00D21E57" w:rsidRPr="008C4FEE" w:rsidRDefault="00D21E57" w:rsidP="00810AFF">
      <w:pPr>
        <w:pStyle w:val="ListParagraph"/>
        <w:numPr>
          <w:ilvl w:val="0"/>
          <w:numId w:val="3"/>
        </w:numPr>
        <w:ind w:right="72"/>
        <w:rPr>
          <w:rStyle w:val="IntenseReference"/>
          <w:rFonts w:asciiTheme="majorBidi" w:hAnsiTheme="majorBidi" w:cstheme="majorBidi"/>
          <w:sz w:val="22"/>
          <w:szCs w:val="22"/>
          <w:lang w:val="fr-FR"/>
        </w:rPr>
      </w:pPr>
      <w:r w:rsidRPr="008C4FEE">
        <w:rPr>
          <w:rStyle w:val="IntenseReference"/>
          <w:rFonts w:asciiTheme="majorBidi" w:hAnsiTheme="majorBidi" w:cstheme="majorBidi"/>
          <w:sz w:val="22"/>
          <w:szCs w:val="22"/>
          <w:lang w:val="fr-FR"/>
        </w:rPr>
        <w:t>Fonds d’Abu Dhabi (FAD),</w:t>
      </w:r>
    </w:p>
    <w:p w14:paraId="7F3F3AA8" w14:textId="77777777" w:rsidR="001C075F" w:rsidRPr="008C4FEE" w:rsidRDefault="00D21E57" w:rsidP="00810AFF">
      <w:pPr>
        <w:pStyle w:val="ListParagraph"/>
        <w:numPr>
          <w:ilvl w:val="0"/>
          <w:numId w:val="3"/>
        </w:numPr>
        <w:ind w:right="72"/>
        <w:jc w:val="both"/>
        <w:rPr>
          <w:rStyle w:val="IntenseReference"/>
          <w:rFonts w:asciiTheme="majorBidi" w:hAnsiTheme="majorBidi" w:cstheme="majorBidi"/>
          <w:sz w:val="22"/>
          <w:szCs w:val="22"/>
          <w:lang w:val="fr-FR"/>
        </w:rPr>
      </w:pPr>
      <w:r w:rsidRPr="008C4FEE">
        <w:rPr>
          <w:rStyle w:val="IntenseReference"/>
          <w:rFonts w:asciiTheme="majorBidi" w:hAnsiTheme="majorBidi" w:cstheme="majorBidi"/>
          <w:sz w:val="22"/>
          <w:szCs w:val="22"/>
          <w:lang w:val="fr-FR"/>
        </w:rPr>
        <w:t>Fonds de l'OPEP pour le développement international (OFID)</w:t>
      </w:r>
      <w:r w:rsidR="00810AFF" w:rsidRPr="008C4FEE">
        <w:rPr>
          <w:rStyle w:val="IntenseReference"/>
          <w:rFonts w:asciiTheme="majorBidi" w:hAnsiTheme="majorBidi" w:cstheme="majorBidi"/>
          <w:sz w:val="22"/>
          <w:szCs w:val="22"/>
          <w:lang w:val="fr-FR"/>
        </w:rPr>
        <w:t>.</w:t>
      </w:r>
    </w:p>
    <w:p w14:paraId="37BA2C94" w14:textId="77777777" w:rsidR="00C30C3D" w:rsidRPr="008C4FEE" w:rsidRDefault="00C30C3D" w:rsidP="00C9301B">
      <w:pPr>
        <w:spacing w:after="120"/>
        <w:ind w:right="72"/>
        <w:rPr>
          <w:rFonts w:asciiTheme="majorBidi" w:hAnsiTheme="majorBidi" w:cstheme="majorBidi"/>
          <w:i/>
          <w:iCs/>
          <w:lang w:val="fr-FR"/>
        </w:rPr>
      </w:pPr>
      <w:r w:rsidRPr="008C4FEE">
        <w:rPr>
          <w:rFonts w:asciiTheme="majorBidi" w:hAnsiTheme="majorBidi" w:cstheme="majorBidi"/>
          <w:lang w:val="fr-FR"/>
        </w:rPr>
        <w:t>Le projet comprendra les composantes suivantes</w:t>
      </w:r>
      <w:r w:rsidR="00D4629B" w:rsidRPr="008C4FEE">
        <w:rPr>
          <w:rFonts w:asciiTheme="majorBidi" w:hAnsiTheme="majorBidi" w:cstheme="majorBidi"/>
          <w:lang w:val="fr-FR"/>
        </w:rPr>
        <w:t> :</w:t>
      </w:r>
      <w:r w:rsidR="001C075F" w:rsidRPr="008C4FEE">
        <w:rPr>
          <w:rFonts w:asciiTheme="majorBidi" w:hAnsiTheme="majorBidi" w:cstheme="majorBidi"/>
          <w:lang w:val="fr-FR"/>
        </w:rPr>
        <w:t xml:space="preserve"> </w:t>
      </w:r>
      <w:r w:rsidR="00810AFF" w:rsidRPr="008C4FEE">
        <w:rPr>
          <w:rFonts w:asciiTheme="majorBidi" w:hAnsiTheme="majorBidi" w:cstheme="majorBidi"/>
          <w:i/>
          <w:iCs/>
          <w:lang w:val="fr-FR"/>
        </w:rPr>
        <w:t xml:space="preserve"> </w:t>
      </w:r>
    </w:p>
    <w:p w14:paraId="7C4CF2D1" w14:textId="77777777" w:rsidR="00810AFF" w:rsidRPr="008C4FEE" w:rsidRDefault="00810AFF" w:rsidP="00CB1EC4">
      <w:pPr>
        <w:pStyle w:val="Heading1"/>
        <w:rPr>
          <w:rStyle w:val="IntenseEmphasis"/>
          <w:lang w:val="fr-FR"/>
        </w:rPr>
      </w:pPr>
      <w:r w:rsidRPr="008C4FEE">
        <w:rPr>
          <w:rStyle w:val="IntenseEmphasis"/>
          <w:lang w:val="fr-FR"/>
        </w:rPr>
        <w:t xml:space="preserve">Composante A : Travaux </w:t>
      </w:r>
    </w:p>
    <w:p w14:paraId="2F0C3FF3" w14:textId="77777777" w:rsidR="00A805CA" w:rsidRPr="008C4FEE" w:rsidRDefault="00A805CA" w:rsidP="00A805CA">
      <w:pPr>
        <w:spacing w:after="120"/>
        <w:ind w:right="72"/>
        <w:rPr>
          <w:rStyle w:val="IntenseEmphasis"/>
          <w:lang w:val="fr-FR"/>
        </w:rPr>
      </w:pPr>
      <w:r w:rsidRPr="008C4FEE">
        <w:rPr>
          <w:rStyle w:val="IntenseEmphasis"/>
          <w:lang w:val="fr-FR"/>
        </w:rPr>
        <w:t xml:space="preserve">Lot n°1  </w:t>
      </w:r>
    </w:p>
    <w:p w14:paraId="03FE2938" w14:textId="77777777" w:rsidR="00A805CA" w:rsidRPr="008C4FEE" w:rsidRDefault="00A805CA" w:rsidP="00A805CA">
      <w:pPr>
        <w:pStyle w:val="ListParagraph"/>
        <w:numPr>
          <w:ilvl w:val="0"/>
          <w:numId w:val="4"/>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Pôle de production d’eau à Gouraye les stations de pompage SP0 et SP1 et de traitement ;</w:t>
      </w:r>
    </w:p>
    <w:p w14:paraId="487FF7F3" w14:textId="77777777" w:rsidR="00A805CA" w:rsidRPr="008C4FEE" w:rsidRDefault="00A805CA" w:rsidP="00A805CA">
      <w:pPr>
        <w:pStyle w:val="ListParagraph"/>
        <w:numPr>
          <w:ilvl w:val="0"/>
          <w:numId w:val="4"/>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de refoulement n°1 entre SP1 et R1 (7 Km en fonte DN800 mm) ;</w:t>
      </w:r>
    </w:p>
    <w:p w14:paraId="7057FE5D" w14:textId="77777777" w:rsidR="00A805CA" w:rsidRPr="008C4FEE" w:rsidRDefault="00A805CA" w:rsidP="00A805CA">
      <w:pPr>
        <w:pStyle w:val="ListParagraph"/>
        <w:numPr>
          <w:ilvl w:val="0"/>
          <w:numId w:val="4"/>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 xml:space="preserve">Réservoir R1 (2 x 5 000 m3) et un réseau de distribution de la localité de gouraye. </w:t>
      </w:r>
    </w:p>
    <w:p w14:paraId="7AC634DC" w14:textId="77777777" w:rsidR="00A805CA" w:rsidRPr="008C4FEE" w:rsidRDefault="00A805CA" w:rsidP="00A805CA">
      <w:pPr>
        <w:spacing w:after="120"/>
        <w:ind w:right="72"/>
        <w:rPr>
          <w:rStyle w:val="IntenseEmphasis"/>
          <w:lang w:val="fr-FR"/>
        </w:rPr>
      </w:pPr>
      <w:r w:rsidRPr="008C4FEE">
        <w:rPr>
          <w:rStyle w:val="IntenseEmphasis"/>
          <w:lang w:val="fr-FR"/>
        </w:rPr>
        <w:t>Lot n°2</w:t>
      </w:r>
    </w:p>
    <w:p w14:paraId="20E6DE86" w14:textId="77777777" w:rsidR="00A805CA" w:rsidRPr="008C4FEE" w:rsidRDefault="00A805CA" w:rsidP="00A805CA">
      <w:pPr>
        <w:pStyle w:val="ListParagraph"/>
        <w:numPr>
          <w:ilvl w:val="0"/>
          <w:numId w:val="5"/>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principale d’adduction gravitaire n°1 entre le réservoir R1 et la SP2 (38 Km en fonte DN800 mm) ;</w:t>
      </w:r>
    </w:p>
    <w:p w14:paraId="53F3853C" w14:textId="77777777" w:rsidR="00A805CA" w:rsidRPr="008C4FEE" w:rsidRDefault="00A805CA" w:rsidP="00A805CA">
      <w:pPr>
        <w:pStyle w:val="ListParagraph"/>
        <w:numPr>
          <w:ilvl w:val="0"/>
          <w:numId w:val="5"/>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lastRenderedPageBreak/>
        <w:t xml:space="preserve">Conduites de desserte alimentant des réservoirs surélevés de distribution ; </w:t>
      </w:r>
    </w:p>
    <w:p w14:paraId="404B1E5F" w14:textId="77777777" w:rsidR="00A805CA" w:rsidRPr="008C4FEE" w:rsidRDefault="00A805CA" w:rsidP="00A805CA">
      <w:pPr>
        <w:pStyle w:val="ListParagraph"/>
        <w:numPr>
          <w:ilvl w:val="0"/>
          <w:numId w:val="5"/>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Réseaux de distribution des localités en cours de route (R1 et SP2).</w:t>
      </w:r>
    </w:p>
    <w:p w14:paraId="1CD8F89B" w14:textId="77777777" w:rsidR="00A805CA" w:rsidRPr="008C4FEE" w:rsidRDefault="00A805CA" w:rsidP="00A805CA">
      <w:pPr>
        <w:spacing w:after="120"/>
        <w:ind w:right="72"/>
        <w:rPr>
          <w:rStyle w:val="IntenseEmphasis"/>
          <w:lang w:val="fr-FR"/>
        </w:rPr>
      </w:pPr>
      <w:r w:rsidRPr="008C4FEE">
        <w:rPr>
          <w:rStyle w:val="IntenseEmphasis"/>
          <w:lang w:val="fr-FR"/>
        </w:rPr>
        <w:t>Lot n°3</w:t>
      </w:r>
    </w:p>
    <w:p w14:paraId="4AC620D5" w14:textId="77777777" w:rsidR="00A805CA" w:rsidRPr="008C4FEE" w:rsidRDefault="00A805CA" w:rsidP="00A805CA">
      <w:pPr>
        <w:pStyle w:val="ListParagraph"/>
        <w:numPr>
          <w:ilvl w:val="0"/>
          <w:numId w:val="6"/>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Station de pompage SP2 ;</w:t>
      </w:r>
    </w:p>
    <w:p w14:paraId="2DE67302" w14:textId="77777777" w:rsidR="00A805CA" w:rsidRPr="008C4FEE" w:rsidRDefault="00A805CA" w:rsidP="00A805CA">
      <w:pPr>
        <w:pStyle w:val="ListParagraph"/>
        <w:numPr>
          <w:ilvl w:val="0"/>
          <w:numId w:val="6"/>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Le réservoir R2 (2 x 5 000 m3) ;</w:t>
      </w:r>
    </w:p>
    <w:p w14:paraId="7CD6CF37" w14:textId="77777777" w:rsidR="00A805CA" w:rsidRPr="008C4FEE" w:rsidRDefault="00A805CA" w:rsidP="00A805CA">
      <w:pPr>
        <w:pStyle w:val="ListParagraph"/>
        <w:numPr>
          <w:ilvl w:val="0"/>
          <w:numId w:val="6"/>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de refoulement n°2 entre SP2 (56 Km en fonte DN700 mm) ;</w:t>
      </w:r>
    </w:p>
    <w:p w14:paraId="57D879B9" w14:textId="77777777" w:rsidR="00A805CA" w:rsidRPr="008C4FEE" w:rsidRDefault="00A805CA" w:rsidP="00A805CA">
      <w:pPr>
        <w:pStyle w:val="ListParagraph"/>
        <w:numPr>
          <w:ilvl w:val="0"/>
          <w:numId w:val="6"/>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 xml:space="preserve">Conduites de desserte alimentant des réservoirs surélevés de distribution ; </w:t>
      </w:r>
    </w:p>
    <w:p w14:paraId="26C29B14" w14:textId="77777777" w:rsidR="00A805CA" w:rsidRPr="008C4FEE" w:rsidRDefault="00A805CA" w:rsidP="00A805CA">
      <w:pPr>
        <w:pStyle w:val="ListParagraph"/>
        <w:numPr>
          <w:ilvl w:val="0"/>
          <w:numId w:val="6"/>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 xml:space="preserve">Réseaux de distribution des localités en cours de route (SP2 – R2). </w:t>
      </w:r>
    </w:p>
    <w:p w14:paraId="12C4252F" w14:textId="77777777" w:rsidR="00A805CA" w:rsidRPr="008C4FEE" w:rsidRDefault="00A805CA" w:rsidP="00A805CA">
      <w:pPr>
        <w:spacing w:after="120"/>
        <w:ind w:right="72"/>
        <w:rPr>
          <w:rStyle w:val="IntenseEmphasis"/>
          <w:lang w:val="fr-FR"/>
        </w:rPr>
      </w:pPr>
      <w:r w:rsidRPr="008C4FEE">
        <w:rPr>
          <w:rStyle w:val="IntenseEmphasis"/>
          <w:lang w:val="fr-FR"/>
        </w:rPr>
        <w:t>Lot n°4</w:t>
      </w:r>
    </w:p>
    <w:p w14:paraId="09D34A87" w14:textId="77777777" w:rsidR="00A805CA" w:rsidRPr="008C4FEE" w:rsidRDefault="00A805CA" w:rsidP="00A805CA">
      <w:pPr>
        <w:pStyle w:val="ListParagraph"/>
        <w:numPr>
          <w:ilvl w:val="0"/>
          <w:numId w:val="7"/>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d’adduction gravitaire N°2 entre le réservoir R2 et la SP3 (69 Km en fonte DN700mm);</w:t>
      </w:r>
    </w:p>
    <w:p w14:paraId="09DED757" w14:textId="77777777" w:rsidR="00A805CA" w:rsidRPr="008C4FEE" w:rsidRDefault="00A805CA" w:rsidP="00A805CA">
      <w:pPr>
        <w:pStyle w:val="ListParagraph"/>
        <w:numPr>
          <w:ilvl w:val="0"/>
          <w:numId w:val="7"/>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 xml:space="preserve">Conduites de desserte alimentant des réservoirs surélevés de distribution ; </w:t>
      </w:r>
    </w:p>
    <w:p w14:paraId="44F7E438" w14:textId="77777777" w:rsidR="00A805CA" w:rsidRPr="008C4FEE" w:rsidRDefault="00A805CA" w:rsidP="00A805CA">
      <w:pPr>
        <w:pStyle w:val="ListParagraph"/>
        <w:numPr>
          <w:ilvl w:val="0"/>
          <w:numId w:val="7"/>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Réseaux de distribution des localités en cours de route entre le réservoir R2 et SP3.</w:t>
      </w:r>
    </w:p>
    <w:p w14:paraId="74FB1A59" w14:textId="77777777" w:rsidR="00A805CA" w:rsidRPr="008C4FEE" w:rsidRDefault="00A805CA" w:rsidP="00A805CA">
      <w:pPr>
        <w:spacing w:after="120"/>
        <w:ind w:right="72"/>
        <w:rPr>
          <w:rStyle w:val="IntenseEmphasis"/>
          <w:lang w:val="fr-FR"/>
        </w:rPr>
      </w:pPr>
      <w:r w:rsidRPr="008C4FEE">
        <w:rPr>
          <w:rStyle w:val="IntenseEmphasis"/>
          <w:lang w:val="fr-FR"/>
        </w:rPr>
        <w:t>Lot n°5</w:t>
      </w:r>
    </w:p>
    <w:p w14:paraId="602EB8A6" w14:textId="77777777" w:rsidR="00A805CA"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Station de pompage SP3 ;</w:t>
      </w:r>
    </w:p>
    <w:p w14:paraId="7B6E9CEE" w14:textId="77777777" w:rsidR="00A805CA"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Le réservoir R3 (2x2500 m3, avec local de re-chloration) ;</w:t>
      </w:r>
    </w:p>
    <w:p w14:paraId="5D87547D" w14:textId="77777777" w:rsidR="00A805CA"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de refoulement n°3 entre SP3 et le réservoir R3 (74 Km en fonte DN600 mm) ;</w:t>
      </w:r>
    </w:p>
    <w:p w14:paraId="2BC12D55" w14:textId="77777777" w:rsidR="00A805CA"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Conduite d’adduction entre le réservoir R3 et le réseau de distribution de Kiffa (9 Km en fonte DN600 mm) ;</w:t>
      </w:r>
    </w:p>
    <w:p w14:paraId="2CF4DB44" w14:textId="77777777" w:rsidR="00A805CA"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 xml:space="preserve">Conduites de desserte alimentant des réservoirs surélevés de distribution ; </w:t>
      </w:r>
    </w:p>
    <w:p w14:paraId="488C7AD2" w14:textId="77777777" w:rsidR="00810AFF" w:rsidRPr="008C4FEE" w:rsidRDefault="00A805CA" w:rsidP="00A805CA">
      <w:pPr>
        <w:pStyle w:val="ListParagraph"/>
        <w:numPr>
          <w:ilvl w:val="0"/>
          <w:numId w:val="8"/>
        </w:numPr>
        <w:ind w:right="72"/>
        <w:rPr>
          <w:rFonts w:asciiTheme="majorBidi" w:hAnsiTheme="majorBidi" w:cstheme="majorBidi"/>
          <w:sz w:val="24"/>
          <w:szCs w:val="24"/>
          <w:lang w:val="fr-FR"/>
        </w:rPr>
      </w:pPr>
      <w:r w:rsidRPr="008C4FEE">
        <w:rPr>
          <w:rFonts w:asciiTheme="majorBidi" w:hAnsiTheme="majorBidi" w:cstheme="majorBidi"/>
          <w:sz w:val="24"/>
          <w:szCs w:val="24"/>
          <w:lang w:val="fr-FR"/>
        </w:rPr>
        <w:t>Réseaux de desserte et distribution des localités en cours de route entre Kankoussa et Kiffa.</w:t>
      </w:r>
    </w:p>
    <w:p w14:paraId="5050B031" w14:textId="77777777" w:rsidR="00086ED4" w:rsidRPr="008C4FEE" w:rsidRDefault="00A805CA" w:rsidP="00CB1EC4">
      <w:pPr>
        <w:pStyle w:val="Heading1"/>
        <w:rPr>
          <w:rStyle w:val="IntenseEmphasis"/>
          <w:rFonts w:ascii="Times New Roman" w:eastAsia="Times New Roman" w:hAnsi="Times New Roman" w:cs="Times New Roman"/>
          <w:sz w:val="28"/>
          <w:szCs w:val="28"/>
          <w:lang w:val="fr-FR"/>
        </w:rPr>
      </w:pPr>
      <w:r w:rsidRPr="008C4FEE">
        <w:rPr>
          <w:rStyle w:val="IntenseEmphasis"/>
          <w:rFonts w:ascii="Times New Roman" w:eastAsia="Times New Roman" w:hAnsi="Times New Roman" w:cs="Times New Roman"/>
          <w:sz w:val="28"/>
          <w:szCs w:val="28"/>
          <w:lang w:val="fr-FR"/>
        </w:rPr>
        <w:t xml:space="preserve">Sous composante : Plan </w:t>
      </w:r>
      <w:r w:rsidR="00086ED4" w:rsidRPr="008C4FEE">
        <w:rPr>
          <w:rStyle w:val="IntenseEmphasis"/>
          <w:rFonts w:ascii="Times New Roman" w:eastAsia="Times New Roman" w:hAnsi="Times New Roman" w:cs="Times New Roman"/>
          <w:sz w:val="28"/>
          <w:szCs w:val="28"/>
          <w:lang w:val="fr-FR"/>
        </w:rPr>
        <w:t>de gestion Environnementale et Social </w:t>
      </w:r>
    </w:p>
    <w:p w14:paraId="428422D7" w14:textId="77777777" w:rsidR="00A805CA" w:rsidRPr="008C4FEE" w:rsidRDefault="00890201" w:rsidP="00B854D8">
      <w:pPr>
        <w:spacing w:after="120"/>
        <w:ind w:right="72"/>
        <w:jc w:val="both"/>
        <w:rPr>
          <w:rFonts w:asciiTheme="majorBidi" w:hAnsiTheme="majorBidi" w:cstheme="majorBidi"/>
          <w:lang w:val="fr-FR"/>
        </w:rPr>
      </w:pPr>
      <w:r w:rsidRPr="008C4FEE">
        <w:rPr>
          <w:rFonts w:asciiTheme="majorBidi" w:hAnsiTheme="majorBidi" w:cstheme="majorBidi"/>
          <w:lang w:val="fr-FR"/>
        </w:rPr>
        <w:t>Engagement de l’Etat à budgétiser l’acquisition de terrains</w:t>
      </w:r>
      <w:r w:rsidR="00086ED4" w:rsidRPr="008C4FEE">
        <w:rPr>
          <w:rFonts w:asciiTheme="majorBidi" w:hAnsiTheme="majorBidi" w:cstheme="majorBidi"/>
          <w:lang w:val="fr-FR"/>
        </w:rPr>
        <w:t>.</w:t>
      </w:r>
    </w:p>
    <w:p w14:paraId="6239602E" w14:textId="77777777" w:rsidR="00086ED4" w:rsidRPr="008C4FEE" w:rsidRDefault="00086ED4" w:rsidP="00CB1EC4">
      <w:pPr>
        <w:pStyle w:val="Heading1"/>
        <w:rPr>
          <w:rStyle w:val="IntenseEmphasis"/>
          <w:lang w:val="fr-FR"/>
        </w:rPr>
      </w:pPr>
      <w:r w:rsidRPr="008C4FEE">
        <w:rPr>
          <w:rStyle w:val="IntenseEmphasis"/>
          <w:lang w:val="fr-FR"/>
        </w:rPr>
        <w:t xml:space="preserve">Composante B : Services du Consultant pour la supervision des travaux </w:t>
      </w:r>
    </w:p>
    <w:p w14:paraId="4E2BA8E4" w14:textId="0DBE30FA" w:rsidR="00086ED4" w:rsidRPr="008C4FEE" w:rsidRDefault="00086ED4" w:rsidP="00551686">
      <w:pPr>
        <w:spacing w:after="120"/>
        <w:ind w:right="72"/>
        <w:jc w:val="both"/>
        <w:rPr>
          <w:rFonts w:asciiTheme="majorBidi" w:hAnsiTheme="majorBidi" w:cstheme="majorBidi"/>
          <w:lang w:val="fr-FR"/>
        </w:rPr>
      </w:pPr>
      <w:r w:rsidRPr="008C4FEE">
        <w:rPr>
          <w:rFonts w:asciiTheme="majorBidi" w:hAnsiTheme="majorBidi" w:cstheme="majorBidi"/>
          <w:lang w:val="fr-FR"/>
        </w:rPr>
        <w:t xml:space="preserve">La composante couvre la sélection d’un cabinet de conseil pour assister </w:t>
      </w:r>
      <w:r w:rsidR="00B854D8" w:rsidRPr="008C4FEE">
        <w:rPr>
          <w:rFonts w:asciiTheme="majorBidi" w:hAnsiTheme="majorBidi" w:cstheme="majorBidi"/>
          <w:lang w:val="fr-FR"/>
        </w:rPr>
        <w:t>l’Unité de Coordination du Projet (UC</w:t>
      </w:r>
      <w:r w:rsidRPr="008C4FEE">
        <w:rPr>
          <w:rFonts w:asciiTheme="majorBidi" w:hAnsiTheme="majorBidi" w:cstheme="majorBidi"/>
          <w:lang w:val="fr-FR"/>
        </w:rPr>
        <w:t>P)</w:t>
      </w:r>
      <w:r w:rsidR="00FF3848" w:rsidRPr="008C4FEE">
        <w:rPr>
          <w:rFonts w:asciiTheme="majorBidi" w:hAnsiTheme="majorBidi" w:cstheme="majorBidi"/>
          <w:lang w:val="fr-FR"/>
        </w:rPr>
        <w:t xml:space="preserve"> dans </w:t>
      </w:r>
      <w:r w:rsidR="00551686">
        <w:rPr>
          <w:rFonts w:asciiTheme="majorBidi" w:hAnsiTheme="majorBidi" w:cstheme="majorBidi"/>
          <w:lang w:val="fr-FR"/>
        </w:rPr>
        <w:t xml:space="preserve">la revue des études, </w:t>
      </w:r>
      <w:r w:rsidR="00FF3848" w:rsidRPr="008C4FEE">
        <w:rPr>
          <w:rFonts w:asciiTheme="majorBidi" w:hAnsiTheme="majorBidi" w:cstheme="majorBidi"/>
          <w:lang w:val="fr-FR"/>
        </w:rPr>
        <w:t>la supervision</w:t>
      </w:r>
      <w:r w:rsidR="00551686">
        <w:rPr>
          <w:rFonts w:asciiTheme="majorBidi" w:hAnsiTheme="majorBidi" w:cstheme="majorBidi"/>
          <w:lang w:val="fr-FR"/>
        </w:rPr>
        <w:t xml:space="preserve"> et le contrôle des </w:t>
      </w:r>
      <w:r w:rsidR="00FF3848" w:rsidRPr="008C4FEE">
        <w:rPr>
          <w:rFonts w:asciiTheme="majorBidi" w:hAnsiTheme="majorBidi" w:cstheme="majorBidi"/>
          <w:lang w:val="fr-FR"/>
        </w:rPr>
        <w:t>travaux</w:t>
      </w:r>
      <w:r w:rsidRPr="008C4FEE">
        <w:rPr>
          <w:rFonts w:asciiTheme="majorBidi" w:hAnsiTheme="majorBidi" w:cstheme="majorBidi"/>
          <w:lang w:val="fr-FR"/>
        </w:rPr>
        <w:t>.</w:t>
      </w:r>
    </w:p>
    <w:p w14:paraId="7BFB070B" w14:textId="77777777" w:rsidR="0001425A" w:rsidRPr="008C4FEE" w:rsidRDefault="00086ED4" w:rsidP="00CB1EC4">
      <w:pPr>
        <w:pStyle w:val="Heading1"/>
        <w:rPr>
          <w:rStyle w:val="IntenseEmphasis"/>
          <w:rFonts w:ascii="Times New Roman" w:eastAsia="Times New Roman" w:hAnsi="Times New Roman" w:cs="Times New Roman"/>
          <w:sz w:val="28"/>
          <w:szCs w:val="28"/>
          <w:lang w:val="fr-FR"/>
        </w:rPr>
      </w:pPr>
      <w:r w:rsidRPr="008C4FEE">
        <w:rPr>
          <w:rStyle w:val="IntenseEmphasis"/>
          <w:rFonts w:ascii="Times New Roman" w:eastAsia="Times New Roman" w:hAnsi="Times New Roman" w:cs="Times New Roman"/>
          <w:sz w:val="28"/>
          <w:szCs w:val="28"/>
          <w:lang w:val="fr-FR"/>
        </w:rPr>
        <w:t>Sous Composante : Renforcement des capacités et suivi évaluation</w:t>
      </w:r>
    </w:p>
    <w:p w14:paraId="684A377E" w14:textId="77777777" w:rsidR="0001425A" w:rsidRPr="008C4FEE" w:rsidRDefault="0001425A" w:rsidP="00086ED4">
      <w:pPr>
        <w:spacing w:after="120"/>
        <w:ind w:right="72"/>
        <w:jc w:val="both"/>
        <w:rPr>
          <w:rFonts w:asciiTheme="majorBidi" w:hAnsiTheme="majorBidi" w:cstheme="majorBidi"/>
          <w:lang w:val="fr-FR"/>
        </w:rPr>
      </w:pPr>
      <w:r w:rsidRPr="008C4FEE">
        <w:rPr>
          <w:rFonts w:asciiTheme="majorBidi" w:hAnsiTheme="majorBidi" w:cstheme="majorBidi"/>
          <w:lang w:val="fr-FR"/>
        </w:rPr>
        <w:t>Cette sous composante a pour objectif le renforcement des capacités des principaux acteurs intervenant dans la mise en œuvre du projet.</w:t>
      </w:r>
    </w:p>
    <w:p w14:paraId="023FB86A" w14:textId="77777777" w:rsidR="00086ED4" w:rsidRPr="008C4FEE" w:rsidRDefault="00CB1EC4" w:rsidP="00B854D8">
      <w:pPr>
        <w:pStyle w:val="Heading1"/>
        <w:rPr>
          <w:lang w:val="fr-FR"/>
        </w:rPr>
      </w:pPr>
      <w:r w:rsidRPr="008C4FEE">
        <w:rPr>
          <w:rStyle w:val="IntenseEmphasis"/>
          <w:lang w:val="fr-FR"/>
        </w:rPr>
        <w:lastRenderedPageBreak/>
        <w:t xml:space="preserve"> </w:t>
      </w:r>
      <w:r w:rsidR="0001425A" w:rsidRPr="008C4FEE">
        <w:rPr>
          <w:rStyle w:val="IntenseEmphasis"/>
          <w:lang w:val="fr-FR"/>
        </w:rPr>
        <w:t xml:space="preserve">Composante C : Appui à l’Unité de </w:t>
      </w:r>
      <w:r w:rsidR="00B854D8" w:rsidRPr="008C4FEE">
        <w:rPr>
          <w:rStyle w:val="IntenseEmphasis"/>
          <w:lang w:val="fr-FR"/>
        </w:rPr>
        <w:t>Coordination</w:t>
      </w:r>
      <w:r w:rsidR="0001425A" w:rsidRPr="008C4FEE">
        <w:rPr>
          <w:rStyle w:val="IntenseEmphasis"/>
          <w:lang w:val="fr-FR"/>
        </w:rPr>
        <w:t xml:space="preserve"> du Projet, Renforcement des capacités et suivi évaluation</w:t>
      </w:r>
      <w:r w:rsidR="0001425A" w:rsidRPr="008C4FEE">
        <w:rPr>
          <w:lang w:val="fr-FR"/>
        </w:rPr>
        <w:t xml:space="preserve"> </w:t>
      </w:r>
    </w:p>
    <w:p w14:paraId="6192739A" w14:textId="77777777" w:rsidR="00086ED4" w:rsidRPr="008C4FEE" w:rsidRDefault="0001425A" w:rsidP="00B854D8">
      <w:pPr>
        <w:pStyle w:val="Heading1"/>
        <w:rPr>
          <w:rStyle w:val="IntenseEmphasis"/>
          <w:rFonts w:ascii="Times New Roman" w:eastAsia="Times New Roman" w:hAnsi="Times New Roman" w:cs="Times New Roman"/>
          <w:sz w:val="28"/>
          <w:szCs w:val="28"/>
          <w:lang w:val="fr-FR"/>
        </w:rPr>
      </w:pPr>
      <w:r w:rsidRPr="008C4FEE">
        <w:rPr>
          <w:rStyle w:val="IntenseEmphasis"/>
          <w:rFonts w:ascii="Times New Roman" w:eastAsia="Times New Roman" w:hAnsi="Times New Roman" w:cs="Times New Roman"/>
          <w:sz w:val="28"/>
          <w:szCs w:val="28"/>
          <w:lang w:val="fr-FR"/>
        </w:rPr>
        <w:t xml:space="preserve">Sous Composante : Appui à l’Unité de </w:t>
      </w:r>
      <w:r w:rsidR="00B854D8" w:rsidRPr="008C4FEE">
        <w:rPr>
          <w:rStyle w:val="IntenseEmphasis"/>
          <w:rFonts w:ascii="Times New Roman" w:eastAsia="Times New Roman" w:hAnsi="Times New Roman" w:cs="Times New Roman"/>
          <w:sz w:val="28"/>
          <w:szCs w:val="28"/>
          <w:lang w:val="fr-FR"/>
        </w:rPr>
        <w:t xml:space="preserve">Coordination </w:t>
      </w:r>
      <w:r w:rsidRPr="008C4FEE">
        <w:rPr>
          <w:rStyle w:val="IntenseEmphasis"/>
          <w:rFonts w:ascii="Times New Roman" w:eastAsia="Times New Roman" w:hAnsi="Times New Roman" w:cs="Times New Roman"/>
          <w:sz w:val="28"/>
          <w:szCs w:val="28"/>
          <w:lang w:val="fr-FR"/>
        </w:rPr>
        <w:t>du Projet</w:t>
      </w:r>
    </w:p>
    <w:p w14:paraId="1D2217EF" w14:textId="77777777" w:rsidR="008C4FEE" w:rsidRPr="008C4FEE" w:rsidRDefault="00890201" w:rsidP="004C7025">
      <w:pPr>
        <w:rPr>
          <w:lang w:val="fr-FR"/>
        </w:rPr>
      </w:pPr>
      <w:r w:rsidRPr="008C4FEE">
        <w:rPr>
          <w:lang w:val="fr-FR"/>
        </w:rPr>
        <w:t>Le cout de fonctionnement de</w:t>
      </w:r>
      <w:r w:rsidR="008444D3" w:rsidRPr="008C4FEE">
        <w:rPr>
          <w:lang w:val="fr-FR"/>
        </w:rPr>
        <w:t xml:space="preserve"> l’Unité de </w:t>
      </w:r>
      <w:r w:rsidRPr="008C4FEE">
        <w:rPr>
          <w:lang w:val="fr-FR"/>
        </w:rPr>
        <w:t>Coordination du Projet (UCP)</w:t>
      </w:r>
    </w:p>
    <w:p w14:paraId="64DB49F3" w14:textId="06442E5B" w:rsidR="008C4FEE" w:rsidRDefault="008C4FEE" w:rsidP="004C7025">
      <w:pPr>
        <w:rPr>
          <w:lang w:val="fr-FR"/>
        </w:rPr>
      </w:pPr>
      <w:r w:rsidRPr="008C4FEE">
        <w:rPr>
          <w:lang w:val="fr-FR"/>
        </w:rPr>
        <w:t>La liste des experts clés</w:t>
      </w:r>
      <w:r>
        <w:rPr>
          <w:lang w:val="fr-FR"/>
        </w:rPr>
        <w:t xml:space="preserve"> :</w:t>
      </w:r>
    </w:p>
    <w:p w14:paraId="00B31D2C" w14:textId="77777777" w:rsidR="008C4FEE" w:rsidRPr="008C4FEE" w:rsidRDefault="008C4FEE" w:rsidP="004C7025">
      <w:pPr>
        <w:rPr>
          <w:sz w:val="8"/>
          <w:szCs w:val="8"/>
          <w:lang w:val="fr-F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8C4FEE" w:rsidRPr="008C4FEE" w14:paraId="2801B7EB" w14:textId="77777777" w:rsidTr="008C4FEE">
        <w:tc>
          <w:tcPr>
            <w:tcW w:w="5000" w:type="pct"/>
          </w:tcPr>
          <w:p w14:paraId="13EB694E" w14:textId="77777777" w:rsidR="008C4FEE" w:rsidRPr="008C4FEE" w:rsidRDefault="008C4FEE" w:rsidP="00136020">
            <w:pPr>
              <w:jc w:val="both"/>
              <w:rPr>
                <w:rFonts w:ascii="Times New Roman" w:eastAsia="Times New Roman" w:hAnsi="Times New Roman" w:cs="Times New Roman"/>
                <w:lang w:val="fr-FR"/>
              </w:rPr>
            </w:pPr>
            <w:r w:rsidRPr="008C4FEE">
              <w:rPr>
                <w:rFonts w:ascii="Times New Roman" w:eastAsia="Times New Roman" w:hAnsi="Times New Roman" w:cs="Times New Roman"/>
                <w:lang w:val="fr-FR"/>
              </w:rPr>
              <w:t xml:space="preserve">Spécialités </w:t>
            </w:r>
          </w:p>
        </w:tc>
      </w:tr>
      <w:tr w:rsidR="008C4FEE" w:rsidRPr="00255AFC" w14:paraId="3AE76B3B" w14:textId="77777777" w:rsidTr="008C4FEE">
        <w:tc>
          <w:tcPr>
            <w:tcW w:w="5000" w:type="pct"/>
          </w:tcPr>
          <w:p w14:paraId="388B33BD" w14:textId="77777777" w:rsidR="00255AFC" w:rsidRDefault="00255AFC" w:rsidP="00136020">
            <w:pPr>
              <w:rPr>
                <w:rFonts w:ascii="Times New Roman" w:eastAsia="Times New Roman" w:hAnsi="Times New Roman" w:cs="Times New Roman"/>
                <w:lang w:val="fr-FR"/>
              </w:rPr>
            </w:pPr>
            <w:r>
              <w:rPr>
                <w:rFonts w:ascii="Times New Roman" w:eastAsia="Times New Roman" w:hAnsi="Times New Roman" w:cs="Times New Roman"/>
                <w:lang w:val="fr-FR"/>
              </w:rPr>
              <w:t>Coordinateur National du Projet</w:t>
            </w:r>
          </w:p>
          <w:p w14:paraId="64F9859D" w14:textId="24C1C40F"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Responsable Administratif et Financier</w:t>
            </w:r>
          </w:p>
        </w:tc>
      </w:tr>
      <w:tr w:rsidR="008C4FEE" w:rsidRPr="00255AFC" w14:paraId="5A540833" w14:textId="77777777" w:rsidTr="008C4FEE">
        <w:tc>
          <w:tcPr>
            <w:tcW w:w="5000" w:type="pct"/>
          </w:tcPr>
          <w:p w14:paraId="79F8D6C4" w14:textId="6C565C78" w:rsidR="008C4FEE" w:rsidRPr="008C4FEE" w:rsidRDefault="008C4FEE" w:rsidP="00136020">
            <w:pPr>
              <w:rPr>
                <w:lang w:val="fr-FR"/>
              </w:rPr>
            </w:pPr>
            <w:r w:rsidRPr="008C4FEE">
              <w:rPr>
                <w:rFonts w:ascii="Times New Roman" w:eastAsia="Times New Roman" w:hAnsi="Times New Roman" w:cs="Times New Roman"/>
                <w:lang w:val="fr-FR"/>
              </w:rPr>
              <w:t>Expert en passation des marchés</w:t>
            </w:r>
          </w:p>
        </w:tc>
      </w:tr>
      <w:tr w:rsidR="008C4FEE" w:rsidRPr="008C4FEE" w14:paraId="077E7673" w14:textId="77777777" w:rsidTr="008C4FEE">
        <w:tc>
          <w:tcPr>
            <w:tcW w:w="5000" w:type="pct"/>
          </w:tcPr>
          <w:p w14:paraId="5B098BED"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Ingénieur en Electromécanique</w:t>
            </w:r>
          </w:p>
        </w:tc>
      </w:tr>
      <w:tr w:rsidR="008C4FEE" w:rsidRPr="008C4FEE" w14:paraId="2D290348" w14:textId="77777777" w:rsidTr="008C4FEE">
        <w:tc>
          <w:tcPr>
            <w:tcW w:w="5000" w:type="pct"/>
          </w:tcPr>
          <w:p w14:paraId="1992C53D"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Ingénieur hydraulicien</w:t>
            </w:r>
          </w:p>
        </w:tc>
      </w:tr>
      <w:tr w:rsidR="008C4FEE" w:rsidRPr="00255AFC" w14:paraId="135A8E6B" w14:textId="77777777" w:rsidTr="008C4FEE">
        <w:tc>
          <w:tcPr>
            <w:tcW w:w="5000" w:type="pct"/>
          </w:tcPr>
          <w:p w14:paraId="196FBF32"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Ingénieur en Traitement des eaux</w:t>
            </w:r>
          </w:p>
        </w:tc>
      </w:tr>
      <w:tr w:rsidR="008C4FEE" w:rsidRPr="008C4FEE" w14:paraId="531285F7" w14:textId="77777777" w:rsidTr="008C4FEE">
        <w:tc>
          <w:tcPr>
            <w:tcW w:w="5000" w:type="pct"/>
          </w:tcPr>
          <w:p w14:paraId="141663BC"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Ingénieur en Génie Civil</w:t>
            </w:r>
          </w:p>
        </w:tc>
      </w:tr>
      <w:tr w:rsidR="008C4FEE" w:rsidRPr="008C4FEE" w14:paraId="545635C4" w14:textId="77777777" w:rsidTr="008C4FEE">
        <w:tc>
          <w:tcPr>
            <w:tcW w:w="5000" w:type="pct"/>
          </w:tcPr>
          <w:p w14:paraId="08AA2FB2"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Environnementaliste</w:t>
            </w:r>
          </w:p>
        </w:tc>
      </w:tr>
      <w:tr w:rsidR="008C4FEE" w:rsidRPr="008C4FEE" w14:paraId="10131B9C" w14:textId="77777777" w:rsidTr="008C4FEE">
        <w:tc>
          <w:tcPr>
            <w:tcW w:w="5000" w:type="pct"/>
          </w:tcPr>
          <w:p w14:paraId="3D1EC836" w14:textId="77777777" w:rsidR="008C4FEE" w:rsidRPr="008C4FEE" w:rsidRDefault="008C4FEE" w:rsidP="00136020">
            <w:pPr>
              <w:rPr>
                <w:rFonts w:ascii="Times New Roman" w:eastAsia="Times New Roman" w:hAnsi="Times New Roman" w:cs="Times New Roman"/>
                <w:lang w:val="fr-FR"/>
              </w:rPr>
            </w:pPr>
            <w:r w:rsidRPr="008C4FEE">
              <w:rPr>
                <w:rFonts w:ascii="Times New Roman" w:eastAsia="Times New Roman" w:hAnsi="Times New Roman" w:cs="Times New Roman"/>
                <w:lang w:val="fr-FR"/>
              </w:rPr>
              <w:t>Responsable suivi-évaluation</w:t>
            </w:r>
          </w:p>
        </w:tc>
      </w:tr>
    </w:tbl>
    <w:p w14:paraId="2DD15BE5" w14:textId="77777777" w:rsidR="008C4FEE" w:rsidRPr="008C4FEE" w:rsidRDefault="008C4FEE" w:rsidP="004C7025">
      <w:pPr>
        <w:rPr>
          <w:lang w:val="fr-FR"/>
        </w:rPr>
      </w:pPr>
    </w:p>
    <w:p w14:paraId="4A69C485" w14:textId="5AB36CD5" w:rsidR="004C7025" w:rsidRPr="008C4FEE" w:rsidRDefault="00255AFC" w:rsidP="00255AFC">
      <w:pPr>
        <w:rPr>
          <w:lang w:val="fr-FR"/>
        </w:rPr>
      </w:pPr>
      <w:r w:rsidRPr="008C4FEE">
        <w:rPr>
          <w:lang w:val="fr-FR"/>
        </w:rPr>
        <w:t>L’organisation</w:t>
      </w:r>
      <w:r w:rsidR="00890201" w:rsidRPr="008C4FEE">
        <w:rPr>
          <w:lang w:val="fr-FR"/>
        </w:rPr>
        <w:t xml:space="preserve"> d’un atelier de lancement du projet et d’un atel</w:t>
      </w:r>
      <w:r>
        <w:rPr>
          <w:lang w:val="fr-FR"/>
        </w:rPr>
        <w:t>ier de revue à mi-parcours et des</w:t>
      </w:r>
      <w:r w:rsidR="00890201" w:rsidRPr="008C4FEE">
        <w:rPr>
          <w:lang w:val="fr-FR"/>
        </w:rPr>
        <w:t xml:space="preserve"> visite</w:t>
      </w:r>
      <w:r>
        <w:rPr>
          <w:lang w:val="fr-FR"/>
        </w:rPr>
        <w:t>s</w:t>
      </w:r>
      <w:r w:rsidR="00890201" w:rsidRPr="008C4FEE">
        <w:rPr>
          <w:lang w:val="fr-FR"/>
        </w:rPr>
        <w:t xml:space="preserve"> de famil</w:t>
      </w:r>
      <w:r w:rsidR="00B854D8" w:rsidRPr="008C4FEE">
        <w:rPr>
          <w:lang w:val="fr-FR"/>
        </w:rPr>
        <w:t>iarisation des membres de l’UCP aux procédures de la banque.</w:t>
      </w:r>
    </w:p>
    <w:p w14:paraId="56A51089" w14:textId="77777777" w:rsidR="0001425A" w:rsidRPr="008C4FEE" w:rsidRDefault="0001425A" w:rsidP="004C7025">
      <w:pPr>
        <w:rPr>
          <w:rStyle w:val="IntenseEmphasis"/>
          <w:sz w:val="28"/>
          <w:szCs w:val="28"/>
          <w:lang w:val="fr-FR"/>
        </w:rPr>
      </w:pPr>
      <w:r w:rsidRPr="008C4FEE">
        <w:rPr>
          <w:rStyle w:val="IntenseEmphasis"/>
          <w:sz w:val="28"/>
          <w:szCs w:val="28"/>
          <w:lang w:val="fr-FR"/>
        </w:rPr>
        <w:t xml:space="preserve">Sous Composante : </w:t>
      </w:r>
      <w:r w:rsidR="00955BD9" w:rsidRPr="008C4FEE">
        <w:rPr>
          <w:rStyle w:val="IntenseEmphasis"/>
          <w:sz w:val="28"/>
          <w:szCs w:val="28"/>
          <w:lang w:val="fr-FR"/>
        </w:rPr>
        <w:t>Assistance à la Maitrise d’ouvrage (AMO)</w:t>
      </w:r>
    </w:p>
    <w:p w14:paraId="15783908" w14:textId="77777777" w:rsidR="004C7025" w:rsidRPr="008C4FEE" w:rsidRDefault="00C81F90" w:rsidP="004C7025">
      <w:pPr>
        <w:spacing w:after="120"/>
        <w:ind w:right="72"/>
        <w:jc w:val="both"/>
        <w:rPr>
          <w:rFonts w:asciiTheme="majorBidi" w:hAnsiTheme="majorBidi" w:cstheme="majorBidi"/>
          <w:lang w:val="fr-FR"/>
        </w:rPr>
      </w:pPr>
      <w:r w:rsidRPr="008C4FEE">
        <w:rPr>
          <w:rFonts w:asciiTheme="majorBidi" w:hAnsiTheme="majorBidi" w:cstheme="majorBidi"/>
          <w:lang w:val="fr-FR"/>
        </w:rPr>
        <w:t xml:space="preserve">La composante couvre la sélection d’un assistant technique pour soutenir l’Unité de </w:t>
      </w:r>
      <w:r w:rsidR="00B854D8" w:rsidRPr="008C4FEE">
        <w:rPr>
          <w:rFonts w:asciiTheme="majorBidi" w:hAnsiTheme="majorBidi" w:cstheme="majorBidi"/>
          <w:lang w:val="fr-FR"/>
        </w:rPr>
        <w:t>Coordination du Projet (UC</w:t>
      </w:r>
      <w:r w:rsidRPr="008C4FEE">
        <w:rPr>
          <w:rFonts w:asciiTheme="majorBidi" w:hAnsiTheme="majorBidi" w:cstheme="majorBidi"/>
          <w:lang w:val="fr-FR"/>
        </w:rPr>
        <w:t>P) dans la gestion et la coordination globale du projet</w:t>
      </w:r>
      <w:r w:rsidR="00FF3848" w:rsidRPr="008C4FEE">
        <w:rPr>
          <w:rFonts w:asciiTheme="majorBidi" w:hAnsiTheme="majorBidi" w:cstheme="majorBidi"/>
          <w:lang w:val="fr-FR"/>
        </w:rPr>
        <w:t xml:space="preserve"> ainsi que le renforcement des capacités des intervenants</w:t>
      </w:r>
      <w:r w:rsidRPr="008C4FEE">
        <w:rPr>
          <w:rFonts w:asciiTheme="majorBidi" w:hAnsiTheme="majorBidi" w:cstheme="majorBidi"/>
          <w:lang w:val="fr-FR"/>
        </w:rPr>
        <w:t xml:space="preserve">. </w:t>
      </w:r>
    </w:p>
    <w:p w14:paraId="4030928A" w14:textId="65C75E40" w:rsidR="00955BD9" w:rsidRPr="008C4FEE" w:rsidRDefault="00955BD9" w:rsidP="004C7025">
      <w:pPr>
        <w:spacing w:after="120"/>
        <w:ind w:right="72"/>
        <w:jc w:val="both"/>
        <w:rPr>
          <w:rStyle w:val="IntenseEmphasis"/>
          <w:rFonts w:asciiTheme="majorHAnsi" w:eastAsiaTheme="majorEastAsia" w:hAnsiTheme="majorHAnsi" w:cstheme="majorBidi"/>
          <w:sz w:val="32"/>
          <w:szCs w:val="32"/>
          <w:lang w:val="fr-FR"/>
        </w:rPr>
      </w:pPr>
      <w:r w:rsidRPr="008C4FEE">
        <w:rPr>
          <w:rStyle w:val="IntenseEmphasis"/>
          <w:rFonts w:asciiTheme="majorHAnsi" w:eastAsiaTheme="majorEastAsia" w:hAnsiTheme="majorHAnsi" w:cstheme="majorBidi"/>
          <w:sz w:val="32"/>
          <w:szCs w:val="32"/>
          <w:lang w:val="fr-FR"/>
        </w:rPr>
        <w:t>C</w:t>
      </w:r>
      <w:r w:rsidR="00255AFC">
        <w:rPr>
          <w:rStyle w:val="IntenseEmphasis"/>
          <w:rFonts w:asciiTheme="majorHAnsi" w:eastAsiaTheme="majorEastAsia" w:hAnsiTheme="majorHAnsi" w:cstheme="majorBidi"/>
          <w:sz w:val="32"/>
          <w:szCs w:val="32"/>
          <w:lang w:val="fr-FR"/>
        </w:rPr>
        <w:t>omposante D : Audit</w:t>
      </w:r>
      <w:r w:rsidRPr="008C4FEE">
        <w:rPr>
          <w:rStyle w:val="IntenseEmphasis"/>
          <w:rFonts w:asciiTheme="majorHAnsi" w:eastAsiaTheme="majorEastAsia" w:hAnsiTheme="majorHAnsi" w:cstheme="majorBidi"/>
          <w:sz w:val="32"/>
          <w:szCs w:val="32"/>
          <w:lang w:val="fr-FR"/>
        </w:rPr>
        <w:t xml:space="preserve"> Financier </w:t>
      </w:r>
    </w:p>
    <w:p w14:paraId="22729F89" w14:textId="2C779D3C" w:rsidR="00955BD9" w:rsidRPr="008C4FEE" w:rsidRDefault="00955BD9" w:rsidP="00255AFC">
      <w:pPr>
        <w:spacing w:after="120"/>
        <w:ind w:right="72"/>
        <w:jc w:val="both"/>
        <w:rPr>
          <w:rFonts w:asciiTheme="majorBidi" w:hAnsiTheme="majorBidi" w:cstheme="majorBidi"/>
          <w:lang w:val="fr-FR"/>
        </w:rPr>
      </w:pPr>
      <w:r w:rsidRPr="008C4FEE">
        <w:rPr>
          <w:rFonts w:asciiTheme="majorBidi" w:hAnsiTheme="majorBidi" w:cstheme="majorBidi"/>
          <w:lang w:val="fr-FR"/>
        </w:rPr>
        <w:t>Un cabinet d’audit indépendant et spécialisé sera sélectionné pour vérifier les états financiers annuels de l’ensemble du projet.</w:t>
      </w:r>
    </w:p>
    <w:p w14:paraId="225F17B9" w14:textId="77777777" w:rsidR="00955BD9" w:rsidRPr="008C4FEE" w:rsidRDefault="0082530C" w:rsidP="00CB1EC4">
      <w:pPr>
        <w:pStyle w:val="Heading1"/>
        <w:rPr>
          <w:rStyle w:val="IntenseEmphasis"/>
          <w:lang w:val="fr-FR"/>
        </w:rPr>
      </w:pPr>
      <w:r w:rsidRPr="008C4FEE">
        <w:rPr>
          <w:rStyle w:val="IntenseEmphasis"/>
          <w:lang w:val="fr-FR"/>
        </w:rPr>
        <w:t>Composante E : Intervention d’urgence en cas de catastrophe</w:t>
      </w:r>
    </w:p>
    <w:p w14:paraId="351DDC97" w14:textId="77777777" w:rsidR="00FF3848" w:rsidRPr="008C4FEE" w:rsidRDefault="00FF3848" w:rsidP="00FF3848">
      <w:pPr>
        <w:rPr>
          <w:sz w:val="2"/>
          <w:szCs w:val="2"/>
          <w:lang w:val="fr-FR"/>
        </w:rPr>
      </w:pPr>
    </w:p>
    <w:p w14:paraId="55A4522A" w14:textId="77777777" w:rsidR="00C30C3D" w:rsidRPr="008C4FEE" w:rsidRDefault="00C30C3D" w:rsidP="002E774C">
      <w:pPr>
        <w:spacing w:after="120"/>
        <w:ind w:right="72"/>
        <w:jc w:val="both"/>
        <w:rPr>
          <w:rFonts w:asciiTheme="majorBidi" w:hAnsiTheme="majorBidi" w:cstheme="majorBidi"/>
          <w:lang w:val="fr-FR"/>
        </w:rPr>
      </w:pPr>
      <w:r w:rsidRPr="008C4FEE">
        <w:rPr>
          <w:rFonts w:asciiTheme="majorBidi" w:hAnsiTheme="majorBidi" w:cstheme="majorBidi"/>
          <w:lang w:val="fr-FR"/>
        </w:rPr>
        <w:t xml:space="preserve">Les </w:t>
      </w:r>
      <w:r w:rsidR="00F61B08" w:rsidRPr="008C4FEE">
        <w:rPr>
          <w:rFonts w:asciiTheme="majorBidi" w:hAnsiTheme="majorBidi" w:cstheme="majorBidi"/>
          <w:lang w:val="fr-FR"/>
        </w:rPr>
        <w:t>acquisition</w:t>
      </w:r>
      <w:r w:rsidRPr="008C4FEE">
        <w:rPr>
          <w:rFonts w:asciiTheme="majorBidi" w:hAnsiTheme="majorBidi" w:cstheme="majorBidi"/>
          <w:lang w:val="fr-FR"/>
        </w:rPr>
        <w:t xml:space="preserve">s </w:t>
      </w:r>
      <w:r w:rsidR="00E35120" w:rsidRPr="008C4FEE">
        <w:rPr>
          <w:rFonts w:asciiTheme="majorBidi" w:hAnsiTheme="majorBidi" w:cstheme="majorBidi"/>
          <w:lang w:val="fr-FR"/>
        </w:rPr>
        <w:t xml:space="preserve">financées par la Banque Islamique de Développement </w:t>
      </w:r>
      <w:r w:rsidRPr="008C4FEE">
        <w:rPr>
          <w:rFonts w:asciiTheme="majorBidi" w:hAnsiTheme="majorBidi" w:cstheme="majorBidi"/>
          <w:lang w:val="fr-FR"/>
        </w:rPr>
        <w:t xml:space="preserve">seront </w:t>
      </w:r>
      <w:r w:rsidR="00F61B08" w:rsidRPr="008C4FEE">
        <w:rPr>
          <w:rFonts w:asciiTheme="majorBidi" w:hAnsiTheme="majorBidi" w:cstheme="majorBidi"/>
          <w:lang w:val="fr-FR"/>
        </w:rPr>
        <w:t>effectu</w:t>
      </w:r>
      <w:r w:rsidRPr="008C4FEE">
        <w:rPr>
          <w:rFonts w:asciiTheme="majorBidi" w:hAnsiTheme="majorBidi" w:cstheme="majorBidi"/>
          <w:lang w:val="fr-FR"/>
        </w:rPr>
        <w:t>é</w:t>
      </w:r>
      <w:r w:rsidR="00F61B08" w:rsidRPr="008C4FEE">
        <w:rPr>
          <w:rFonts w:asciiTheme="majorBidi" w:hAnsiTheme="majorBidi" w:cstheme="majorBidi"/>
          <w:lang w:val="fr-FR"/>
        </w:rPr>
        <w:t>e</w:t>
      </w:r>
      <w:r w:rsidRPr="008C4FEE">
        <w:rPr>
          <w:rFonts w:asciiTheme="majorBidi" w:hAnsiTheme="majorBidi" w:cstheme="majorBidi"/>
          <w:lang w:val="fr-FR"/>
        </w:rPr>
        <w:t>s conformément aux Directives</w:t>
      </w:r>
      <w:r w:rsidR="009F6C07" w:rsidRPr="008C4FEE">
        <w:rPr>
          <w:rFonts w:asciiTheme="majorBidi" w:hAnsiTheme="majorBidi" w:cstheme="majorBidi"/>
          <w:lang w:val="fr-FR"/>
        </w:rPr>
        <w:t xml:space="preserve"> pour </w:t>
      </w:r>
      <w:r w:rsidR="00E35120" w:rsidRPr="008C4FEE">
        <w:rPr>
          <w:rFonts w:asciiTheme="majorBidi" w:hAnsiTheme="majorBidi" w:cstheme="majorBidi"/>
          <w:lang w:val="fr-FR"/>
        </w:rPr>
        <w:t>l’acquisition de Biens, Travaux et services connexes</w:t>
      </w:r>
      <w:r w:rsidRPr="008C4FEE">
        <w:rPr>
          <w:rFonts w:asciiTheme="majorBidi" w:hAnsiTheme="majorBidi" w:cstheme="majorBidi"/>
          <w:lang w:val="fr-FR"/>
        </w:rPr>
        <w:t xml:space="preserve"> </w:t>
      </w:r>
      <w:r w:rsidR="009474B0" w:rsidRPr="008C4FEE">
        <w:rPr>
          <w:rFonts w:asciiTheme="majorBidi" w:hAnsiTheme="majorBidi" w:cstheme="majorBidi"/>
          <w:lang w:val="fr-FR"/>
        </w:rPr>
        <w:t xml:space="preserve">dans le cadre des Projets </w:t>
      </w:r>
      <w:r w:rsidRPr="008C4FEE">
        <w:rPr>
          <w:rFonts w:asciiTheme="majorBidi" w:hAnsiTheme="majorBidi" w:cstheme="majorBidi"/>
          <w:lang w:val="fr-FR"/>
        </w:rPr>
        <w:t>financés par la B</w:t>
      </w:r>
      <w:r w:rsidR="009F6C07" w:rsidRPr="008C4FEE">
        <w:rPr>
          <w:rFonts w:asciiTheme="majorBidi" w:hAnsiTheme="majorBidi" w:cstheme="majorBidi"/>
          <w:lang w:val="fr-FR"/>
        </w:rPr>
        <w:t xml:space="preserve">anque </w:t>
      </w:r>
      <w:r w:rsidRPr="008C4FEE">
        <w:rPr>
          <w:rFonts w:asciiTheme="majorBidi" w:hAnsiTheme="majorBidi" w:cstheme="majorBidi"/>
          <w:lang w:val="fr-FR"/>
        </w:rPr>
        <w:t>I</w:t>
      </w:r>
      <w:r w:rsidR="009F6C07" w:rsidRPr="008C4FEE">
        <w:rPr>
          <w:rFonts w:asciiTheme="majorBidi" w:hAnsiTheme="majorBidi" w:cstheme="majorBidi"/>
          <w:lang w:val="fr-FR"/>
        </w:rPr>
        <w:t xml:space="preserve">slamique de Développement </w:t>
      </w:r>
      <w:r w:rsidRPr="008C4FEE">
        <w:rPr>
          <w:rFonts w:asciiTheme="majorBidi" w:hAnsiTheme="majorBidi" w:cstheme="majorBidi"/>
          <w:lang w:val="fr-FR"/>
        </w:rPr>
        <w:t>(</w:t>
      </w:r>
      <w:r w:rsidR="00C47CDF" w:rsidRPr="008C4FEE">
        <w:rPr>
          <w:rFonts w:asciiTheme="majorBidi" w:hAnsiTheme="majorBidi" w:cstheme="majorBidi"/>
          <w:lang w:val="fr-FR"/>
        </w:rPr>
        <w:t xml:space="preserve">édition </w:t>
      </w:r>
      <w:r w:rsidR="00E35120" w:rsidRPr="008C4FEE">
        <w:rPr>
          <w:rFonts w:asciiTheme="majorBidi" w:hAnsiTheme="majorBidi" w:cstheme="majorBidi"/>
          <w:lang w:val="fr-FR"/>
        </w:rPr>
        <w:t>courante</w:t>
      </w:r>
      <w:r w:rsidRPr="008C4FEE">
        <w:rPr>
          <w:rFonts w:asciiTheme="majorBidi" w:hAnsiTheme="majorBidi" w:cstheme="majorBidi"/>
          <w:lang w:val="fr-FR"/>
        </w:rPr>
        <w:t>)</w:t>
      </w:r>
      <w:r w:rsidR="00E35120" w:rsidRPr="008C4FEE">
        <w:rPr>
          <w:rFonts w:asciiTheme="majorBidi" w:hAnsiTheme="majorBidi" w:cstheme="majorBidi"/>
          <w:lang w:val="fr-FR"/>
        </w:rPr>
        <w:t xml:space="preserve"> et sont ouvertes à tous les soumissionnaires éligibles, tels que définis dans ces Directives</w:t>
      </w:r>
      <w:r w:rsidRPr="008C4FEE">
        <w:rPr>
          <w:rFonts w:asciiTheme="majorBidi" w:hAnsiTheme="majorBidi" w:cstheme="majorBidi"/>
          <w:lang w:val="fr-FR"/>
        </w:rPr>
        <w:t xml:space="preserve">. Les </w:t>
      </w:r>
      <w:r w:rsidR="00E35120" w:rsidRPr="008C4FEE">
        <w:rPr>
          <w:rFonts w:asciiTheme="majorBidi" w:hAnsiTheme="majorBidi" w:cstheme="majorBidi"/>
          <w:lang w:val="fr-FR"/>
        </w:rPr>
        <w:t xml:space="preserve">acquisitions </w:t>
      </w:r>
      <w:r w:rsidR="009F6C07" w:rsidRPr="008C4FEE">
        <w:rPr>
          <w:rFonts w:asciiTheme="majorBidi" w:hAnsiTheme="majorBidi" w:cstheme="majorBidi"/>
          <w:lang w:val="fr-FR"/>
        </w:rPr>
        <w:t xml:space="preserve">de services de </w:t>
      </w:r>
      <w:r w:rsidRPr="008C4FEE">
        <w:rPr>
          <w:rFonts w:asciiTheme="majorBidi" w:hAnsiTheme="majorBidi" w:cstheme="majorBidi"/>
          <w:lang w:val="fr-FR"/>
        </w:rPr>
        <w:t xml:space="preserve">consultants </w:t>
      </w:r>
      <w:r w:rsidR="00E35120" w:rsidRPr="008C4FEE">
        <w:rPr>
          <w:rFonts w:asciiTheme="majorBidi" w:hAnsiTheme="majorBidi" w:cstheme="majorBidi"/>
          <w:lang w:val="fr-FR"/>
        </w:rPr>
        <w:t xml:space="preserve">seront effectuées conformément aux Directives pour l’acquisition de Services de Consultants </w:t>
      </w:r>
      <w:r w:rsidR="009474B0" w:rsidRPr="008C4FEE">
        <w:rPr>
          <w:rFonts w:asciiTheme="majorBidi" w:hAnsiTheme="majorBidi" w:cstheme="majorBidi"/>
          <w:lang w:val="fr-FR"/>
        </w:rPr>
        <w:t xml:space="preserve">dans le cadre des Projets </w:t>
      </w:r>
      <w:r w:rsidR="00E35120" w:rsidRPr="008C4FEE">
        <w:rPr>
          <w:rFonts w:asciiTheme="majorBidi" w:hAnsiTheme="majorBidi" w:cstheme="majorBidi"/>
          <w:lang w:val="fr-FR"/>
        </w:rPr>
        <w:t>financés par la Banque Islamique de Développement (édition courante)</w:t>
      </w:r>
      <w:r w:rsidR="009F6C07" w:rsidRPr="008C4FEE">
        <w:rPr>
          <w:rFonts w:asciiTheme="majorBidi" w:hAnsiTheme="majorBidi" w:cstheme="majorBidi"/>
          <w:lang w:val="fr-FR"/>
        </w:rPr>
        <w:t>.</w:t>
      </w:r>
      <w:r w:rsidR="00E35120" w:rsidRPr="008C4FEE">
        <w:rPr>
          <w:rStyle w:val="FootnoteReference"/>
          <w:rFonts w:asciiTheme="majorBidi" w:hAnsiTheme="majorBidi" w:cstheme="majorBidi"/>
          <w:lang w:val="fr-FR"/>
        </w:rPr>
        <w:footnoteReference w:id="1"/>
      </w:r>
    </w:p>
    <w:p w14:paraId="1BF0EFC6" w14:textId="3CF777EB" w:rsidR="00691DCE" w:rsidRPr="008C4FEE" w:rsidRDefault="00B63B97" w:rsidP="0082530C">
      <w:pPr>
        <w:spacing w:after="120"/>
        <w:ind w:right="72"/>
        <w:jc w:val="both"/>
        <w:rPr>
          <w:rFonts w:asciiTheme="majorBidi" w:hAnsiTheme="majorBidi" w:cstheme="majorBidi"/>
          <w:lang w:val="fr-FR"/>
        </w:rPr>
      </w:pPr>
      <w:r w:rsidRPr="008C4FEE">
        <w:rPr>
          <w:rFonts w:asciiTheme="majorBidi" w:hAnsiTheme="majorBidi" w:cstheme="majorBidi"/>
          <w:lang w:val="fr-FR"/>
        </w:rPr>
        <w:t>Les avis spécifiques de passation des marchés pour les acquisitions à effectuer par Appel d’Offres International (AOI) ou Appel d’Offres International réservé aux pays membres (AOI/PM) et les appels à manifestations d’intérêt</w:t>
      </w:r>
      <w:r w:rsidR="00691DCE" w:rsidRPr="008C4FEE">
        <w:rPr>
          <w:rFonts w:asciiTheme="majorBidi" w:hAnsiTheme="majorBidi" w:cstheme="majorBidi"/>
          <w:lang w:val="fr-FR"/>
        </w:rPr>
        <w:t xml:space="preserve"> pour les services de consultants seront publiés au fur et à mesure qu’ils seront disponibles, sur le site internet de la </w:t>
      </w:r>
      <w:hyperlink r:id="rId8" w:history="1">
        <w:r w:rsidR="0082530C" w:rsidRPr="008C4FEE">
          <w:rPr>
            <w:rStyle w:val="Hyperlink"/>
            <w:rFonts w:asciiTheme="majorBidi" w:hAnsiTheme="majorBidi" w:cstheme="majorBidi"/>
            <w:lang w:val="fr-FR"/>
          </w:rPr>
          <w:t>www.beta.mr</w:t>
        </w:r>
      </w:hyperlink>
      <w:r w:rsidR="00833E4E">
        <w:rPr>
          <w:rStyle w:val="Hyperlink"/>
          <w:rFonts w:asciiTheme="majorBidi" w:hAnsiTheme="majorBidi" w:cstheme="majorBidi" w:hint="cs"/>
          <w:rtl/>
          <w:lang w:val="fr-FR"/>
        </w:rPr>
        <w:t xml:space="preserve"> </w:t>
      </w:r>
      <w:r w:rsidR="000A3BD3">
        <w:rPr>
          <w:rStyle w:val="Hyperlink"/>
          <w:rFonts w:asciiTheme="majorBidi" w:hAnsiTheme="majorBidi" w:cstheme="majorBidi"/>
          <w:lang w:val="fr-FR"/>
        </w:rPr>
        <w:t>www.isdb.org</w:t>
      </w:r>
      <w:r w:rsidR="0082530C" w:rsidRPr="008C4FEE">
        <w:rPr>
          <w:rFonts w:asciiTheme="majorBidi" w:hAnsiTheme="majorBidi" w:cstheme="majorBidi"/>
          <w:lang w:val="fr-FR"/>
        </w:rPr>
        <w:t xml:space="preserve"> </w:t>
      </w:r>
    </w:p>
    <w:p w14:paraId="012D30E4" w14:textId="3DB95EDD" w:rsidR="005B7047" w:rsidRDefault="001D0654" w:rsidP="002F785B">
      <w:pPr>
        <w:spacing w:after="120"/>
        <w:ind w:right="72"/>
        <w:jc w:val="both"/>
        <w:rPr>
          <w:rFonts w:ascii="CG Times" w:hAnsi="CG Times"/>
          <w:lang w:val="fr-FR"/>
        </w:rPr>
      </w:pPr>
      <w:r w:rsidRPr="008C4FEE">
        <w:rPr>
          <w:rFonts w:ascii="CG Times" w:hAnsi="CG Times"/>
          <w:lang w:val="fr-FR"/>
        </w:rPr>
        <w:t xml:space="preserve">La pré-qualification de fournisseurs et d’entreprises est prévue pour les marchés ci-après : </w:t>
      </w:r>
    </w:p>
    <w:p w14:paraId="0B791B6E" w14:textId="32066CC0" w:rsidR="005B7047" w:rsidRPr="00DE2019" w:rsidRDefault="005B7047" w:rsidP="005B7047">
      <w:pPr>
        <w:pStyle w:val="ListParagraph"/>
        <w:numPr>
          <w:ilvl w:val="0"/>
          <w:numId w:val="8"/>
        </w:numPr>
        <w:ind w:right="72"/>
        <w:jc w:val="both"/>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lastRenderedPageBreak/>
        <w:t xml:space="preserve">Lot 1 : pole de production </w:t>
      </w:r>
    </w:p>
    <w:p w14:paraId="3B86BE84" w14:textId="1FCEFD4B" w:rsidR="005B7047" w:rsidRPr="00DE2019" w:rsidRDefault="005B7047" w:rsidP="005B7047">
      <w:pPr>
        <w:pStyle w:val="ListParagraph"/>
        <w:numPr>
          <w:ilvl w:val="0"/>
          <w:numId w:val="8"/>
        </w:numPr>
        <w:ind w:right="72"/>
        <w:jc w:val="both"/>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t xml:space="preserve">Lot 2 : </w:t>
      </w:r>
      <w:r w:rsidR="00DE2019" w:rsidRPr="00DE2019">
        <w:rPr>
          <w:rFonts w:ascii="CG Times" w:eastAsia="Times New Roman" w:hAnsi="CG Times" w:cs="Times New Roman"/>
          <w:sz w:val="24"/>
          <w:szCs w:val="24"/>
          <w:lang w:val="fr-FR"/>
        </w:rPr>
        <w:t xml:space="preserve">Travaux </w:t>
      </w:r>
      <w:r w:rsidR="00DE2019">
        <w:rPr>
          <w:rFonts w:ascii="CG Times" w:eastAsia="Times New Roman" w:hAnsi="CG Times" w:cs="Times New Roman"/>
          <w:sz w:val="24"/>
          <w:szCs w:val="24"/>
          <w:lang w:val="fr-FR"/>
        </w:rPr>
        <w:t xml:space="preserve">de </w:t>
      </w:r>
      <w:r w:rsidRPr="00DE2019">
        <w:rPr>
          <w:rFonts w:ascii="CG Times" w:eastAsia="Times New Roman" w:hAnsi="CG Times" w:cs="Times New Roman"/>
          <w:sz w:val="24"/>
          <w:szCs w:val="24"/>
          <w:lang w:val="fr-FR"/>
        </w:rPr>
        <w:t>pose des conduits entre R1 et SP2 et annexes</w:t>
      </w:r>
    </w:p>
    <w:p w14:paraId="6E5FE096" w14:textId="5707F820" w:rsidR="005B7047" w:rsidRPr="00DE2019" w:rsidRDefault="005B7047" w:rsidP="005B7047">
      <w:pPr>
        <w:pStyle w:val="ListParagraph"/>
        <w:numPr>
          <w:ilvl w:val="0"/>
          <w:numId w:val="8"/>
        </w:numPr>
        <w:ind w:right="72"/>
        <w:jc w:val="both"/>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t>Lot 3.1 : Travaux de réalisation de la station de pompage SP2 et la conduite de refoulement entre SP2 et PK 71 et annexes</w:t>
      </w:r>
    </w:p>
    <w:p w14:paraId="632AA630" w14:textId="6DAE6996" w:rsidR="005B7047" w:rsidRPr="00DE2019" w:rsidRDefault="005B7047" w:rsidP="005B7047">
      <w:pPr>
        <w:pStyle w:val="ListParagraph"/>
        <w:numPr>
          <w:ilvl w:val="0"/>
          <w:numId w:val="8"/>
        </w:numPr>
        <w:ind w:right="72"/>
        <w:jc w:val="both"/>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t>Lot 3.2 : Travaux de réalisation de la réservoir R2 et la conduite d'adduction entre PK 71 et R2 et annexes</w:t>
      </w:r>
    </w:p>
    <w:p w14:paraId="67C6D4D7" w14:textId="4F2D4751" w:rsidR="005B7047" w:rsidRPr="00DE2019" w:rsidRDefault="005B7047" w:rsidP="005B7047">
      <w:pPr>
        <w:pStyle w:val="ListParagraph"/>
        <w:numPr>
          <w:ilvl w:val="0"/>
          <w:numId w:val="8"/>
        </w:numPr>
        <w:ind w:right="72"/>
        <w:jc w:val="both"/>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t xml:space="preserve">Lot 4 : </w:t>
      </w:r>
      <w:r w:rsidR="00DE2019" w:rsidRPr="00DE2019">
        <w:rPr>
          <w:rFonts w:ascii="CG Times" w:eastAsia="Times New Roman" w:hAnsi="CG Times" w:cs="Times New Roman"/>
          <w:sz w:val="24"/>
          <w:szCs w:val="24"/>
          <w:lang w:val="fr-FR"/>
        </w:rPr>
        <w:t xml:space="preserve">Travaux </w:t>
      </w:r>
      <w:r w:rsidR="00DE2019">
        <w:rPr>
          <w:rFonts w:ascii="CG Times" w:eastAsia="Times New Roman" w:hAnsi="CG Times" w:cs="Times New Roman"/>
          <w:sz w:val="24"/>
          <w:szCs w:val="24"/>
          <w:lang w:val="fr-FR"/>
        </w:rPr>
        <w:t xml:space="preserve">de </w:t>
      </w:r>
      <w:r w:rsidRPr="00DE2019">
        <w:rPr>
          <w:rFonts w:ascii="CG Times" w:eastAsia="Times New Roman" w:hAnsi="CG Times" w:cs="Times New Roman"/>
          <w:sz w:val="24"/>
          <w:szCs w:val="24"/>
          <w:lang w:val="fr-FR"/>
        </w:rPr>
        <w:t>pose des conduits entre R2 et SP3 et annexes</w:t>
      </w:r>
    </w:p>
    <w:p w14:paraId="57ADFE69" w14:textId="7C8F7828" w:rsidR="005B7047" w:rsidRPr="00DE2019" w:rsidRDefault="005B7047" w:rsidP="00DE2019">
      <w:pPr>
        <w:pStyle w:val="ListParagraph"/>
        <w:numPr>
          <w:ilvl w:val="0"/>
          <w:numId w:val="8"/>
        </w:numPr>
        <w:rPr>
          <w:rFonts w:ascii="CG Times" w:eastAsia="Times New Roman" w:hAnsi="CG Times" w:cs="Times New Roman"/>
          <w:sz w:val="24"/>
          <w:szCs w:val="24"/>
          <w:lang w:val="fr-FR"/>
        </w:rPr>
      </w:pPr>
      <w:r w:rsidRPr="00DE2019">
        <w:rPr>
          <w:rFonts w:ascii="CG Times" w:eastAsia="Times New Roman" w:hAnsi="CG Times" w:cs="Times New Roman"/>
          <w:sz w:val="24"/>
          <w:szCs w:val="24"/>
          <w:lang w:val="fr-FR"/>
        </w:rPr>
        <w:t>Lot 5 : Travaux de réalisation de la station de pompage SP</w:t>
      </w:r>
      <w:r w:rsidR="00DE2019" w:rsidRPr="00DE2019">
        <w:rPr>
          <w:rFonts w:ascii="CG Times" w:eastAsia="Times New Roman" w:hAnsi="CG Times" w:cs="Times New Roman"/>
          <w:sz w:val="24"/>
          <w:szCs w:val="24"/>
          <w:lang w:val="fr-FR"/>
        </w:rPr>
        <w:t>3 et la réservoir R3</w:t>
      </w:r>
      <w:r w:rsidRPr="00DE2019">
        <w:rPr>
          <w:rFonts w:ascii="CG Times" w:eastAsia="Times New Roman" w:hAnsi="CG Times" w:cs="Times New Roman"/>
          <w:sz w:val="24"/>
          <w:szCs w:val="24"/>
          <w:lang w:val="fr-FR"/>
        </w:rPr>
        <w:t xml:space="preserve"> et la conduite de refoulement entre SP</w:t>
      </w:r>
      <w:r w:rsidR="00DE2019" w:rsidRPr="00DE2019">
        <w:rPr>
          <w:rFonts w:ascii="CG Times" w:eastAsia="Times New Roman" w:hAnsi="CG Times" w:cs="Times New Roman"/>
          <w:sz w:val="24"/>
          <w:szCs w:val="24"/>
          <w:lang w:val="fr-FR"/>
        </w:rPr>
        <w:t>3</w:t>
      </w:r>
      <w:r w:rsidRPr="00DE2019">
        <w:rPr>
          <w:rFonts w:ascii="CG Times" w:eastAsia="Times New Roman" w:hAnsi="CG Times" w:cs="Times New Roman"/>
          <w:sz w:val="24"/>
          <w:szCs w:val="24"/>
          <w:lang w:val="fr-FR"/>
        </w:rPr>
        <w:t xml:space="preserve"> et </w:t>
      </w:r>
      <w:r w:rsidR="00DE2019" w:rsidRPr="00DE2019">
        <w:rPr>
          <w:rFonts w:ascii="CG Times" w:eastAsia="Times New Roman" w:hAnsi="CG Times" w:cs="Times New Roman"/>
          <w:sz w:val="24"/>
          <w:szCs w:val="24"/>
          <w:lang w:val="fr-FR"/>
        </w:rPr>
        <w:t>R3</w:t>
      </w:r>
      <w:r w:rsidRPr="00DE2019">
        <w:rPr>
          <w:rFonts w:ascii="CG Times" w:eastAsia="Times New Roman" w:hAnsi="CG Times" w:cs="Times New Roman"/>
          <w:sz w:val="24"/>
          <w:szCs w:val="24"/>
          <w:lang w:val="fr-FR"/>
        </w:rPr>
        <w:t xml:space="preserve"> et annexes</w:t>
      </w:r>
    </w:p>
    <w:p w14:paraId="052B4298" w14:textId="77777777" w:rsidR="00F61B08" w:rsidRPr="008C4FEE" w:rsidRDefault="00F61B08" w:rsidP="002E774C">
      <w:pPr>
        <w:spacing w:after="120"/>
        <w:ind w:right="72"/>
        <w:jc w:val="both"/>
        <w:rPr>
          <w:rFonts w:asciiTheme="majorBidi" w:hAnsiTheme="majorBidi" w:cstheme="majorBidi"/>
          <w:sz w:val="2"/>
          <w:szCs w:val="2"/>
          <w:lang w:val="fr-FR"/>
        </w:rPr>
      </w:pPr>
    </w:p>
    <w:p w14:paraId="67A67584" w14:textId="77777777" w:rsidR="00992D95" w:rsidRPr="008C4FEE" w:rsidRDefault="00F61B08" w:rsidP="00084D00">
      <w:pPr>
        <w:spacing w:after="120"/>
        <w:ind w:right="72"/>
        <w:jc w:val="both"/>
        <w:rPr>
          <w:rFonts w:asciiTheme="majorBidi" w:hAnsiTheme="majorBidi" w:cstheme="majorBidi"/>
          <w:lang w:val="fr-FR"/>
        </w:rPr>
      </w:pPr>
      <w:r w:rsidRPr="008C4FEE">
        <w:rPr>
          <w:rFonts w:asciiTheme="majorBidi" w:hAnsiTheme="majorBidi" w:cstheme="majorBidi"/>
          <w:lang w:val="fr-FR"/>
        </w:rPr>
        <w:t xml:space="preserve">Les candidats intéressés </w:t>
      </w:r>
      <w:r w:rsidR="00517E16" w:rsidRPr="008C4FEE">
        <w:rPr>
          <w:rFonts w:asciiTheme="majorBidi" w:hAnsiTheme="majorBidi" w:cstheme="majorBidi"/>
          <w:lang w:val="fr-FR"/>
        </w:rPr>
        <w:t xml:space="preserve">et éligibles, qui souhaitent être considérés pour la </w:t>
      </w:r>
      <w:r w:rsidR="00861189" w:rsidRPr="008C4FEE">
        <w:rPr>
          <w:rFonts w:asciiTheme="majorBidi" w:hAnsiTheme="majorBidi" w:cstheme="majorBidi"/>
          <w:lang w:val="fr-FR"/>
        </w:rPr>
        <w:t>fourniture</w:t>
      </w:r>
      <w:r w:rsidR="00517E16" w:rsidRPr="008C4FEE">
        <w:rPr>
          <w:rFonts w:asciiTheme="majorBidi" w:hAnsiTheme="majorBidi" w:cstheme="majorBidi"/>
          <w:lang w:val="fr-FR"/>
        </w:rPr>
        <w:t xml:space="preserve"> de biens, travaux et services de consultants pour le projet, ou qui désirent obtenir des informations additionnelles, sont invités à contacter le Bénéficiaire à l’adresse ci-dessous</w:t>
      </w:r>
      <w:r w:rsidR="00CB1EC4" w:rsidRPr="008C4FEE">
        <w:rPr>
          <w:rFonts w:asciiTheme="majorBidi" w:hAnsiTheme="majorBidi" w:cstheme="majorBidi"/>
          <w:lang w:val="fr-FR"/>
        </w:rPr>
        <w:t xml:space="preserve"> </w:t>
      </w:r>
    </w:p>
    <w:p w14:paraId="77F740E9" w14:textId="77777777" w:rsidR="00084D00" w:rsidRPr="008C4FEE" w:rsidRDefault="00084D00" w:rsidP="00084D00">
      <w:pPr>
        <w:pStyle w:val="IntenseQuote"/>
        <w:spacing w:before="0" w:after="0"/>
        <w:jc w:val="left"/>
        <w:rPr>
          <w:lang w:val="fr-FR"/>
        </w:rPr>
      </w:pPr>
      <w:r w:rsidRPr="008C4FEE">
        <w:rPr>
          <w:lang w:val="fr-FR"/>
        </w:rPr>
        <w:t>République Islamique de Mauritanie</w:t>
      </w:r>
    </w:p>
    <w:p w14:paraId="6382236D" w14:textId="77777777" w:rsidR="0082530C" w:rsidRPr="008C4FEE" w:rsidRDefault="0082530C" w:rsidP="00084D00">
      <w:pPr>
        <w:pStyle w:val="IntenseQuote"/>
        <w:spacing w:before="0" w:after="0"/>
        <w:jc w:val="left"/>
        <w:rPr>
          <w:lang w:val="fr-FR"/>
        </w:rPr>
      </w:pPr>
      <w:r w:rsidRPr="008C4FEE">
        <w:rPr>
          <w:lang w:val="fr-FR"/>
        </w:rPr>
        <w:t>Ministère de l’Hydraulique et de l’Assainissement (MHA)</w:t>
      </w:r>
    </w:p>
    <w:p w14:paraId="1296054F" w14:textId="77777777" w:rsidR="00084D00" w:rsidRPr="008C4FEE" w:rsidRDefault="00084D00" w:rsidP="00084D00">
      <w:pPr>
        <w:pStyle w:val="IntenseQuote"/>
        <w:spacing w:before="0" w:after="0"/>
        <w:jc w:val="left"/>
        <w:rPr>
          <w:lang w:val="fr-FR"/>
        </w:rPr>
      </w:pPr>
      <w:r w:rsidRPr="008C4FEE">
        <w:rPr>
          <w:lang w:val="fr-FR"/>
        </w:rPr>
        <w:t xml:space="preserve">Projet Alimentation en Eau Potable de la Ville de Kiffa à Partir du Fleuve Sénégal </w:t>
      </w:r>
    </w:p>
    <w:p w14:paraId="20567314" w14:textId="77777777" w:rsidR="0082530C" w:rsidRPr="008C4FEE" w:rsidRDefault="0082530C" w:rsidP="00084D00">
      <w:pPr>
        <w:pStyle w:val="IntenseQuote"/>
        <w:spacing w:before="0" w:after="0"/>
        <w:jc w:val="left"/>
        <w:rPr>
          <w:lang w:val="fr-FR"/>
        </w:rPr>
      </w:pPr>
      <w:r w:rsidRPr="008C4FEE">
        <w:rPr>
          <w:lang w:val="fr-FR"/>
        </w:rPr>
        <w:t>B.P :49-13, Nouakchott-Mauritanie</w:t>
      </w:r>
    </w:p>
    <w:p w14:paraId="2F8995C4" w14:textId="77777777" w:rsidR="00602DF4" w:rsidRPr="008C4FEE" w:rsidRDefault="00602DF4" w:rsidP="00084D00">
      <w:pPr>
        <w:pStyle w:val="IntenseQuote"/>
        <w:spacing w:before="0" w:after="0"/>
        <w:jc w:val="left"/>
        <w:rPr>
          <w:lang w:val="fr-FR"/>
        </w:rPr>
      </w:pPr>
      <w:r w:rsidRPr="008C4FEE">
        <w:rPr>
          <w:lang w:val="fr-FR"/>
        </w:rPr>
        <w:t xml:space="preserve">Nom de la personne à contacter : </w:t>
      </w:r>
      <w:r w:rsidRPr="00551686">
        <w:rPr>
          <w:b/>
          <w:bCs/>
          <w:lang w:val="fr-FR"/>
        </w:rPr>
        <w:t>Mohamed JIDDOU</w:t>
      </w:r>
      <w:r w:rsidRPr="008C4FEE">
        <w:rPr>
          <w:lang w:val="fr-FR"/>
        </w:rPr>
        <w:t>.</w:t>
      </w:r>
    </w:p>
    <w:p w14:paraId="4C434F54" w14:textId="77777777" w:rsidR="00602DF4" w:rsidRPr="008C4FEE" w:rsidRDefault="00602DF4" w:rsidP="00084D00">
      <w:pPr>
        <w:pStyle w:val="IntenseQuote"/>
        <w:spacing w:before="0" w:after="0"/>
        <w:jc w:val="left"/>
        <w:rPr>
          <w:lang w:val="fr-FR"/>
        </w:rPr>
      </w:pPr>
      <w:r w:rsidRPr="008C4FEE">
        <w:rPr>
          <w:lang w:val="fr-FR"/>
        </w:rPr>
        <w:t xml:space="preserve">Titre/fonction de la personne à contacter : Coordonnateur </w:t>
      </w:r>
      <w:r w:rsidR="00B72F71" w:rsidRPr="008C4FEE">
        <w:rPr>
          <w:lang w:val="fr-FR"/>
        </w:rPr>
        <w:t>National du P</w:t>
      </w:r>
      <w:r w:rsidRPr="008C4FEE">
        <w:rPr>
          <w:lang w:val="fr-FR"/>
        </w:rPr>
        <w:t>rojet</w:t>
      </w:r>
      <w:r w:rsidR="006D3536" w:rsidRPr="008C4FEE">
        <w:rPr>
          <w:lang w:val="fr-FR"/>
        </w:rPr>
        <w:t>.</w:t>
      </w:r>
    </w:p>
    <w:p w14:paraId="4D471C29" w14:textId="77777777" w:rsidR="00992D95" w:rsidRPr="008C4FEE" w:rsidRDefault="00602DF4" w:rsidP="00084D00">
      <w:pPr>
        <w:pStyle w:val="IntenseQuote"/>
        <w:spacing w:before="0" w:after="0"/>
        <w:jc w:val="left"/>
        <w:rPr>
          <w:rFonts w:ascii="CG Times" w:hAnsi="CG Times"/>
          <w:lang w:val="fr-FR"/>
        </w:rPr>
      </w:pPr>
      <w:r w:rsidRPr="008C4FEE">
        <w:rPr>
          <w:lang w:val="fr-FR"/>
        </w:rPr>
        <w:t>Courrie</w:t>
      </w:r>
      <w:r w:rsidR="00CB1EC4" w:rsidRPr="008C4FEE">
        <w:rPr>
          <w:lang w:val="fr-FR"/>
        </w:rPr>
        <w:t>l : jiddou67@gmail.com, vewzi05</w:t>
      </w:r>
      <w:r w:rsidRPr="008C4FEE">
        <w:rPr>
          <w:lang w:val="fr-FR"/>
        </w:rPr>
        <w:t>@gmail.com.</w:t>
      </w:r>
    </w:p>
    <w:sectPr w:rsidR="00992D95" w:rsidRPr="008C4FEE">
      <w:headerReference w:type="even" r:id="rId9"/>
      <w:headerReference w:type="default" r:id="rId10"/>
      <w:headerReference w:type="first" r:id="rId11"/>
      <w:endnotePr>
        <w:numFmt w:val="decimal"/>
      </w:endnotePr>
      <w:type w:val="continuous"/>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8F4C" w14:textId="77777777" w:rsidR="00E71388" w:rsidRDefault="00E71388">
      <w:r>
        <w:separator/>
      </w:r>
    </w:p>
  </w:endnote>
  <w:endnote w:type="continuationSeparator" w:id="0">
    <w:p w14:paraId="6A7F2F92" w14:textId="77777777" w:rsidR="00E71388" w:rsidRDefault="00E7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DBEE" w14:textId="77777777" w:rsidR="00E71388" w:rsidRDefault="00E71388">
      <w:r>
        <w:separator/>
      </w:r>
    </w:p>
  </w:footnote>
  <w:footnote w:type="continuationSeparator" w:id="0">
    <w:p w14:paraId="558A775A" w14:textId="77777777" w:rsidR="00E71388" w:rsidRDefault="00E71388">
      <w:r>
        <w:continuationSeparator/>
      </w:r>
    </w:p>
  </w:footnote>
  <w:footnote w:id="1">
    <w:p w14:paraId="7A687A4E" w14:textId="77777777" w:rsidR="00E35120" w:rsidRPr="00FF7582" w:rsidRDefault="00E35120" w:rsidP="00FF75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AA0C" w14:textId="4E1D551E" w:rsidR="00F338C4" w:rsidRDefault="00F338C4">
    <w:pPr>
      <w:pStyle w:val="Header"/>
    </w:pPr>
    <w:r>
      <w:rPr>
        <w:noProof/>
      </w:rPr>
      <mc:AlternateContent>
        <mc:Choice Requires="wps">
          <w:drawing>
            <wp:anchor distT="0" distB="0" distL="0" distR="0" simplePos="0" relativeHeight="251659264" behindDoc="0" locked="0" layoutInCell="1" allowOverlap="1" wp14:anchorId="56573EAF" wp14:editId="7F0A8792">
              <wp:simplePos x="635" y="635"/>
              <wp:positionH relativeFrom="page">
                <wp:align>left</wp:align>
              </wp:positionH>
              <wp:positionV relativeFrom="page">
                <wp:align>top</wp:align>
              </wp:positionV>
              <wp:extent cx="443865" cy="443865"/>
              <wp:effectExtent l="0" t="0" r="17780" b="16510"/>
              <wp:wrapNone/>
              <wp:docPr id="42065133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5FAF2" w14:textId="31F8F260"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573EAF"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F85FAF2" w14:textId="31F8F260"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0222" w14:textId="61F7399E" w:rsidR="00F338C4" w:rsidRDefault="00F338C4">
    <w:pPr>
      <w:pStyle w:val="Header"/>
    </w:pPr>
    <w:r>
      <w:rPr>
        <w:noProof/>
      </w:rPr>
      <mc:AlternateContent>
        <mc:Choice Requires="wps">
          <w:drawing>
            <wp:anchor distT="0" distB="0" distL="0" distR="0" simplePos="0" relativeHeight="251660288" behindDoc="0" locked="0" layoutInCell="1" allowOverlap="1" wp14:anchorId="646A42C1" wp14:editId="2C7C8393">
              <wp:simplePos x="1143000" y="457200"/>
              <wp:positionH relativeFrom="page">
                <wp:align>left</wp:align>
              </wp:positionH>
              <wp:positionV relativeFrom="page">
                <wp:align>top</wp:align>
              </wp:positionV>
              <wp:extent cx="443865" cy="443865"/>
              <wp:effectExtent l="0" t="0" r="17780" b="16510"/>
              <wp:wrapNone/>
              <wp:docPr id="151070625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6526E" w14:textId="78153899"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6A42C1"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C86526E" w14:textId="78153899"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F8AC" w14:textId="7C793438" w:rsidR="00F338C4" w:rsidRDefault="00F338C4">
    <w:pPr>
      <w:pStyle w:val="Header"/>
    </w:pPr>
    <w:r>
      <w:rPr>
        <w:noProof/>
      </w:rPr>
      <mc:AlternateContent>
        <mc:Choice Requires="wps">
          <w:drawing>
            <wp:anchor distT="0" distB="0" distL="0" distR="0" simplePos="0" relativeHeight="251658240" behindDoc="0" locked="0" layoutInCell="1" allowOverlap="1" wp14:anchorId="50D54A92" wp14:editId="093CEC61">
              <wp:simplePos x="635" y="635"/>
              <wp:positionH relativeFrom="page">
                <wp:align>left</wp:align>
              </wp:positionH>
              <wp:positionV relativeFrom="page">
                <wp:align>top</wp:align>
              </wp:positionV>
              <wp:extent cx="443865" cy="443865"/>
              <wp:effectExtent l="0" t="0" r="17780" b="16510"/>
              <wp:wrapNone/>
              <wp:docPr id="5018834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024F98" w14:textId="1FB4345E"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D54A92"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C024F98" w14:textId="1FB4345E" w:rsidR="00F338C4" w:rsidRPr="00F338C4" w:rsidRDefault="00F338C4" w:rsidP="00F338C4">
                    <w:pPr>
                      <w:rPr>
                        <w:rFonts w:ascii="Calibri" w:eastAsia="Calibri" w:hAnsi="Calibri" w:cs="Calibri"/>
                        <w:noProof/>
                        <w:color w:val="000000"/>
                        <w:sz w:val="20"/>
                        <w:szCs w:val="20"/>
                      </w:rPr>
                    </w:pPr>
                    <w:r w:rsidRPr="00F338C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855"/>
    <w:multiLevelType w:val="hybridMultilevel"/>
    <w:tmpl w:val="933CE5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82862"/>
    <w:multiLevelType w:val="hybridMultilevel"/>
    <w:tmpl w:val="BED0E9B6"/>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9516D"/>
    <w:multiLevelType w:val="hybridMultilevel"/>
    <w:tmpl w:val="2B84AA52"/>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000375"/>
    <w:multiLevelType w:val="hybridMultilevel"/>
    <w:tmpl w:val="362242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8797A"/>
    <w:multiLevelType w:val="hybridMultilevel"/>
    <w:tmpl w:val="11F8A38A"/>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04A21"/>
    <w:multiLevelType w:val="hybridMultilevel"/>
    <w:tmpl w:val="186417DE"/>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AF0E73"/>
    <w:multiLevelType w:val="hybridMultilevel"/>
    <w:tmpl w:val="BB38E8D8"/>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3A74CA"/>
    <w:multiLevelType w:val="hybridMultilevel"/>
    <w:tmpl w:val="E7CAE88E"/>
    <w:lvl w:ilvl="0" w:tplc="71740310">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8111D5"/>
    <w:multiLevelType w:val="hybridMultilevel"/>
    <w:tmpl w:val="A5646940"/>
    <w:lvl w:ilvl="0" w:tplc="688C290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C30F09"/>
    <w:multiLevelType w:val="hybridMultilevel"/>
    <w:tmpl w:val="0F3CE3FE"/>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79032563">
    <w:abstractNumId w:val="4"/>
  </w:num>
  <w:num w:numId="2" w16cid:durableId="839781559">
    <w:abstractNumId w:val="5"/>
  </w:num>
  <w:num w:numId="3" w16cid:durableId="893933926">
    <w:abstractNumId w:val="2"/>
  </w:num>
  <w:num w:numId="4" w16cid:durableId="1836219995">
    <w:abstractNumId w:val="10"/>
  </w:num>
  <w:num w:numId="5" w16cid:durableId="809517258">
    <w:abstractNumId w:val="1"/>
  </w:num>
  <w:num w:numId="6" w16cid:durableId="1786725783">
    <w:abstractNumId w:val="6"/>
  </w:num>
  <w:num w:numId="7" w16cid:durableId="1331986274">
    <w:abstractNumId w:val="7"/>
  </w:num>
  <w:num w:numId="8" w16cid:durableId="1034113191">
    <w:abstractNumId w:val="8"/>
  </w:num>
  <w:num w:numId="9" w16cid:durableId="287660902">
    <w:abstractNumId w:val="3"/>
  </w:num>
  <w:num w:numId="10" w16cid:durableId="344213048">
    <w:abstractNumId w:val="11"/>
  </w:num>
  <w:num w:numId="11" w16cid:durableId="1630744374">
    <w:abstractNumId w:val="0"/>
  </w:num>
  <w:num w:numId="12" w16cid:durableId="1295062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3D"/>
    <w:rsid w:val="0001425A"/>
    <w:rsid w:val="00057FC6"/>
    <w:rsid w:val="00084D00"/>
    <w:rsid w:val="00086ED4"/>
    <w:rsid w:val="000A3BD3"/>
    <w:rsid w:val="000A567D"/>
    <w:rsid w:val="00105B13"/>
    <w:rsid w:val="001C075F"/>
    <w:rsid w:val="001D0654"/>
    <w:rsid w:val="00250167"/>
    <w:rsid w:val="00255AFC"/>
    <w:rsid w:val="002D38A7"/>
    <w:rsid w:val="002E207A"/>
    <w:rsid w:val="002E774C"/>
    <w:rsid w:val="002F785B"/>
    <w:rsid w:val="00305E4C"/>
    <w:rsid w:val="003A3B7B"/>
    <w:rsid w:val="00406DAD"/>
    <w:rsid w:val="004C7025"/>
    <w:rsid w:val="004D28CB"/>
    <w:rsid w:val="004E5676"/>
    <w:rsid w:val="00517E16"/>
    <w:rsid w:val="00531335"/>
    <w:rsid w:val="00531E04"/>
    <w:rsid w:val="00551686"/>
    <w:rsid w:val="005946BC"/>
    <w:rsid w:val="005B3632"/>
    <w:rsid w:val="005B7047"/>
    <w:rsid w:val="00602DF4"/>
    <w:rsid w:val="00603B95"/>
    <w:rsid w:val="00691DCE"/>
    <w:rsid w:val="006A68F8"/>
    <w:rsid w:val="006D3536"/>
    <w:rsid w:val="006F1DD8"/>
    <w:rsid w:val="006F4642"/>
    <w:rsid w:val="00703F60"/>
    <w:rsid w:val="00752680"/>
    <w:rsid w:val="007546DE"/>
    <w:rsid w:val="00810AFF"/>
    <w:rsid w:val="0082530C"/>
    <w:rsid w:val="00833E4E"/>
    <w:rsid w:val="008444D3"/>
    <w:rsid w:val="00861189"/>
    <w:rsid w:val="00890201"/>
    <w:rsid w:val="008C4FEE"/>
    <w:rsid w:val="009074EE"/>
    <w:rsid w:val="00912919"/>
    <w:rsid w:val="0092377C"/>
    <w:rsid w:val="009474B0"/>
    <w:rsid w:val="00954FA2"/>
    <w:rsid w:val="00955BD9"/>
    <w:rsid w:val="00961984"/>
    <w:rsid w:val="00992D95"/>
    <w:rsid w:val="009F6C07"/>
    <w:rsid w:val="00A070EB"/>
    <w:rsid w:val="00A30714"/>
    <w:rsid w:val="00A805CA"/>
    <w:rsid w:val="00A86EB4"/>
    <w:rsid w:val="00AA4BB7"/>
    <w:rsid w:val="00AD5768"/>
    <w:rsid w:val="00B63B97"/>
    <w:rsid w:val="00B72F71"/>
    <w:rsid w:val="00B854D8"/>
    <w:rsid w:val="00BB4418"/>
    <w:rsid w:val="00BC2AB4"/>
    <w:rsid w:val="00C30C3D"/>
    <w:rsid w:val="00C47CDF"/>
    <w:rsid w:val="00C47F9C"/>
    <w:rsid w:val="00C81F90"/>
    <w:rsid w:val="00C85575"/>
    <w:rsid w:val="00C9301B"/>
    <w:rsid w:val="00CB1EC4"/>
    <w:rsid w:val="00CF5B43"/>
    <w:rsid w:val="00D21E57"/>
    <w:rsid w:val="00D4629B"/>
    <w:rsid w:val="00DE2019"/>
    <w:rsid w:val="00DE67A8"/>
    <w:rsid w:val="00DF392B"/>
    <w:rsid w:val="00E35120"/>
    <w:rsid w:val="00E71388"/>
    <w:rsid w:val="00F338C4"/>
    <w:rsid w:val="00F45AF9"/>
    <w:rsid w:val="00F61B08"/>
    <w:rsid w:val="00F938D9"/>
    <w:rsid w:val="00FE3183"/>
    <w:rsid w:val="00FF3848"/>
    <w:rsid w:val="00FF75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8B34"/>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D35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character" w:styleId="Hyperlink">
    <w:name w:val="Hyperlink"/>
    <w:basedOn w:val="DefaultParagraphFont"/>
    <w:unhideWhenUsed/>
    <w:rsid w:val="0082530C"/>
    <w:rPr>
      <w:color w:val="0000FF" w:themeColor="hyperlink"/>
      <w:u w:val="single"/>
    </w:rPr>
  </w:style>
  <w:style w:type="character" w:styleId="Emphasis">
    <w:name w:val="Emphasis"/>
    <w:basedOn w:val="DefaultParagraphFont"/>
    <w:qFormat/>
    <w:rsid w:val="006D3536"/>
    <w:rPr>
      <w:i/>
      <w:iCs/>
    </w:rPr>
  </w:style>
  <w:style w:type="character" w:customStyle="1" w:styleId="Heading1Char">
    <w:name w:val="Heading 1 Char"/>
    <w:basedOn w:val="DefaultParagraphFont"/>
    <w:link w:val="Heading1"/>
    <w:rsid w:val="006D3536"/>
    <w:rPr>
      <w:rFonts w:asciiTheme="majorHAnsi" w:eastAsiaTheme="majorEastAsia" w:hAnsiTheme="majorHAnsi" w:cstheme="majorBidi"/>
      <w:color w:val="365F91" w:themeColor="accent1" w:themeShade="BF"/>
      <w:sz w:val="32"/>
      <w:szCs w:val="32"/>
      <w:lang w:val="en-US" w:eastAsia="en-US"/>
    </w:rPr>
  </w:style>
  <w:style w:type="paragraph" w:styleId="IntenseQuote">
    <w:name w:val="Intense Quote"/>
    <w:basedOn w:val="Normal"/>
    <w:next w:val="Normal"/>
    <w:link w:val="IntenseQuoteChar"/>
    <w:uiPriority w:val="30"/>
    <w:qFormat/>
    <w:rsid w:val="006D35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D3536"/>
    <w:rPr>
      <w:i/>
      <w:iCs/>
      <w:color w:val="4F81BD" w:themeColor="accent1"/>
      <w:sz w:val="24"/>
      <w:szCs w:val="24"/>
      <w:lang w:val="en-US" w:eastAsia="en-US"/>
    </w:rPr>
  </w:style>
  <w:style w:type="character" w:styleId="IntenseEmphasis">
    <w:name w:val="Intense Emphasis"/>
    <w:basedOn w:val="DefaultParagraphFont"/>
    <w:uiPriority w:val="21"/>
    <w:qFormat/>
    <w:rsid w:val="00C81F90"/>
    <w:rPr>
      <w:i/>
      <w:iCs/>
      <w:color w:val="4F81BD" w:themeColor="accent1"/>
    </w:rPr>
  </w:style>
  <w:style w:type="paragraph" w:styleId="Quote">
    <w:name w:val="Quote"/>
    <w:basedOn w:val="Normal"/>
    <w:next w:val="Normal"/>
    <w:link w:val="QuoteChar"/>
    <w:uiPriority w:val="29"/>
    <w:qFormat/>
    <w:rsid w:val="00C81F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1F90"/>
    <w:rPr>
      <w:i/>
      <w:iCs/>
      <w:color w:val="404040" w:themeColor="text1" w:themeTint="BF"/>
      <w:sz w:val="24"/>
      <w:szCs w:val="24"/>
      <w:lang w:val="en-US" w:eastAsia="en-US"/>
    </w:rPr>
  </w:style>
  <w:style w:type="character" w:styleId="SubtleEmphasis">
    <w:name w:val="Subtle Emphasis"/>
    <w:basedOn w:val="DefaultParagraphFont"/>
    <w:uiPriority w:val="19"/>
    <w:qFormat/>
    <w:rsid w:val="00C81F90"/>
    <w:rPr>
      <w:i/>
      <w:iCs/>
      <w:color w:val="404040" w:themeColor="text1" w:themeTint="BF"/>
    </w:rPr>
  </w:style>
  <w:style w:type="character" w:styleId="IntenseReference">
    <w:name w:val="Intense Reference"/>
    <w:basedOn w:val="DefaultParagraphFont"/>
    <w:uiPriority w:val="32"/>
    <w:qFormat/>
    <w:rsid w:val="00C81F90"/>
    <w:rPr>
      <w:b/>
      <w:bCs/>
      <w:smallCaps/>
      <w:color w:val="4F81BD" w:themeColor="accent1"/>
      <w:spacing w:val="5"/>
    </w:rPr>
  </w:style>
  <w:style w:type="character" w:styleId="SubtleReference">
    <w:name w:val="Subtle Reference"/>
    <w:basedOn w:val="DefaultParagraphFont"/>
    <w:uiPriority w:val="31"/>
    <w:qFormat/>
    <w:rsid w:val="00C81F90"/>
    <w:rPr>
      <w:smallCaps/>
      <w:color w:val="5A5A5A" w:themeColor="text1" w:themeTint="A5"/>
    </w:rPr>
  </w:style>
  <w:style w:type="character" w:styleId="CommentReference">
    <w:name w:val="annotation reference"/>
    <w:basedOn w:val="DefaultParagraphFont"/>
    <w:semiHidden/>
    <w:unhideWhenUsed/>
    <w:rsid w:val="001D0654"/>
    <w:rPr>
      <w:sz w:val="16"/>
      <w:szCs w:val="16"/>
    </w:rPr>
  </w:style>
  <w:style w:type="paragraph" w:styleId="CommentText">
    <w:name w:val="annotation text"/>
    <w:basedOn w:val="Normal"/>
    <w:link w:val="CommentTextChar"/>
    <w:semiHidden/>
    <w:unhideWhenUsed/>
    <w:rsid w:val="001D0654"/>
    <w:rPr>
      <w:sz w:val="20"/>
      <w:szCs w:val="20"/>
    </w:rPr>
  </w:style>
  <w:style w:type="character" w:customStyle="1" w:styleId="CommentTextChar">
    <w:name w:val="Comment Text Char"/>
    <w:basedOn w:val="DefaultParagraphFont"/>
    <w:link w:val="CommentText"/>
    <w:semiHidden/>
    <w:rsid w:val="001D0654"/>
    <w:rPr>
      <w:lang w:val="en-US" w:eastAsia="en-US"/>
    </w:rPr>
  </w:style>
  <w:style w:type="paragraph" w:styleId="CommentSubject">
    <w:name w:val="annotation subject"/>
    <w:basedOn w:val="CommentText"/>
    <w:next w:val="CommentText"/>
    <w:link w:val="CommentSubjectChar"/>
    <w:semiHidden/>
    <w:unhideWhenUsed/>
    <w:rsid w:val="001D0654"/>
    <w:rPr>
      <w:b/>
      <w:bCs/>
    </w:rPr>
  </w:style>
  <w:style w:type="character" w:customStyle="1" w:styleId="CommentSubjectChar">
    <w:name w:val="Comment Subject Char"/>
    <w:basedOn w:val="CommentTextChar"/>
    <w:link w:val="CommentSubject"/>
    <w:semiHidden/>
    <w:rsid w:val="001D0654"/>
    <w:rPr>
      <w:b/>
      <w:bCs/>
      <w:lang w:val="en-US" w:eastAsia="en-US"/>
    </w:rPr>
  </w:style>
  <w:style w:type="table" w:styleId="TableGrid">
    <w:name w:val="Table Grid"/>
    <w:basedOn w:val="TableNormal"/>
    <w:uiPriority w:val="59"/>
    <w:rsid w:val="008C4FE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E201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ta.m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323E1-C032-47AF-962D-26FF8C918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5974</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Gregoire Diouf</cp:lastModifiedBy>
  <cp:revision>2</cp:revision>
  <cp:lastPrinted>2003-07-29T07:59:00Z</cp:lastPrinted>
  <dcterms:created xsi:type="dcterms:W3CDTF">2023-12-04T09:51:00Z</dcterms:created>
  <dcterms:modified xsi:type="dcterms:W3CDTF">2023-12-04T09:51:00Z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1dea223a,1912a144,5a0b8c51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2023-12-04T09:51:20Z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ce95045b-62be-4018-b8b1-9aa43ddb50c5</vt:lpwstr>
  </property>
  <property fmtid="{D5CDD505-2E9C-101B-9397-08002B2CF9AE}" pid="11" name="MSIP_Label_9ef4adf7-25a7-4f52-a61a-df7190f1d881_ContentBits">
    <vt:lpwstr>1</vt:lpwstr>
  </property>
</Properties>
</file>