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206A" w14:textId="363E8C34" w:rsidR="00FA3B3F" w:rsidRPr="0015015D" w:rsidRDefault="00FA3B3F" w:rsidP="00FA3B3F">
      <w:pPr>
        <w:spacing w:after="0"/>
        <w:jc w:val="right"/>
        <w:rPr>
          <w:rFonts w:ascii="Century Gothic" w:hAnsi="Century Gothic" w:cs="Times New Roman"/>
          <w:b/>
          <w:sz w:val="28"/>
          <w:szCs w:val="28"/>
          <w:u w:val="single"/>
        </w:rPr>
      </w:pPr>
      <w:r w:rsidRPr="0015015D">
        <w:rPr>
          <w:rFonts w:ascii="Century Gothic" w:hAnsi="Century Gothic" w:cs="Times New Roman"/>
          <w:b/>
          <w:noProof/>
          <w:lang w:eastAsia="fr-FR"/>
        </w:rPr>
        <mc:AlternateContent>
          <mc:Choice Requires="wps">
            <w:drawing>
              <wp:anchor distT="0" distB="0" distL="114300" distR="114300" simplePos="0" relativeHeight="251661312" behindDoc="0" locked="0" layoutInCell="0" allowOverlap="1" wp14:anchorId="57D50649" wp14:editId="433115B4">
                <wp:simplePos x="0" y="0"/>
                <wp:positionH relativeFrom="margin">
                  <wp:posOffset>1715679</wp:posOffset>
                </wp:positionH>
                <wp:positionV relativeFrom="paragraph">
                  <wp:posOffset>-207373</wp:posOffset>
                </wp:positionV>
                <wp:extent cx="2536190" cy="42418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B8E30" w14:textId="77777777" w:rsidR="00FA3B3F" w:rsidRPr="00FF0902" w:rsidRDefault="00FA3B3F" w:rsidP="00FA3B3F">
                            <w:pPr>
                              <w:spacing w:after="0"/>
                              <w:jc w:val="center"/>
                              <w:rPr>
                                <w:rFonts w:ascii="Times New Roman" w:hAnsi="Times New Roman" w:cs="Times New Roman"/>
                                <w:b/>
                                <w:sz w:val="24"/>
                                <w:szCs w:val="24"/>
                              </w:rPr>
                            </w:pPr>
                            <w:r w:rsidRPr="00FF0902">
                              <w:rPr>
                                <w:rFonts w:ascii="Times New Roman" w:hAnsi="Times New Roman" w:cs="Times New Roman"/>
                                <w:b/>
                                <w:sz w:val="24"/>
                                <w:szCs w:val="24"/>
                              </w:rPr>
                              <w:t>REPUBLIQUE DE GUINEE</w:t>
                            </w:r>
                          </w:p>
                          <w:p w14:paraId="03DA87E1" w14:textId="77777777" w:rsidR="00FA3B3F" w:rsidRPr="00FF0902" w:rsidRDefault="00FA3B3F" w:rsidP="00FA3B3F">
                            <w:pPr>
                              <w:spacing w:after="0"/>
                              <w:jc w:val="center"/>
                              <w:rPr>
                                <w:rFonts w:ascii="Times New Roman" w:hAnsi="Times New Roman" w:cs="Times New Roman"/>
                                <w:b/>
                                <w:i/>
                                <w:sz w:val="18"/>
                                <w:szCs w:val="18"/>
                              </w:rPr>
                            </w:pPr>
                            <w:r w:rsidRPr="00FF0902">
                              <w:rPr>
                                <w:rFonts w:ascii="Times New Roman" w:hAnsi="Times New Roman" w:cs="Times New Roman"/>
                                <w:b/>
                                <w:color w:val="FF0000"/>
                                <w:sz w:val="18"/>
                                <w:szCs w:val="18"/>
                              </w:rPr>
                              <w:t>T</w:t>
                            </w:r>
                            <w:r w:rsidRPr="00FF0902">
                              <w:rPr>
                                <w:rFonts w:ascii="Times New Roman" w:hAnsi="Times New Roman" w:cs="Times New Roman"/>
                                <w:color w:val="FF0000"/>
                                <w:sz w:val="18"/>
                                <w:szCs w:val="18"/>
                              </w:rPr>
                              <w:t xml:space="preserve">ravail </w:t>
                            </w:r>
                            <w:r w:rsidRPr="00FF0902">
                              <w:rPr>
                                <w:rFonts w:ascii="Times New Roman" w:hAnsi="Times New Roman" w:cs="Times New Roman"/>
                                <w:b/>
                                <w:i/>
                                <w:sz w:val="18"/>
                                <w:szCs w:val="18"/>
                              </w:rPr>
                              <w:t xml:space="preserve">– </w:t>
                            </w:r>
                            <w:r w:rsidRPr="00FF0902">
                              <w:rPr>
                                <w:rFonts w:ascii="Times New Roman" w:hAnsi="Times New Roman" w:cs="Times New Roman"/>
                                <w:b/>
                                <w:color w:val="FFC000"/>
                                <w:sz w:val="18"/>
                                <w:szCs w:val="18"/>
                              </w:rPr>
                              <w:t>J</w:t>
                            </w:r>
                            <w:r w:rsidRPr="00FF0902">
                              <w:rPr>
                                <w:rFonts w:ascii="Times New Roman" w:hAnsi="Times New Roman" w:cs="Times New Roman"/>
                                <w:color w:val="FFC000"/>
                                <w:sz w:val="18"/>
                                <w:szCs w:val="18"/>
                              </w:rPr>
                              <w:t>ustice</w:t>
                            </w:r>
                            <w:r>
                              <w:rPr>
                                <w:rFonts w:ascii="Times New Roman" w:hAnsi="Times New Roman" w:cs="Times New Roman"/>
                                <w:color w:val="FFC000"/>
                                <w:sz w:val="18"/>
                                <w:szCs w:val="18"/>
                              </w:rPr>
                              <w:t xml:space="preserve"> </w:t>
                            </w:r>
                            <w:r>
                              <w:rPr>
                                <w:rFonts w:ascii="Times New Roman" w:hAnsi="Times New Roman" w:cs="Times New Roman"/>
                                <w:b/>
                                <w:i/>
                                <w:sz w:val="18"/>
                                <w:szCs w:val="18"/>
                              </w:rPr>
                              <w:t>–</w:t>
                            </w:r>
                            <w:r w:rsidRPr="00FF0902">
                              <w:rPr>
                                <w:rFonts w:ascii="Times New Roman" w:hAnsi="Times New Roman" w:cs="Times New Roman"/>
                                <w:b/>
                                <w:i/>
                                <w:sz w:val="18"/>
                                <w:szCs w:val="18"/>
                              </w:rPr>
                              <w:t xml:space="preserve"> </w:t>
                            </w:r>
                            <w:r w:rsidRPr="00FF0902">
                              <w:rPr>
                                <w:rFonts w:ascii="Times New Roman" w:hAnsi="Times New Roman" w:cs="Times New Roman"/>
                                <w:b/>
                                <w:color w:val="00B050"/>
                                <w:sz w:val="18"/>
                                <w:szCs w:val="18"/>
                              </w:rPr>
                              <w:t>S</w:t>
                            </w:r>
                            <w:r w:rsidRPr="00FF0902">
                              <w:rPr>
                                <w:rFonts w:ascii="Times New Roman" w:hAnsi="Times New Roman" w:cs="Times New Roman"/>
                                <w:color w:val="00B050"/>
                                <w:sz w:val="18"/>
                                <w:szCs w:val="18"/>
                              </w:rPr>
                              <w:t>olidarité</w:t>
                            </w:r>
                            <w:r>
                              <w:rPr>
                                <w:rFonts w:ascii="Times New Roman" w:hAnsi="Times New Roman" w:cs="Times New Roman"/>
                                <w:color w:val="00B05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50649" id="_x0000_t202" coordsize="21600,21600" o:spt="202" path="m,l,21600r21600,l21600,xe">
                <v:stroke joinstyle="miter"/>
                <v:path gradientshapeok="t" o:connecttype="rect"/>
              </v:shapetype>
              <v:shape id="Zone de texte 5" o:spid="_x0000_s1026" type="#_x0000_t202" style="position:absolute;left:0;text-align:left;margin-left:135.1pt;margin-top:-16.35pt;width:199.7pt;height:3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" o:allowincell="f" stroked="f">
                <v:textbox>
                  <w:txbxContent>
                    <w:p w14:paraId="0B8B8E30" w14:textId="77777777" w:rsidR="00FA3B3F" w:rsidRPr="00FF0902" w:rsidRDefault="00FA3B3F" w:rsidP="00FA3B3F">
                      <w:pPr>
                        <w:spacing w:after="0"/>
                        <w:jc w:val="center"/>
                        <w:rPr>
                          <w:rFonts w:ascii="Times New Roman" w:hAnsi="Times New Roman" w:cs="Times New Roman"/>
                          <w:b/>
                          <w:sz w:val="24"/>
                          <w:szCs w:val="24"/>
                        </w:rPr>
                      </w:pPr>
                      <w:r w:rsidRPr="00FF0902">
                        <w:rPr>
                          <w:rFonts w:ascii="Times New Roman" w:hAnsi="Times New Roman" w:cs="Times New Roman"/>
                          <w:b/>
                          <w:sz w:val="24"/>
                          <w:szCs w:val="24"/>
                        </w:rPr>
                        <w:t>REPUBLIQUE DE GUINEE</w:t>
                      </w:r>
                    </w:p>
                    <w:p w14:paraId="03DA87E1" w14:textId="77777777" w:rsidR="00FA3B3F" w:rsidRPr="00FF0902" w:rsidRDefault="00FA3B3F" w:rsidP="00FA3B3F">
                      <w:pPr>
                        <w:spacing w:after="0"/>
                        <w:jc w:val="center"/>
                        <w:rPr>
                          <w:rFonts w:ascii="Times New Roman" w:hAnsi="Times New Roman" w:cs="Times New Roman"/>
                          <w:b/>
                          <w:i/>
                          <w:sz w:val="18"/>
                          <w:szCs w:val="18"/>
                        </w:rPr>
                      </w:pPr>
                      <w:r w:rsidRPr="00FF0902">
                        <w:rPr>
                          <w:rFonts w:ascii="Times New Roman" w:hAnsi="Times New Roman" w:cs="Times New Roman"/>
                          <w:b/>
                          <w:color w:val="FF0000"/>
                          <w:sz w:val="18"/>
                          <w:szCs w:val="18"/>
                        </w:rPr>
                        <w:t>T</w:t>
                      </w:r>
                      <w:r w:rsidRPr="00FF0902">
                        <w:rPr>
                          <w:rFonts w:ascii="Times New Roman" w:hAnsi="Times New Roman" w:cs="Times New Roman"/>
                          <w:color w:val="FF0000"/>
                          <w:sz w:val="18"/>
                          <w:szCs w:val="18"/>
                        </w:rPr>
                        <w:t xml:space="preserve">ravail </w:t>
                      </w:r>
                      <w:r w:rsidRPr="00FF0902">
                        <w:rPr>
                          <w:rFonts w:ascii="Times New Roman" w:hAnsi="Times New Roman" w:cs="Times New Roman"/>
                          <w:b/>
                          <w:i/>
                          <w:sz w:val="18"/>
                          <w:szCs w:val="18"/>
                        </w:rPr>
                        <w:t xml:space="preserve">– </w:t>
                      </w:r>
                      <w:r w:rsidRPr="00FF0902">
                        <w:rPr>
                          <w:rFonts w:ascii="Times New Roman" w:hAnsi="Times New Roman" w:cs="Times New Roman"/>
                          <w:b/>
                          <w:color w:val="FFC000"/>
                          <w:sz w:val="18"/>
                          <w:szCs w:val="18"/>
                        </w:rPr>
                        <w:t>J</w:t>
                      </w:r>
                      <w:r w:rsidRPr="00FF0902">
                        <w:rPr>
                          <w:rFonts w:ascii="Times New Roman" w:hAnsi="Times New Roman" w:cs="Times New Roman"/>
                          <w:color w:val="FFC000"/>
                          <w:sz w:val="18"/>
                          <w:szCs w:val="18"/>
                        </w:rPr>
                        <w:t>ustice</w:t>
                      </w:r>
                      <w:r>
                        <w:rPr>
                          <w:rFonts w:ascii="Times New Roman" w:hAnsi="Times New Roman" w:cs="Times New Roman"/>
                          <w:color w:val="FFC000"/>
                          <w:sz w:val="18"/>
                          <w:szCs w:val="18"/>
                        </w:rPr>
                        <w:t xml:space="preserve"> </w:t>
                      </w:r>
                      <w:r>
                        <w:rPr>
                          <w:rFonts w:ascii="Times New Roman" w:hAnsi="Times New Roman" w:cs="Times New Roman"/>
                          <w:b/>
                          <w:i/>
                          <w:sz w:val="18"/>
                          <w:szCs w:val="18"/>
                        </w:rPr>
                        <w:t>–</w:t>
                      </w:r>
                      <w:r w:rsidRPr="00FF0902">
                        <w:rPr>
                          <w:rFonts w:ascii="Times New Roman" w:hAnsi="Times New Roman" w:cs="Times New Roman"/>
                          <w:b/>
                          <w:i/>
                          <w:sz w:val="18"/>
                          <w:szCs w:val="18"/>
                        </w:rPr>
                        <w:t xml:space="preserve"> </w:t>
                      </w:r>
                      <w:r w:rsidRPr="00FF0902">
                        <w:rPr>
                          <w:rFonts w:ascii="Times New Roman" w:hAnsi="Times New Roman" w:cs="Times New Roman"/>
                          <w:b/>
                          <w:color w:val="00B050"/>
                          <w:sz w:val="18"/>
                          <w:szCs w:val="18"/>
                        </w:rPr>
                        <w:t>S</w:t>
                      </w:r>
                      <w:r w:rsidRPr="00FF0902">
                        <w:rPr>
                          <w:rFonts w:ascii="Times New Roman" w:hAnsi="Times New Roman" w:cs="Times New Roman"/>
                          <w:color w:val="00B050"/>
                          <w:sz w:val="18"/>
                          <w:szCs w:val="18"/>
                        </w:rPr>
                        <w:t>olidarité</w:t>
                      </w:r>
                      <w:r>
                        <w:rPr>
                          <w:rFonts w:ascii="Times New Roman" w:hAnsi="Times New Roman" w:cs="Times New Roman"/>
                          <w:color w:val="00B050"/>
                          <w:sz w:val="18"/>
                          <w:szCs w:val="18"/>
                        </w:rPr>
                        <w:t xml:space="preserve"> </w:t>
                      </w:r>
                    </w:p>
                  </w:txbxContent>
                </v:textbox>
                <w10:wrap anchorx="margin"/>
              </v:shape>
            </w:pict>
          </mc:Fallback>
        </mc:AlternateContent>
      </w:r>
    </w:p>
    <w:p w14:paraId="51F67932" w14:textId="768A8A08" w:rsidR="00FA3B3F" w:rsidRPr="0015015D" w:rsidRDefault="0015015D" w:rsidP="00FA3B3F">
      <w:pPr>
        <w:spacing w:after="0"/>
        <w:jc w:val="both"/>
        <w:rPr>
          <w:rFonts w:ascii="Century Gothic" w:hAnsi="Century Gothic" w:cs="Times New Roman"/>
          <w:b/>
          <w:sz w:val="28"/>
          <w:szCs w:val="28"/>
          <w:u w:val="single"/>
        </w:rPr>
      </w:pPr>
      <w:r w:rsidRPr="0015015D">
        <w:rPr>
          <w:rFonts w:ascii="Century Gothic" w:hAnsi="Century Gothic"/>
          <w:noProof/>
        </w:rPr>
        <w:drawing>
          <wp:anchor distT="0" distB="0" distL="114300" distR="114300" simplePos="0" relativeHeight="251663360" behindDoc="0" locked="0" layoutInCell="1" allowOverlap="0" wp14:anchorId="3BDE53C3" wp14:editId="14BB7A40">
            <wp:simplePos x="0" y="0"/>
            <wp:positionH relativeFrom="margin">
              <wp:posOffset>2534285</wp:posOffset>
            </wp:positionH>
            <wp:positionV relativeFrom="paragraph">
              <wp:posOffset>38735</wp:posOffset>
            </wp:positionV>
            <wp:extent cx="833120" cy="826770"/>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12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44236" w14:textId="60A83CF7" w:rsidR="00FA3B3F" w:rsidRPr="0015015D" w:rsidRDefault="00FA3B3F" w:rsidP="00FA3B3F">
      <w:pPr>
        <w:jc w:val="both"/>
        <w:rPr>
          <w:rFonts w:ascii="Century Gothic" w:hAnsi="Century Gothic" w:cs="Times New Roman"/>
          <w:noProof/>
          <w:lang w:eastAsia="fr-FR"/>
        </w:rPr>
      </w:pPr>
    </w:p>
    <w:p w14:paraId="1C36994A" w14:textId="4C0F54FB" w:rsidR="00F13A9E" w:rsidRPr="0015015D" w:rsidRDefault="00F13A9E" w:rsidP="00243A09">
      <w:pPr>
        <w:spacing w:after="120"/>
        <w:jc w:val="both"/>
        <w:rPr>
          <w:rFonts w:ascii="Century Gothic" w:hAnsi="Century Gothic" w:cs="Times New Roman"/>
          <w:noProof/>
          <w:lang w:eastAsia="fr-FR"/>
        </w:rPr>
      </w:pPr>
    </w:p>
    <w:p w14:paraId="0DBD03A9" w14:textId="01144A25" w:rsidR="00FA3B3F" w:rsidRPr="00C874FA" w:rsidRDefault="00FA3B3F" w:rsidP="008E692B">
      <w:pPr>
        <w:spacing w:after="0"/>
        <w:jc w:val="both"/>
        <w:rPr>
          <w:rFonts w:ascii="Century Gothic" w:hAnsi="Century Gothic" w:cs="Times New Roman"/>
          <w:noProof/>
          <w:sz w:val="16"/>
          <w:lang w:eastAsia="fr-FR"/>
        </w:rPr>
      </w:pPr>
    </w:p>
    <w:p w14:paraId="292C788B" w14:textId="490F87F9" w:rsidR="00602A04" w:rsidRDefault="00602A04" w:rsidP="00626321">
      <w:pPr>
        <w:pStyle w:val="NormalWeb"/>
        <w:spacing w:before="120" w:beforeAutospacing="0" w:after="120" w:afterAutospacing="0"/>
        <w:jc w:val="center"/>
        <w:rPr>
          <w:rFonts w:ascii="Century Gothic" w:eastAsiaTheme="minorHAnsi" w:hAnsi="Century Gothic"/>
          <w:b/>
          <w:bCs/>
          <w:lang w:val="fr-FR"/>
        </w:rPr>
      </w:pPr>
      <w:r w:rsidRPr="0015015D">
        <w:rPr>
          <w:rFonts w:ascii="Century Gothic" w:eastAsiaTheme="minorHAnsi" w:hAnsi="Century Gothic"/>
          <w:b/>
          <w:bCs/>
          <w:lang w:val="fr-FR"/>
        </w:rPr>
        <w:t xml:space="preserve">Avis </w:t>
      </w:r>
      <w:r w:rsidR="00E65D46" w:rsidRPr="0015015D">
        <w:rPr>
          <w:rFonts w:ascii="Century Gothic" w:eastAsiaTheme="minorHAnsi" w:hAnsi="Century Gothic"/>
          <w:b/>
          <w:bCs/>
          <w:lang w:val="fr-FR"/>
        </w:rPr>
        <w:t>S</w:t>
      </w:r>
      <w:r w:rsidRPr="0015015D">
        <w:rPr>
          <w:rFonts w:ascii="Century Gothic" w:eastAsiaTheme="minorHAnsi" w:hAnsi="Century Gothic"/>
          <w:b/>
          <w:bCs/>
          <w:lang w:val="fr-FR"/>
        </w:rPr>
        <w:t>pécifique de Passation de Marché</w:t>
      </w:r>
    </w:p>
    <w:p w14:paraId="5AC8496E" w14:textId="02542E47" w:rsidR="0015015D" w:rsidRPr="0015015D" w:rsidRDefault="0015015D" w:rsidP="0015015D">
      <w:pPr>
        <w:spacing w:after="0" w:line="240" w:lineRule="auto"/>
        <w:rPr>
          <w:rFonts w:ascii="Century Gothic" w:hAnsi="Century Gothic" w:cs="Times New Roman"/>
          <w:b/>
          <w:sz w:val="24"/>
          <w:szCs w:val="24"/>
        </w:rPr>
      </w:pPr>
      <w:r>
        <w:rPr>
          <w:rFonts w:ascii="Century Gothic" w:hAnsi="Century Gothic" w:cs="Times New Roman"/>
          <w:b/>
          <w:sz w:val="24"/>
          <w:szCs w:val="24"/>
        </w:rPr>
        <w:t xml:space="preserve">                                   </w:t>
      </w:r>
      <w:r w:rsidRPr="0015015D">
        <w:rPr>
          <w:rFonts w:ascii="Century Gothic" w:hAnsi="Century Gothic" w:cs="Times New Roman"/>
          <w:b/>
          <w:sz w:val="24"/>
          <w:szCs w:val="24"/>
        </w:rPr>
        <w:t>AO</w:t>
      </w:r>
      <w:r w:rsidR="007D2DDC">
        <w:rPr>
          <w:rFonts w:ascii="Century Gothic" w:hAnsi="Century Gothic" w:cs="Times New Roman"/>
          <w:b/>
          <w:sz w:val="24"/>
          <w:szCs w:val="24"/>
        </w:rPr>
        <w:t>I</w:t>
      </w:r>
      <w:r w:rsidRPr="0015015D">
        <w:rPr>
          <w:rFonts w:ascii="Century Gothic" w:hAnsi="Century Gothic" w:cs="Times New Roman"/>
          <w:b/>
          <w:sz w:val="24"/>
          <w:szCs w:val="24"/>
        </w:rPr>
        <w:t> N° 01/MAGEL/PDRI-GKM/2023.</w:t>
      </w:r>
    </w:p>
    <w:p w14:paraId="269AA5A2" w14:textId="77777777" w:rsidR="0015015D" w:rsidRPr="00C874FA" w:rsidRDefault="0015015D" w:rsidP="0015015D">
      <w:pPr>
        <w:spacing w:after="0" w:line="240" w:lineRule="auto"/>
        <w:rPr>
          <w:rFonts w:ascii="Century Gothic" w:hAnsi="Century Gothic" w:cs="Times New Roman"/>
          <w:b/>
          <w:sz w:val="14"/>
          <w:szCs w:val="24"/>
        </w:rPr>
      </w:pPr>
    </w:p>
    <w:p w14:paraId="2A19351A" w14:textId="77777777" w:rsidR="00602A04" w:rsidRPr="0015015D" w:rsidRDefault="00602A04" w:rsidP="0015015D">
      <w:pPr>
        <w:pStyle w:val="NormalWeb"/>
        <w:spacing w:before="0" w:beforeAutospacing="0" w:after="0" w:afterAutospacing="0"/>
        <w:jc w:val="both"/>
        <w:rPr>
          <w:rFonts w:ascii="Century Gothic" w:eastAsiaTheme="minorHAnsi" w:hAnsi="Century Gothic"/>
          <w:lang w:val="fr-FR"/>
        </w:rPr>
      </w:pPr>
      <w:r w:rsidRPr="0015015D">
        <w:rPr>
          <w:rFonts w:ascii="Century Gothic" w:eastAsiaTheme="minorHAnsi" w:hAnsi="Century Gothic"/>
          <w:b/>
          <w:bCs/>
          <w:lang w:val="fr-FR"/>
        </w:rPr>
        <w:t>Nom du pays</w:t>
      </w:r>
      <w:r w:rsidRPr="0015015D">
        <w:rPr>
          <w:rFonts w:ascii="Century Gothic" w:eastAsiaTheme="minorHAnsi" w:hAnsi="Century Gothic"/>
          <w:lang w:val="fr-FR"/>
        </w:rPr>
        <w:t xml:space="preserve"> : République de Guinée</w:t>
      </w:r>
    </w:p>
    <w:p w14:paraId="241700A9" w14:textId="77777777" w:rsidR="00602A04" w:rsidRPr="0015015D" w:rsidRDefault="00602A04" w:rsidP="0015015D">
      <w:pPr>
        <w:pStyle w:val="NormalWeb"/>
        <w:spacing w:before="0" w:beforeAutospacing="0" w:after="0" w:afterAutospacing="0"/>
        <w:jc w:val="both"/>
        <w:rPr>
          <w:rFonts w:ascii="Century Gothic" w:eastAsiaTheme="minorHAnsi" w:hAnsi="Century Gothic"/>
          <w:lang w:val="fr-FR"/>
        </w:rPr>
      </w:pPr>
      <w:r w:rsidRPr="0015015D">
        <w:rPr>
          <w:rFonts w:ascii="Century Gothic" w:eastAsiaTheme="minorHAnsi" w:hAnsi="Century Gothic"/>
          <w:b/>
          <w:bCs/>
          <w:lang w:val="fr-FR"/>
        </w:rPr>
        <w:t>Nom du Projet</w:t>
      </w:r>
      <w:r w:rsidRPr="0015015D">
        <w:rPr>
          <w:rFonts w:ascii="Century Gothic" w:eastAsiaTheme="minorHAnsi" w:hAnsi="Century Gothic"/>
          <w:lang w:val="fr-FR"/>
        </w:rPr>
        <w:t> : Projet de Développement Rural Intégré Gaoual-Koundara-Mali (PDRI-GKM)</w:t>
      </w:r>
    </w:p>
    <w:p w14:paraId="2181218C" w14:textId="77777777" w:rsidR="00602A04" w:rsidRPr="0015015D" w:rsidRDefault="00602A04" w:rsidP="0015015D">
      <w:pPr>
        <w:pStyle w:val="NormalWeb"/>
        <w:spacing w:before="0" w:beforeAutospacing="0" w:after="0" w:afterAutospacing="0" w:line="360" w:lineRule="auto"/>
        <w:rPr>
          <w:rFonts w:ascii="Century Gothic" w:eastAsiaTheme="minorHAnsi" w:hAnsi="Century Gothic"/>
          <w:lang w:val="fr-FR"/>
        </w:rPr>
      </w:pPr>
      <w:r w:rsidRPr="0015015D">
        <w:rPr>
          <w:rFonts w:ascii="Century Gothic" w:eastAsiaTheme="minorHAnsi" w:hAnsi="Century Gothic"/>
          <w:b/>
          <w:bCs/>
          <w:lang w:val="fr-FR"/>
        </w:rPr>
        <w:t>Nom du Secteur</w:t>
      </w:r>
      <w:r w:rsidRPr="0015015D">
        <w:rPr>
          <w:rFonts w:ascii="Century Gothic" w:eastAsiaTheme="minorHAnsi" w:hAnsi="Century Gothic"/>
          <w:lang w:val="fr-FR"/>
        </w:rPr>
        <w:t> : Agriculture et Elevage</w:t>
      </w:r>
    </w:p>
    <w:p w14:paraId="71F0BCA4" w14:textId="4E9BD3AC" w:rsidR="00602A04" w:rsidRPr="0015015D" w:rsidRDefault="00602A04" w:rsidP="0015015D">
      <w:pPr>
        <w:pStyle w:val="NormalWeb"/>
        <w:spacing w:before="0" w:beforeAutospacing="0" w:after="0" w:afterAutospacing="0" w:line="360" w:lineRule="auto"/>
        <w:rPr>
          <w:rFonts w:ascii="Century Gothic" w:eastAsiaTheme="minorHAnsi" w:hAnsi="Century Gothic"/>
          <w:lang w:val="fr-FR"/>
        </w:rPr>
      </w:pPr>
      <w:r w:rsidRPr="0015015D">
        <w:rPr>
          <w:rFonts w:ascii="Century Gothic" w:eastAsiaTheme="minorHAnsi" w:hAnsi="Century Gothic"/>
          <w:b/>
          <w:bCs/>
          <w:lang w:val="fr-FR"/>
        </w:rPr>
        <w:t>Mode de financement</w:t>
      </w:r>
      <w:r w:rsidRPr="0015015D">
        <w:rPr>
          <w:rFonts w:ascii="Century Gothic" w:eastAsiaTheme="minorHAnsi" w:hAnsi="Century Gothic"/>
          <w:lang w:val="fr-FR"/>
        </w:rPr>
        <w:t> : Prêt Mise en Œuvr</w:t>
      </w:r>
      <w:r w:rsidR="008E692B" w:rsidRPr="0015015D">
        <w:rPr>
          <w:rFonts w:ascii="Century Gothic" w:eastAsiaTheme="minorHAnsi" w:hAnsi="Century Gothic"/>
          <w:lang w:val="fr-FR"/>
        </w:rPr>
        <w:t>e</w:t>
      </w:r>
      <w:r w:rsidRPr="0015015D">
        <w:rPr>
          <w:rFonts w:ascii="Century Gothic" w:eastAsiaTheme="minorHAnsi" w:hAnsi="Century Gothic"/>
          <w:lang w:val="fr-FR"/>
        </w:rPr>
        <w:t xml:space="preserve"> </w:t>
      </w:r>
    </w:p>
    <w:p w14:paraId="3B81D60A" w14:textId="0B00E493" w:rsidR="00602A04" w:rsidRPr="0015015D" w:rsidRDefault="00602A04" w:rsidP="0015015D">
      <w:pPr>
        <w:pStyle w:val="NormalWeb"/>
        <w:spacing w:before="0" w:beforeAutospacing="0" w:after="0" w:afterAutospacing="0" w:line="360" w:lineRule="auto"/>
        <w:rPr>
          <w:rFonts w:ascii="Century Gothic" w:eastAsiaTheme="minorHAnsi" w:hAnsi="Century Gothic"/>
          <w:lang w:val="fr-FR"/>
        </w:rPr>
      </w:pPr>
      <w:r w:rsidRPr="0015015D">
        <w:rPr>
          <w:rFonts w:ascii="Century Gothic" w:eastAsiaTheme="minorHAnsi" w:hAnsi="Century Gothic"/>
          <w:b/>
          <w:bCs/>
          <w:lang w:val="fr-FR"/>
        </w:rPr>
        <w:t>No du Financement</w:t>
      </w:r>
      <w:r w:rsidRPr="0015015D">
        <w:rPr>
          <w:rFonts w:ascii="Century Gothic" w:eastAsiaTheme="minorHAnsi" w:hAnsi="Century Gothic"/>
          <w:lang w:val="fr-FR"/>
        </w:rPr>
        <w:t> :</w:t>
      </w:r>
      <w:r w:rsidR="00083CA9" w:rsidRPr="0015015D">
        <w:rPr>
          <w:rFonts w:ascii="Century Gothic" w:eastAsiaTheme="minorHAnsi" w:hAnsi="Century Gothic"/>
          <w:lang w:val="fr-FR"/>
        </w:rPr>
        <w:t xml:space="preserve"> GIN </w:t>
      </w:r>
      <w:r w:rsidRPr="0015015D">
        <w:rPr>
          <w:rFonts w:ascii="Century Gothic" w:eastAsiaTheme="minorHAnsi" w:hAnsi="Century Gothic"/>
          <w:lang w:val="fr-FR"/>
        </w:rPr>
        <w:t>1004</w:t>
      </w:r>
    </w:p>
    <w:p w14:paraId="7EFD1E36" w14:textId="2A58D79B" w:rsidR="00602A04" w:rsidRPr="0015015D" w:rsidRDefault="00602A04" w:rsidP="00243A09">
      <w:pPr>
        <w:pStyle w:val="NormalWeb"/>
        <w:spacing w:before="0" w:beforeAutospacing="0" w:after="0" w:afterAutospacing="0" w:line="360" w:lineRule="auto"/>
        <w:jc w:val="both"/>
        <w:rPr>
          <w:rFonts w:ascii="Century Gothic" w:eastAsiaTheme="minorHAnsi" w:hAnsi="Century Gothic"/>
          <w:lang w:val="fr-FR"/>
        </w:rPr>
      </w:pPr>
      <w:r w:rsidRPr="0015015D">
        <w:rPr>
          <w:rFonts w:ascii="Century Gothic" w:eastAsiaTheme="minorHAnsi" w:hAnsi="Century Gothic"/>
          <w:b/>
          <w:bCs/>
          <w:lang w:val="fr-FR"/>
        </w:rPr>
        <w:t>Intitulé du Marché</w:t>
      </w:r>
      <w:r w:rsidRPr="0015015D">
        <w:rPr>
          <w:rFonts w:ascii="Century Gothic" w:eastAsiaTheme="minorHAnsi" w:hAnsi="Century Gothic"/>
          <w:lang w:val="fr-FR"/>
        </w:rPr>
        <w:t xml:space="preserve"> : Acquisition </w:t>
      </w:r>
      <w:r w:rsidR="00083CA9" w:rsidRPr="0015015D">
        <w:rPr>
          <w:rFonts w:ascii="Century Gothic" w:eastAsiaTheme="minorHAnsi" w:hAnsi="Century Gothic"/>
          <w:lang w:val="fr-FR"/>
        </w:rPr>
        <w:t>et fournitures des équipements post-récoltes</w:t>
      </w:r>
      <w:r w:rsidRPr="0015015D">
        <w:rPr>
          <w:rFonts w:ascii="Century Gothic" w:eastAsiaTheme="minorHAnsi" w:hAnsi="Century Gothic"/>
          <w:lang w:val="fr-FR"/>
        </w:rPr>
        <w:t>.</w:t>
      </w:r>
    </w:p>
    <w:p w14:paraId="528D9B5E" w14:textId="0C78AB68" w:rsidR="00FA3B3F" w:rsidRPr="00D84C2C" w:rsidRDefault="00FA3B3F" w:rsidP="00A3100C">
      <w:pPr>
        <w:pStyle w:val="ListParagraph"/>
        <w:numPr>
          <w:ilvl w:val="0"/>
          <w:numId w:val="1"/>
        </w:numPr>
        <w:spacing w:after="0" w:line="360" w:lineRule="auto"/>
        <w:ind w:left="567" w:hanging="567"/>
        <w:jc w:val="both"/>
        <w:rPr>
          <w:rFonts w:ascii="Century Gothic" w:hAnsi="Century Gothic" w:cs="Times New Roman"/>
          <w:szCs w:val="24"/>
        </w:rPr>
      </w:pPr>
      <w:r w:rsidRPr="00D84C2C">
        <w:rPr>
          <w:rFonts w:ascii="Century Gothic" w:hAnsi="Century Gothic" w:cs="Times New Roman"/>
          <w:szCs w:val="24"/>
        </w:rPr>
        <w:t>Le Gouvernement de la République de Guinée a reçu un prêt de la Banque Islamique de Dévelop</w:t>
      </w:r>
      <w:r w:rsidR="00C874FA" w:rsidRPr="00D84C2C">
        <w:rPr>
          <w:rFonts w:ascii="Century Gothic" w:hAnsi="Century Gothic"/>
          <w:b/>
          <w:noProof/>
          <w:sz w:val="20"/>
          <w:lang w:eastAsia="fr-FR"/>
        </w:rPr>
        <w:drawing>
          <wp:anchor distT="0" distB="0" distL="114300" distR="114300" simplePos="0" relativeHeight="251665408" behindDoc="1" locked="0" layoutInCell="0" allowOverlap="1" wp14:anchorId="0C5477B2" wp14:editId="1F80A302">
            <wp:simplePos x="0" y="0"/>
            <wp:positionH relativeFrom="margin">
              <wp:posOffset>0</wp:posOffset>
            </wp:positionH>
            <wp:positionV relativeFrom="margin">
              <wp:posOffset>3877310</wp:posOffset>
            </wp:positionV>
            <wp:extent cx="5716270" cy="313944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813980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5716270" cy="3139440"/>
                    </a:xfrm>
                    <a:prstGeom prst="rect">
                      <a:avLst/>
                    </a:prstGeom>
                    <a:noFill/>
                  </pic:spPr>
                </pic:pic>
              </a:graphicData>
            </a:graphic>
            <wp14:sizeRelH relativeFrom="page">
              <wp14:pctWidth>0</wp14:pctWidth>
            </wp14:sizeRelH>
            <wp14:sizeRelV relativeFrom="page">
              <wp14:pctHeight>0</wp14:pctHeight>
            </wp14:sizeRelV>
          </wp:anchor>
        </w:drawing>
      </w:r>
      <w:r w:rsidRPr="00D84C2C">
        <w:rPr>
          <w:rFonts w:ascii="Century Gothic" w:hAnsi="Century Gothic" w:cs="Times New Roman"/>
          <w:szCs w:val="24"/>
        </w:rPr>
        <w:t>pement (BID) sous le N° GI</w:t>
      </w:r>
      <w:r w:rsidR="00D81A65" w:rsidRPr="00D84C2C">
        <w:rPr>
          <w:rFonts w:ascii="Century Gothic" w:hAnsi="Century Gothic" w:cs="Times New Roman"/>
          <w:szCs w:val="24"/>
        </w:rPr>
        <w:t>N</w:t>
      </w:r>
      <w:r w:rsidRPr="00D84C2C">
        <w:rPr>
          <w:rFonts w:ascii="Century Gothic" w:hAnsi="Century Gothic" w:cs="Times New Roman"/>
          <w:szCs w:val="24"/>
        </w:rPr>
        <w:t>-1</w:t>
      </w:r>
      <w:r w:rsidR="00D81A65" w:rsidRPr="00D84C2C">
        <w:rPr>
          <w:rFonts w:ascii="Century Gothic" w:hAnsi="Century Gothic" w:cs="Times New Roman"/>
          <w:szCs w:val="24"/>
        </w:rPr>
        <w:t>004</w:t>
      </w:r>
      <w:r w:rsidRPr="00D84C2C">
        <w:rPr>
          <w:rFonts w:ascii="Century Gothic" w:hAnsi="Century Gothic" w:cs="Times New Roman"/>
          <w:szCs w:val="24"/>
        </w:rPr>
        <w:t xml:space="preserve">, pour financer le </w:t>
      </w:r>
      <w:r w:rsidR="00D81A65" w:rsidRPr="00D84C2C">
        <w:rPr>
          <w:rFonts w:ascii="Century Gothic" w:hAnsi="Century Gothic" w:cs="Times New Roman"/>
          <w:szCs w:val="24"/>
        </w:rPr>
        <w:t xml:space="preserve">Projet de Développement Rural Intégré Gaoual-Koundara-Mali </w:t>
      </w:r>
      <w:r w:rsidRPr="00D84C2C">
        <w:rPr>
          <w:rFonts w:ascii="Century Gothic" w:hAnsi="Century Gothic" w:cs="Times New Roman"/>
          <w:szCs w:val="24"/>
        </w:rPr>
        <w:t>dont la mise en œuvre est prévue dans l</w:t>
      </w:r>
      <w:r w:rsidR="00D81A65" w:rsidRPr="00D84C2C">
        <w:rPr>
          <w:rFonts w:ascii="Century Gothic" w:hAnsi="Century Gothic" w:cs="Times New Roman"/>
          <w:szCs w:val="24"/>
        </w:rPr>
        <w:t>es</w:t>
      </w:r>
      <w:r w:rsidRPr="00D84C2C">
        <w:rPr>
          <w:rFonts w:ascii="Century Gothic" w:hAnsi="Century Gothic" w:cs="Times New Roman"/>
          <w:szCs w:val="24"/>
        </w:rPr>
        <w:t xml:space="preserve"> </w:t>
      </w:r>
      <w:r w:rsidR="00D81A65" w:rsidRPr="00D84C2C">
        <w:rPr>
          <w:rFonts w:ascii="Century Gothic" w:hAnsi="Century Gothic" w:cs="Times New Roman"/>
          <w:szCs w:val="24"/>
        </w:rPr>
        <w:t>Préfectures de Gaoual – Koundara – Mali</w:t>
      </w:r>
      <w:r w:rsidRPr="00D84C2C">
        <w:rPr>
          <w:rFonts w:ascii="Century Gothic" w:hAnsi="Century Gothic" w:cs="Times New Roman"/>
          <w:szCs w:val="24"/>
        </w:rPr>
        <w:t xml:space="preserve">, et, a l’intention d’utiliser une partie de ce prêt pour effectuer des paiements au titre du Marché pour l’acquisition </w:t>
      </w:r>
      <w:r w:rsidR="00DE4832" w:rsidRPr="00D84C2C">
        <w:rPr>
          <w:rFonts w:ascii="Century Gothic" w:hAnsi="Century Gothic" w:cs="Times New Roman"/>
          <w:szCs w:val="24"/>
        </w:rPr>
        <w:t xml:space="preserve">et fournitures </w:t>
      </w:r>
      <w:r w:rsidRPr="00D84C2C">
        <w:rPr>
          <w:rFonts w:ascii="Century Gothic" w:hAnsi="Century Gothic" w:cs="Times New Roman"/>
          <w:szCs w:val="24"/>
        </w:rPr>
        <w:t>de</w:t>
      </w:r>
      <w:r w:rsidR="00CB792B" w:rsidRPr="00D84C2C">
        <w:rPr>
          <w:rFonts w:ascii="Century Gothic" w:hAnsi="Century Gothic" w:cs="Times New Roman"/>
          <w:szCs w:val="24"/>
        </w:rPr>
        <w:t>s équipements post-récoltes.</w:t>
      </w:r>
      <w:r w:rsidR="00023A34" w:rsidRPr="00D84C2C">
        <w:rPr>
          <w:rFonts w:ascii="Century Gothic" w:hAnsi="Century Gothic" w:cs="Times New Roman"/>
          <w:szCs w:val="24"/>
        </w:rPr>
        <w:t> </w:t>
      </w:r>
    </w:p>
    <w:p w14:paraId="1D8E419D" w14:textId="4770E2AD" w:rsidR="00FA3B3F" w:rsidRPr="00D84C2C" w:rsidRDefault="00FA3B3F" w:rsidP="00FA3B3F">
      <w:pPr>
        <w:pStyle w:val="ListParagraph"/>
        <w:numPr>
          <w:ilvl w:val="0"/>
          <w:numId w:val="1"/>
        </w:numPr>
        <w:spacing w:after="0" w:line="360" w:lineRule="auto"/>
        <w:jc w:val="both"/>
        <w:rPr>
          <w:rFonts w:ascii="Century Gothic" w:hAnsi="Century Gothic" w:cs="Times New Roman"/>
          <w:szCs w:val="24"/>
        </w:rPr>
      </w:pPr>
      <w:r w:rsidRPr="00D84C2C">
        <w:rPr>
          <w:rFonts w:ascii="Century Gothic" w:hAnsi="Century Gothic" w:cs="Times New Roman"/>
          <w:szCs w:val="24"/>
        </w:rPr>
        <w:t>Le Ministère de l’A</w:t>
      </w:r>
      <w:r w:rsidR="00DE4832" w:rsidRPr="00D84C2C">
        <w:rPr>
          <w:rFonts w:ascii="Century Gothic" w:hAnsi="Century Gothic" w:cs="Times New Roman"/>
          <w:szCs w:val="24"/>
        </w:rPr>
        <w:t xml:space="preserve">griculture et de l’Elevage </w:t>
      </w:r>
      <w:r w:rsidRPr="00D84C2C">
        <w:rPr>
          <w:rFonts w:ascii="Century Gothic" w:hAnsi="Century Gothic" w:cs="Times New Roman"/>
          <w:szCs w:val="24"/>
        </w:rPr>
        <w:t>sollicite des Offres fermées de la part des soumissionnaires éligibles et répondant aux qualifications requises pour f</w:t>
      </w:r>
      <w:r w:rsidR="00403DB2" w:rsidRPr="00D84C2C">
        <w:rPr>
          <w:rFonts w:ascii="Century Gothic" w:hAnsi="Century Gothic" w:cs="Times New Roman"/>
          <w:szCs w:val="24"/>
        </w:rPr>
        <w:t xml:space="preserve">ournir </w:t>
      </w:r>
      <w:r w:rsidR="00CB792B" w:rsidRPr="00D84C2C">
        <w:rPr>
          <w:rFonts w:ascii="Century Gothic" w:hAnsi="Century Gothic" w:cs="Times New Roman"/>
          <w:szCs w:val="24"/>
        </w:rPr>
        <w:t xml:space="preserve">des équipements post-récoltes </w:t>
      </w:r>
      <w:r w:rsidR="008E692B" w:rsidRPr="00D84C2C">
        <w:rPr>
          <w:rFonts w:ascii="Century Gothic" w:hAnsi="Century Gothic" w:cs="Times New Roman"/>
          <w:szCs w:val="24"/>
        </w:rPr>
        <w:t>(</w:t>
      </w:r>
      <w:r w:rsidR="00CB792B" w:rsidRPr="00D84C2C">
        <w:rPr>
          <w:rFonts w:ascii="Century Gothic" w:hAnsi="Century Gothic" w:cs="Times New Roman"/>
          <w:szCs w:val="24"/>
        </w:rPr>
        <w:t>07 Moissonneuses-Batteuses, 40 Moissonneuses Motorisées, 50 Bascules, 65 Motos Tricycles, 70 Egreneuses pour</w:t>
      </w:r>
      <w:r w:rsidR="007D2DDC">
        <w:rPr>
          <w:rFonts w:ascii="Century Gothic" w:hAnsi="Century Gothic" w:cs="Times New Roman"/>
          <w:szCs w:val="24"/>
        </w:rPr>
        <w:t xml:space="preserve"> </w:t>
      </w:r>
      <w:r w:rsidR="00CB792B" w:rsidRPr="00D84C2C">
        <w:rPr>
          <w:rFonts w:ascii="Century Gothic" w:hAnsi="Century Gothic" w:cs="Times New Roman"/>
          <w:szCs w:val="24"/>
        </w:rPr>
        <w:t xml:space="preserve">Maïs, 35 Moulins à Céréales, 45 Décortiqueuses </w:t>
      </w:r>
      <w:r w:rsidR="008E692B" w:rsidRPr="00D84C2C">
        <w:rPr>
          <w:rFonts w:ascii="Century Gothic" w:hAnsi="Century Gothic" w:cs="Times New Roman"/>
          <w:szCs w:val="24"/>
        </w:rPr>
        <w:t>d</w:t>
      </w:r>
      <w:r w:rsidR="00CB792B" w:rsidRPr="00D84C2C">
        <w:rPr>
          <w:rFonts w:ascii="Century Gothic" w:hAnsi="Century Gothic" w:cs="Times New Roman"/>
          <w:szCs w:val="24"/>
        </w:rPr>
        <w:t>'</w:t>
      </w:r>
      <w:r w:rsidR="008E692B" w:rsidRPr="00D84C2C">
        <w:rPr>
          <w:rFonts w:ascii="Century Gothic" w:hAnsi="Century Gothic" w:cs="Times New Roman"/>
          <w:szCs w:val="24"/>
        </w:rPr>
        <w:t>A</w:t>
      </w:r>
      <w:r w:rsidR="00CB792B" w:rsidRPr="00D84C2C">
        <w:rPr>
          <w:rFonts w:ascii="Century Gothic" w:hAnsi="Century Gothic" w:cs="Times New Roman"/>
          <w:szCs w:val="24"/>
        </w:rPr>
        <w:t>rachides, 45 Décortiqueuses de Riz, 400</w:t>
      </w:r>
      <w:r w:rsidR="00CB792B" w:rsidRPr="00D84C2C">
        <w:rPr>
          <w:rFonts w:ascii="Arial" w:hAnsi="Arial" w:cs="Arial"/>
          <w:szCs w:val="24"/>
        </w:rPr>
        <w:t> </w:t>
      </w:r>
      <w:r w:rsidR="00CB792B" w:rsidRPr="00D84C2C">
        <w:rPr>
          <w:rFonts w:ascii="Century Gothic" w:hAnsi="Century Gothic" w:cs="Times New Roman"/>
          <w:szCs w:val="24"/>
        </w:rPr>
        <w:t xml:space="preserve">000 Sacs de provision, 45 Machine </w:t>
      </w:r>
      <w:r w:rsidR="00CB792B" w:rsidRPr="00D84C2C">
        <w:rPr>
          <w:rFonts w:ascii="Century Gothic" w:hAnsi="Century Gothic" w:cs="Arial Narrow"/>
          <w:szCs w:val="24"/>
        </w:rPr>
        <w:t>à</w:t>
      </w:r>
      <w:r w:rsidR="00CB792B" w:rsidRPr="00D84C2C">
        <w:rPr>
          <w:rFonts w:ascii="Century Gothic" w:hAnsi="Century Gothic" w:cs="Times New Roman"/>
          <w:szCs w:val="24"/>
        </w:rPr>
        <w:t xml:space="preserve"> Coudre Manuelle pour Sac, 45 Presse Arachide, 230 B</w:t>
      </w:r>
      <w:r w:rsidR="00CB792B" w:rsidRPr="00D84C2C">
        <w:rPr>
          <w:rFonts w:ascii="Century Gothic" w:hAnsi="Century Gothic" w:cs="Arial Narrow"/>
          <w:szCs w:val="24"/>
        </w:rPr>
        <w:t>â</w:t>
      </w:r>
      <w:r w:rsidR="00CB792B" w:rsidRPr="00D84C2C">
        <w:rPr>
          <w:rFonts w:ascii="Century Gothic" w:hAnsi="Century Gothic" w:cs="Times New Roman"/>
          <w:szCs w:val="24"/>
        </w:rPr>
        <w:t>ches de S</w:t>
      </w:r>
      <w:r w:rsidR="00CB792B" w:rsidRPr="00D84C2C">
        <w:rPr>
          <w:rFonts w:ascii="Century Gothic" w:hAnsi="Century Gothic" w:cs="Arial Narrow"/>
          <w:szCs w:val="24"/>
        </w:rPr>
        <w:t>é</w:t>
      </w:r>
      <w:r w:rsidR="00CB792B" w:rsidRPr="00D84C2C">
        <w:rPr>
          <w:rFonts w:ascii="Century Gothic" w:hAnsi="Century Gothic" w:cs="Times New Roman"/>
          <w:szCs w:val="24"/>
        </w:rPr>
        <w:t xml:space="preserve">chage </w:t>
      </w:r>
      <w:r w:rsidR="00C500C5" w:rsidRPr="00D84C2C">
        <w:rPr>
          <w:rFonts w:ascii="Century Gothic" w:hAnsi="Century Gothic" w:cs="Times New Roman"/>
          <w:szCs w:val="24"/>
        </w:rPr>
        <w:t>pour un délai de livraison de deux (02) mois.</w:t>
      </w:r>
    </w:p>
    <w:p w14:paraId="58117572" w14:textId="77777777" w:rsidR="00403DB2" w:rsidRPr="00D84C2C" w:rsidRDefault="00FA3B3F" w:rsidP="00403DB2">
      <w:pPr>
        <w:pStyle w:val="ListParagraph"/>
        <w:numPr>
          <w:ilvl w:val="0"/>
          <w:numId w:val="1"/>
        </w:numPr>
        <w:spacing w:after="0" w:line="360" w:lineRule="auto"/>
        <w:jc w:val="both"/>
        <w:rPr>
          <w:rFonts w:ascii="Century Gothic" w:hAnsi="Century Gothic" w:cs="Times New Roman"/>
          <w:szCs w:val="24"/>
        </w:rPr>
      </w:pPr>
      <w:r w:rsidRPr="00D84C2C">
        <w:rPr>
          <w:rFonts w:ascii="Century Gothic" w:hAnsi="Century Gothic" w:cs="Times New Roman"/>
          <w:szCs w:val="24"/>
        </w:rPr>
        <w:t xml:space="preserve">La Passation du Marché sera conduite par Appel d’Offres </w:t>
      </w:r>
      <w:r w:rsidR="00DE4832" w:rsidRPr="00D84C2C">
        <w:rPr>
          <w:rFonts w:ascii="Century Gothic" w:hAnsi="Century Gothic" w:cs="Times New Roman"/>
          <w:szCs w:val="24"/>
        </w:rPr>
        <w:t>Intern</w:t>
      </w:r>
      <w:r w:rsidRPr="00D84C2C">
        <w:rPr>
          <w:rFonts w:ascii="Century Gothic" w:hAnsi="Century Gothic" w:cs="Times New Roman"/>
          <w:szCs w:val="24"/>
        </w:rPr>
        <w:t>ational (AO</w:t>
      </w:r>
      <w:r w:rsidR="00DE4832" w:rsidRPr="00D84C2C">
        <w:rPr>
          <w:rFonts w:ascii="Century Gothic" w:hAnsi="Century Gothic" w:cs="Times New Roman"/>
          <w:szCs w:val="24"/>
        </w:rPr>
        <w:t>I</w:t>
      </w:r>
      <w:r w:rsidRPr="00D84C2C">
        <w:rPr>
          <w:rFonts w:ascii="Century Gothic" w:hAnsi="Century Gothic" w:cs="Times New Roman"/>
          <w:szCs w:val="24"/>
        </w:rPr>
        <w:t xml:space="preserve">) tel que défini dans le dossier type d’Appel d’Offres pour l’Acquisition des Biens financés par la Banque Islamique de Développement Edition </w:t>
      </w:r>
      <w:r w:rsidR="00DE4832" w:rsidRPr="00D84C2C">
        <w:rPr>
          <w:rFonts w:ascii="Century Gothic" w:hAnsi="Century Gothic" w:cs="Times New Roman"/>
          <w:szCs w:val="24"/>
        </w:rPr>
        <w:t>Avril</w:t>
      </w:r>
      <w:r w:rsidRPr="00D84C2C">
        <w:rPr>
          <w:rFonts w:ascii="Century Gothic" w:hAnsi="Century Gothic" w:cs="Times New Roman"/>
          <w:szCs w:val="24"/>
        </w:rPr>
        <w:t xml:space="preserve"> 201</w:t>
      </w:r>
      <w:r w:rsidR="00DE4832" w:rsidRPr="00D84C2C">
        <w:rPr>
          <w:rFonts w:ascii="Century Gothic" w:hAnsi="Century Gothic" w:cs="Times New Roman"/>
          <w:szCs w:val="24"/>
        </w:rPr>
        <w:t>9</w:t>
      </w:r>
      <w:r w:rsidRPr="00D84C2C">
        <w:rPr>
          <w:rFonts w:ascii="Century Gothic" w:hAnsi="Century Gothic" w:cs="Times New Roman"/>
          <w:szCs w:val="24"/>
        </w:rPr>
        <w:t xml:space="preserve"> </w:t>
      </w:r>
      <w:r w:rsidR="00403DB2" w:rsidRPr="00D84C2C">
        <w:rPr>
          <w:rFonts w:ascii="Century Gothic" w:hAnsi="Century Gothic" w:cs="Times New Roman"/>
          <w:szCs w:val="24"/>
        </w:rPr>
        <w:t>(les « Directives »), les candidats éventuels sont également invités à prendre connaissance des clauses 1.18 à 1.21 de ces Directives  concernant les règles de la BID portant sur les conflits d’intérêt et ouvert à tous les soumissionnaires de pays éligibles aux Marchés financés par la BID.</w:t>
      </w:r>
    </w:p>
    <w:p w14:paraId="126844B2" w14:textId="2F617699" w:rsidR="00FA3B3F" w:rsidRPr="00D84C2C" w:rsidRDefault="00D84C2C" w:rsidP="00FA3B3F">
      <w:pPr>
        <w:pStyle w:val="ListParagraph"/>
        <w:numPr>
          <w:ilvl w:val="0"/>
          <w:numId w:val="1"/>
        </w:numPr>
        <w:spacing w:after="0" w:line="360" w:lineRule="auto"/>
        <w:jc w:val="both"/>
        <w:rPr>
          <w:rFonts w:ascii="Century Gothic" w:hAnsi="Century Gothic" w:cs="Times New Roman"/>
          <w:szCs w:val="24"/>
        </w:rPr>
      </w:pPr>
      <w:r w:rsidRPr="00D84C2C">
        <w:rPr>
          <w:rFonts w:ascii="Century Gothic" w:hAnsi="Century Gothic"/>
          <w:b/>
          <w:noProof/>
          <w:sz w:val="20"/>
          <w:lang w:eastAsia="fr-FR"/>
        </w:rPr>
        <w:lastRenderedPageBreak/>
        <w:drawing>
          <wp:anchor distT="0" distB="0" distL="114300" distR="114300" simplePos="0" relativeHeight="251669504" behindDoc="1" locked="0" layoutInCell="0" allowOverlap="1" wp14:anchorId="728E93CD" wp14:editId="7DB99BA3">
            <wp:simplePos x="0" y="0"/>
            <wp:positionH relativeFrom="margin">
              <wp:posOffset>358140</wp:posOffset>
            </wp:positionH>
            <wp:positionV relativeFrom="margin">
              <wp:posOffset>1416050</wp:posOffset>
            </wp:positionV>
            <wp:extent cx="5716270" cy="3139440"/>
            <wp:effectExtent l="0" t="0" r="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813980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5716270" cy="3139440"/>
                    </a:xfrm>
                    <a:prstGeom prst="rect">
                      <a:avLst/>
                    </a:prstGeom>
                    <a:noFill/>
                  </pic:spPr>
                </pic:pic>
              </a:graphicData>
            </a:graphic>
            <wp14:sizeRelH relativeFrom="page">
              <wp14:pctWidth>0</wp14:pctWidth>
            </wp14:sizeRelH>
            <wp14:sizeRelV relativeFrom="page">
              <wp14:pctHeight>0</wp14:pctHeight>
            </wp14:sizeRelV>
          </wp:anchor>
        </w:drawing>
      </w:r>
      <w:r w:rsidR="00FA3B3F" w:rsidRPr="00D84C2C">
        <w:rPr>
          <w:rFonts w:ascii="Century Gothic" w:hAnsi="Century Gothic" w:cs="Times New Roman"/>
          <w:szCs w:val="24"/>
        </w:rPr>
        <w:t xml:space="preserve">Les soumissionnaires éligibles et intéressés peuvent obtenir des informations auprès de l’Unité de Gestion du Projet et prendre connaissance du document d’Appel d’Offres au siège du Projet à l’adresse suivante : Projet </w:t>
      </w:r>
      <w:r w:rsidR="00DE4832" w:rsidRPr="00D84C2C">
        <w:rPr>
          <w:rFonts w:ascii="Century Gothic" w:hAnsi="Century Gothic" w:cs="Times New Roman"/>
          <w:szCs w:val="24"/>
        </w:rPr>
        <w:t xml:space="preserve">de Développement Rural Intégré Gaoual-Koundara-Mali </w:t>
      </w:r>
      <w:r w:rsidR="00961511" w:rsidRPr="00D84C2C">
        <w:rPr>
          <w:rFonts w:ascii="Century Gothic" w:hAnsi="Century Gothic" w:cs="Times New Roman"/>
          <w:szCs w:val="24"/>
        </w:rPr>
        <w:t xml:space="preserve">(PDRI-GKM) </w:t>
      </w:r>
      <w:r w:rsidR="00DE4832" w:rsidRPr="00D84C2C">
        <w:rPr>
          <w:rFonts w:ascii="Century Gothic" w:hAnsi="Century Gothic" w:cs="Times New Roman"/>
          <w:szCs w:val="24"/>
        </w:rPr>
        <w:t xml:space="preserve">à </w:t>
      </w:r>
      <w:proofErr w:type="spellStart"/>
      <w:r w:rsidR="00DE4832" w:rsidRPr="00D84C2C">
        <w:rPr>
          <w:rFonts w:ascii="Century Gothic" w:hAnsi="Century Gothic" w:cs="Times New Roman"/>
          <w:szCs w:val="24"/>
        </w:rPr>
        <w:t>Coléah</w:t>
      </w:r>
      <w:proofErr w:type="spellEnd"/>
      <w:r w:rsidR="00DE4832" w:rsidRPr="00D84C2C">
        <w:rPr>
          <w:rFonts w:ascii="Century Gothic" w:hAnsi="Century Gothic" w:cs="Times New Roman"/>
          <w:szCs w:val="24"/>
        </w:rPr>
        <w:t xml:space="preserve"> – </w:t>
      </w:r>
      <w:proofErr w:type="spellStart"/>
      <w:r w:rsidR="00DE4832" w:rsidRPr="00D84C2C">
        <w:rPr>
          <w:rFonts w:ascii="Century Gothic" w:hAnsi="Century Gothic" w:cs="Times New Roman"/>
          <w:szCs w:val="24"/>
        </w:rPr>
        <w:t>Lansébougny</w:t>
      </w:r>
      <w:proofErr w:type="spellEnd"/>
      <w:r w:rsidR="00DE4832" w:rsidRPr="00D84C2C">
        <w:rPr>
          <w:rFonts w:ascii="Century Gothic" w:hAnsi="Century Gothic" w:cs="Times New Roman"/>
          <w:szCs w:val="24"/>
        </w:rPr>
        <w:t xml:space="preserve"> </w:t>
      </w:r>
      <w:r w:rsidR="00FA3B3F" w:rsidRPr="00D84C2C">
        <w:rPr>
          <w:rFonts w:ascii="Century Gothic" w:hAnsi="Century Gothic" w:cs="Times New Roman"/>
          <w:szCs w:val="24"/>
        </w:rPr>
        <w:t>(</w:t>
      </w:r>
      <w:r w:rsidR="00DE4832" w:rsidRPr="00D84C2C">
        <w:rPr>
          <w:rFonts w:ascii="Century Gothic" w:hAnsi="Century Gothic" w:cs="Times New Roman"/>
          <w:szCs w:val="24"/>
        </w:rPr>
        <w:t>+224 621 75 75 55</w:t>
      </w:r>
      <w:r w:rsidR="00FA3B3F" w:rsidRPr="00D84C2C">
        <w:rPr>
          <w:rFonts w:ascii="Century Gothic" w:hAnsi="Century Gothic" w:cs="Times New Roman"/>
          <w:szCs w:val="24"/>
        </w:rPr>
        <w:t xml:space="preserve">) entre 09 heures et 16 heures GMT du Lundi au Vendredi.    </w:t>
      </w:r>
    </w:p>
    <w:p w14:paraId="452015A3" w14:textId="1D9C7F4B" w:rsidR="00FA3B3F" w:rsidRPr="00D84C2C" w:rsidRDefault="00FA3B3F" w:rsidP="00FA3B3F">
      <w:pPr>
        <w:pStyle w:val="ListParagraph"/>
        <w:numPr>
          <w:ilvl w:val="0"/>
          <w:numId w:val="1"/>
        </w:numPr>
        <w:spacing w:after="0" w:line="360" w:lineRule="auto"/>
        <w:jc w:val="both"/>
        <w:rPr>
          <w:rFonts w:ascii="Century Gothic" w:hAnsi="Century Gothic" w:cs="Times New Roman"/>
          <w:szCs w:val="24"/>
        </w:rPr>
      </w:pPr>
      <w:r w:rsidRPr="00D84C2C">
        <w:rPr>
          <w:rFonts w:ascii="Century Gothic" w:hAnsi="Century Gothic" w:cs="Times New Roman"/>
          <w:szCs w:val="24"/>
        </w:rPr>
        <w:t xml:space="preserve">Les Critères de qualification applicables aux soumissionnaires sont les suivants :   </w:t>
      </w:r>
    </w:p>
    <w:p w14:paraId="7AEAF829" w14:textId="7A32F268" w:rsidR="00FA3B3F" w:rsidRPr="00D84C2C" w:rsidRDefault="00FA3B3F" w:rsidP="00FA3B3F">
      <w:pPr>
        <w:pStyle w:val="ListParagraph"/>
        <w:numPr>
          <w:ilvl w:val="0"/>
          <w:numId w:val="2"/>
        </w:numPr>
        <w:spacing w:after="0" w:line="360" w:lineRule="auto"/>
        <w:jc w:val="both"/>
        <w:rPr>
          <w:rFonts w:ascii="Century Gothic" w:hAnsi="Century Gothic" w:cs="Times New Roman"/>
          <w:szCs w:val="24"/>
        </w:rPr>
      </w:pPr>
      <w:r w:rsidRPr="00D84C2C">
        <w:rPr>
          <w:rFonts w:ascii="Century Gothic" w:hAnsi="Century Gothic" w:cs="Times New Roman"/>
          <w:szCs w:val="24"/>
        </w:rPr>
        <w:t xml:space="preserve">Avoir réalisé en tant qu’entreprise principale, filiale ou agence agrée au moins deux (02) marchés similaires </w:t>
      </w:r>
      <w:r w:rsidR="00961511" w:rsidRPr="00D84C2C">
        <w:rPr>
          <w:rFonts w:ascii="Century Gothic" w:hAnsi="Century Gothic" w:cs="Times New Roman"/>
          <w:szCs w:val="24"/>
        </w:rPr>
        <w:t>au cours des sept (07) dernières années à compter de 2016 avec une valeur minimum de Vingt Milliards (20.000.000.000) francs guinéens qui a été exécuté de manière satisfaisante et terminé, pour l’essentiel et qui est similaire aux Biens et Services connexes proposés</w:t>
      </w:r>
      <w:r w:rsidRPr="00D84C2C">
        <w:rPr>
          <w:rFonts w:ascii="Century Gothic" w:hAnsi="Century Gothic" w:cs="Times New Roman"/>
          <w:szCs w:val="24"/>
        </w:rPr>
        <w:t>. A cet effet joindre à son offre la liste des marchés exécutés et copie de toute preuve (Attestation de bonne fin ou Procès-verbal de réception) montrant qu’il a exécuté les dits marchés.</w:t>
      </w:r>
    </w:p>
    <w:p w14:paraId="6D1D79A6" w14:textId="36036AE2" w:rsidR="00961511" w:rsidRPr="00D84C2C" w:rsidRDefault="00961511" w:rsidP="00FA3B3F">
      <w:pPr>
        <w:pStyle w:val="ListParagraph"/>
        <w:numPr>
          <w:ilvl w:val="0"/>
          <w:numId w:val="2"/>
        </w:numPr>
        <w:spacing w:after="0" w:line="360" w:lineRule="auto"/>
        <w:jc w:val="both"/>
        <w:rPr>
          <w:rFonts w:ascii="Century Gothic" w:hAnsi="Century Gothic" w:cs="Times New Roman"/>
          <w:szCs w:val="24"/>
        </w:rPr>
      </w:pPr>
      <w:r w:rsidRPr="00D84C2C">
        <w:rPr>
          <w:rFonts w:ascii="Century Gothic" w:hAnsi="Century Gothic" w:cs="Times New Roman"/>
          <w:szCs w:val="24"/>
        </w:rPr>
        <w:t xml:space="preserve">Avoir un minimum de chiffre d’affaires annuel moyen de </w:t>
      </w:r>
      <w:r w:rsidR="00403DB2" w:rsidRPr="00D84C2C">
        <w:rPr>
          <w:rFonts w:ascii="Century Gothic" w:hAnsi="Century Gothic" w:cs="Times New Roman"/>
          <w:szCs w:val="24"/>
        </w:rPr>
        <w:t>Vingt Deux</w:t>
      </w:r>
      <w:r w:rsidRPr="00D84C2C">
        <w:rPr>
          <w:rFonts w:ascii="Century Gothic" w:hAnsi="Century Gothic" w:cs="Times New Roman"/>
          <w:szCs w:val="24"/>
        </w:rPr>
        <w:t xml:space="preserve"> </w:t>
      </w:r>
      <w:r w:rsidR="00403DB2" w:rsidRPr="00D84C2C">
        <w:rPr>
          <w:rFonts w:ascii="Century Gothic" w:hAnsi="Century Gothic" w:cs="Times New Roman"/>
          <w:szCs w:val="24"/>
        </w:rPr>
        <w:t>M</w:t>
      </w:r>
      <w:r w:rsidRPr="00D84C2C">
        <w:rPr>
          <w:rFonts w:ascii="Century Gothic" w:hAnsi="Century Gothic" w:cs="Times New Roman"/>
          <w:szCs w:val="24"/>
        </w:rPr>
        <w:t xml:space="preserve">illiards </w:t>
      </w:r>
      <w:r w:rsidR="00403DB2" w:rsidRPr="00D84C2C">
        <w:rPr>
          <w:rFonts w:ascii="Century Gothic" w:hAnsi="Century Gothic" w:cs="Times New Roman"/>
          <w:szCs w:val="24"/>
        </w:rPr>
        <w:t xml:space="preserve">Deux Cent Millions </w:t>
      </w:r>
      <w:r w:rsidRPr="00D84C2C">
        <w:rPr>
          <w:rFonts w:ascii="Century Gothic" w:hAnsi="Century Gothic" w:cs="Times New Roman"/>
          <w:szCs w:val="24"/>
        </w:rPr>
        <w:t>(</w:t>
      </w:r>
      <w:r w:rsidR="00403DB2" w:rsidRPr="00D84C2C">
        <w:rPr>
          <w:rFonts w:ascii="Century Gothic" w:hAnsi="Century Gothic" w:cs="Times New Roman"/>
          <w:szCs w:val="24"/>
        </w:rPr>
        <w:t>22</w:t>
      </w:r>
      <w:r w:rsidR="005035A6" w:rsidRPr="00D84C2C">
        <w:rPr>
          <w:rFonts w:ascii="Century Gothic" w:hAnsi="Century Gothic" w:cs="Times New Roman"/>
          <w:szCs w:val="24"/>
        </w:rPr>
        <w:t>.</w:t>
      </w:r>
      <w:r w:rsidR="00403DB2" w:rsidRPr="00D84C2C">
        <w:rPr>
          <w:rFonts w:ascii="Century Gothic" w:hAnsi="Century Gothic" w:cs="Times New Roman"/>
          <w:szCs w:val="24"/>
        </w:rPr>
        <w:t>2</w:t>
      </w:r>
      <w:r w:rsidRPr="00D84C2C">
        <w:rPr>
          <w:rFonts w:ascii="Century Gothic" w:hAnsi="Century Gothic" w:cs="Times New Roman"/>
          <w:szCs w:val="24"/>
        </w:rPr>
        <w:t>00.000.000) francs guinéens qui correspond au total des paiements mandatés reçus pour les marchés en cours ou achevés au cours des trois (03) dernières années (2020, 2021 et 2022) et doit montrer qu’il a accès à des financements tels que des avoirs liquides, actifs immobiliers non utilisés, lignes de crédit, autres que l’avance de démarrage éventuelle à hauteur de Dix Milliards (10 000.000.000) francs guinéens.</w:t>
      </w:r>
    </w:p>
    <w:p w14:paraId="72B2EF56" w14:textId="5B9BF19F" w:rsidR="00760016" w:rsidRPr="00D84C2C" w:rsidRDefault="00760016" w:rsidP="00760016">
      <w:pPr>
        <w:pStyle w:val="ListParagraph"/>
        <w:numPr>
          <w:ilvl w:val="0"/>
          <w:numId w:val="2"/>
        </w:numPr>
        <w:spacing w:after="0" w:line="360" w:lineRule="auto"/>
        <w:jc w:val="both"/>
        <w:rPr>
          <w:rFonts w:ascii="Century Gothic" w:hAnsi="Century Gothic" w:cs="Times New Roman"/>
          <w:szCs w:val="24"/>
        </w:rPr>
      </w:pPr>
      <w:r w:rsidRPr="00D84C2C">
        <w:rPr>
          <w:rFonts w:ascii="Century Gothic" w:hAnsi="Century Gothic" w:cs="Times New Roman"/>
          <w:szCs w:val="24"/>
        </w:rPr>
        <w:t xml:space="preserve">Une Attestation de service </w:t>
      </w:r>
      <w:r w:rsidR="00961511" w:rsidRPr="00D84C2C">
        <w:rPr>
          <w:rFonts w:ascii="Century Gothic" w:hAnsi="Century Gothic" w:cs="Times New Roman"/>
          <w:szCs w:val="24"/>
        </w:rPr>
        <w:t>après-vente</w:t>
      </w:r>
      <w:r w:rsidRPr="00D84C2C">
        <w:rPr>
          <w:rFonts w:ascii="Century Gothic" w:hAnsi="Century Gothic" w:cs="Times New Roman"/>
          <w:szCs w:val="24"/>
        </w:rPr>
        <w:t xml:space="preserve"> avec un personnel ayant au moins trois (03) années d’expérience dans le domaine de la maintenance et de l’entretien du type de matériel proposé.</w:t>
      </w:r>
    </w:p>
    <w:p w14:paraId="5594AE5A" w14:textId="357F1F6B" w:rsidR="00FA3B3F" w:rsidRPr="00D84C2C" w:rsidRDefault="005035A6" w:rsidP="00FA3B3F">
      <w:pPr>
        <w:pStyle w:val="ListParagraph"/>
        <w:numPr>
          <w:ilvl w:val="0"/>
          <w:numId w:val="2"/>
        </w:numPr>
        <w:spacing w:after="0" w:line="360" w:lineRule="auto"/>
        <w:jc w:val="both"/>
        <w:rPr>
          <w:rFonts w:ascii="Century Gothic" w:hAnsi="Century Gothic" w:cs="Times New Roman"/>
          <w:szCs w:val="24"/>
        </w:rPr>
      </w:pPr>
      <w:r w:rsidRPr="00D84C2C">
        <w:rPr>
          <w:rFonts w:ascii="Century Gothic" w:hAnsi="Century Gothic" w:cs="Times New Roman"/>
          <w:szCs w:val="24"/>
        </w:rPr>
        <w:t>Être</w:t>
      </w:r>
      <w:r w:rsidR="00FA3B3F" w:rsidRPr="00D84C2C">
        <w:rPr>
          <w:rFonts w:ascii="Century Gothic" w:hAnsi="Century Gothic" w:cs="Times New Roman"/>
          <w:szCs w:val="24"/>
        </w:rPr>
        <w:t xml:space="preserve"> en règle avec l’Administration fiscale (Quitus fiscal, RCCM, Attestation de </w:t>
      </w:r>
      <w:r w:rsidR="00F13A9E" w:rsidRPr="00D84C2C">
        <w:rPr>
          <w:rFonts w:ascii="Century Gothic" w:hAnsi="Century Gothic" w:cs="Times New Roman"/>
          <w:szCs w:val="24"/>
        </w:rPr>
        <w:t>non-faillite</w:t>
      </w:r>
      <w:r w:rsidR="00FA3B3F" w:rsidRPr="00D84C2C">
        <w:rPr>
          <w:rFonts w:ascii="Century Gothic" w:hAnsi="Century Gothic" w:cs="Times New Roman"/>
          <w:szCs w:val="24"/>
        </w:rPr>
        <w:t>).</w:t>
      </w:r>
    </w:p>
    <w:p w14:paraId="43F19321" w14:textId="5A59EFE1" w:rsidR="00FA3B3F" w:rsidRPr="00D84C2C" w:rsidRDefault="00FA3B3F" w:rsidP="00FA3B3F">
      <w:pPr>
        <w:pStyle w:val="ListParagraph"/>
        <w:numPr>
          <w:ilvl w:val="0"/>
          <w:numId w:val="3"/>
        </w:numPr>
        <w:spacing w:after="0" w:line="360" w:lineRule="auto"/>
        <w:jc w:val="both"/>
        <w:rPr>
          <w:rFonts w:ascii="Century Gothic" w:hAnsi="Century Gothic" w:cs="Times New Roman"/>
          <w:szCs w:val="24"/>
        </w:rPr>
      </w:pPr>
      <w:r w:rsidRPr="00D84C2C">
        <w:rPr>
          <w:rFonts w:ascii="Century Gothic" w:hAnsi="Century Gothic" w:cs="Times New Roman"/>
          <w:szCs w:val="24"/>
        </w:rPr>
        <w:t>Les soumissionnaires intéressés peuvent obtenir le dossier d’Appel d’Offres complet en français au siège du Projet contre un paiement non remboursable d</w:t>
      </w:r>
      <w:r w:rsidR="00961511" w:rsidRPr="00D84C2C">
        <w:rPr>
          <w:rFonts w:ascii="Century Gothic" w:hAnsi="Century Gothic" w:cs="Times New Roman"/>
          <w:szCs w:val="24"/>
        </w:rPr>
        <w:t>’</w:t>
      </w:r>
      <w:r w:rsidRPr="00D84C2C">
        <w:rPr>
          <w:rFonts w:ascii="Century Gothic" w:hAnsi="Century Gothic" w:cs="Times New Roman"/>
          <w:szCs w:val="24"/>
        </w:rPr>
        <w:t xml:space="preserve">Un Million Cinq Cent Mille (1 500 000) </w:t>
      </w:r>
      <w:r w:rsidR="00961511" w:rsidRPr="00D84C2C">
        <w:rPr>
          <w:rFonts w:ascii="Century Gothic" w:hAnsi="Century Gothic" w:cs="Times New Roman"/>
          <w:szCs w:val="24"/>
        </w:rPr>
        <w:t xml:space="preserve">Francs Guinéens </w:t>
      </w:r>
      <w:r w:rsidRPr="00D84C2C">
        <w:rPr>
          <w:rFonts w:ascii="Century Gothic" w:hAnsi="Century Gothic" w:cs="Times New Roman"/>
          <w:szCs w:val="24"/>
        </w:rPr>
        <w:t xml:space="preserve">répartis comme suit : </w:t>
      </w:r>
    </w:p>
    <w:p w14:paraId="25A62A10" w14:textId="2D40D268" w:rsidR="00FA3B3F" w:rsidRPr="00D84C2C" w:rsidRDefault="00FA3B3F" w:rsidP="00FA3B3F">
      <w:pPr>
        <w:pStyle w:val="ListParagraph"/>
        <w:numPr>
          <w:ilvl w:val="0"/>
          <w:numId w:val="2"/>
        </w:numPr>
        <w:spacing w:after="0" w:line="360" w:lineRule="auto"/>
        <w:jc w:val="both"/>
        <w:rPr>
          <w:rFonts w:ascii="Century Gothic" w:hAnsi="Century Gothic" w:cs="Times New Roman"/>
          <w:szCs w:val="24"/>
        </w:rPr>
      </w:pPr>
      <w:r w:rsidRPr="00D84C2C">
        <w:rPr>
          <w:rFonts w:ascii="Century Gothic" w:hAnsi="Century Gothic" w:cs="Times New Roman"/>
          <w:szCs w:val="24"/>
        </w:rPr>
        <w:t>30% du montant seront versés au compte de l’Autorité de Régulation des Marchés Publics (ARMP) ouvert à la BCRG sous le N°</w:t>
      </w:r>
      <w:r w:rsidR="00961511" w:rsidRPr="00D84C2C">
        <w:rPr>
          <w:rFonts w:ascii="Century Gothic" w:hAnsi="Century Gothic" w:cs="Times New Roman"/>
          <w:szCs w:val="24"/>
        </w:rPr>
        <w:t xml:space="preserve"> : </w:t>
      </w:r>
      <w:r w:rsidRPr="00D84C2C">
        <w:rPr>
          <w:rFonts w:ascii="Century Gothic" w:hAnsi="Century Gothic" w:cs="Times New Roman"/>
          <w:szCs w:val="24"/>
        </w:rPr>
        <w:t>2011000307</w:t>
      </w:r>
      <w:r w:rsidR="00EE5445" w:rsidRPr="00D84C2C">
        <w:rPr>
          <w:rFonts w:ascii="Century Gothic" w:hAnsi="Century Gothic" w:cs="Times New Roman"/>
          <w:szCs w:val="24"/>
        </w:rPr>
        <w:t> ;</w:t>
      </w:r>
    </w:p>
    <w:p w14:paraId="6CE6E41B" w14:textId="3DD37B15" w:rsidR="00EE5445" w:rsidRPr="00D84C2C" w:rsidRDefault="00EE5445" w:rsidP="00EE5445">
      <w:pPr>
        <w:pStyle w:val="ListParagraph"/>
        <w:numPr>
          <w:ilvl w:val="0"/>
          <w:numId w:val="2"/>
        </w:numPr>
        <w:spacing w:after="0" w:line="360" w:lineRule="auto"/>
        <w:jc w:val="both"/>
        <w:rPr>
          <w:rFonts w:ascii="Century Gothic" w:hAnsi="Century Gothic" w:cs="Times New Roman"/>
          <w:szCs w:val="24"/>
        </w:rPr>
      </w:pPr>
      <w:r w:rsidRPr="00D84C2C">
        <w:rPr>
          <w:rFonts w:ascii="Century Gothic" w:hAnsi="Century Gothic" w:cs="Times New Roman"/>
          <w:szCs w:val="24"/>
        </w:rPr>
        <w:t>5</w:t>
      </w:r>
      <w:r w:rsidR="00FA3B3F" w:rsidRPr="00D84C2C">
        <w:rPr>
          <w:rFonts w:ascii="Century Gothic" w:hAnsi="Century Gothic" w:cs="Times New Roman"/>
          <w:szCs w:val="24"/>
        </w:rPr>
        <w:t>0% du montant seront versés au compte du Receveur Central du Trésor Public ouvert à la BCRG sous le N°</w:t>
      </w:r>
      <w:r w:rsidR="00961511" w:rsidRPr="00D84C2C">
        <w:rPr>
          <w:rFonts w:ascii="Century Gothic" w:hAnsi="Century Gothic" w:cs="Times New Roman"/>
          <w:szCs w:val="24"/>
        </w:rPr>
        <w:t xml:space="preserve"> : </w:t>
      </w:r>
      <w:r w:rsidR="00FA3B3F" w:rsidRPr="00D84C2C">
        <w:rPr>
          <w:rFonts w:ascii="Century Gothic" w:hAnsi="Century Gothic" w:cs="Times New Roman"/>
          <w:szCs w:val="24"/>
        </w:rPr>
        <w:t>4111071</w:t>
      </w:r>
      <w:r w:rsidRPr="00D84C2C">
        <w:rPr>
          <w:rFonts w:ascii="Century Gothic" w:hAnsi="Century Gothic" w:cs="Times New Roman"/>
          <w:szCs w:val="24"/>
        </w:rPr>
        <w:t xml:space="preserve"> et </w:t>
      </w:r>
    </w:p>
    <w:p w14:paraId="5110E6B3" w14:textId="171F37CE" w:rsidR="00EE5445" w:rsidRPr="00D84C2C" w:rsidRDefault="00D84C2C" w:rsidP="00EE5445">
      <w:pPr>
        <w:pStyle w:val="ListParagraph"/>
        <w:numPr>
          <w:ilvl w:val="0"/>
          <w:numId w:val="2"/>
        </w:numPr>
        <w:spacing w:after="0" w:line="360" w:lineRule="auto"/>
        <w:jc w:val="both"/>
        <w:rPr>
          <w:rFonts w:ascii="Century Gothic" w:hAnsi="Century Gothic" w:cs="Times New Roman"/>
          <w:szCs w:val="24"/>
        </w:rPr>
      </w:pPr>
      <w:r>
        <w:rPr>
          <w:rFonts w:ascii="Century Gothic" w:hAnsi="Century Gothic"/>
          <w:b/>
          <w:noProof/>
          <w:lang w:eastAsia="fr-FR"/>
        </w:rPr>
        <w:lastRenderedPageBreak/>
        <w:drawing>
          <wp:anchor distT="0" distB="0" distL="114300" distR="114300" simplePos="0" relativeHeight="251671552" behindDoc="1" locked="0" layoutInCell="0" allowOverlap="1" wp14:anchorId="3881372B" wp14:editId="2FFE9448">
            <wp:simplePos x="0" y="0"/>
            <wp:positionH relativeFrom="margin">
              <wp:posOffset>379095</wp:posOffset>
            </wp:positionH>
            <wp:positionV relativeFrom="margin">
              <wp:posOffset>128270</wp:posOffset>
            </wp:positionV>
            <wp:extent cx="5716270" cy="3139440"/>
            <wp:effectExtent l="0" t="0" r="0" b="381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813980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5716270" cy="3139440"/>
                    </a:xfrm>
                    <a:prstGeom prst="rect">
                      <a:avLst/>
                    </a:prstGeom>
                    <a:noFill/>
                  </pic:spPr>
                </pic:pic>
              </a:graphicData>
            </a:graphic>
            <wp14:sizeRelH relativeFrom="page">
              <wp14:pctWidth>0</wp14:pctWidth>
            </wp14:sizeRelH>
            <wp14:sizeRelV relativeFrom="page">
              <wp14:pctHeight>0</wp14:pctHeight>
            </wp14:sizeRelV>
          </wp:anchor>
        </w:drawing>
      </w:r>
      <w:r w:rsidR="00EE5445" w:rsidRPr="00D84C2C">
        <w:rPr>
          <w:rFonts w:ascii="Century Gothic" w:hAnsi="Century Gothic" w:cs="Times New Roman"/>
          <w:szCs w:val="24"/>
        </w:rPr>
        <w:t xml:space="preserve">20% au compte du </w:t>
      </w:r>
      <w:bookmarkStart w:id="0" w:name="_Hlk146183273"/>
      <w:r w:rsidR="00EE5445" w:rsidRPr="00D84C2C">
        <w:rPr>
          <w:rFonts w:ascii="Century Gothic" w:hAnsi="Century Gothic" w:cs="Times New Roman"/>
          <w:szCs w:val="24"/>
        </w:rPr>
        <w:t xml:space="preserve">Projet de Développement Rural Intégré Gaoual-Koundara-Mali </w:t>
      </w:r>
      <w:bookmarkEnd w:id="0"/>
      <w:r w:rsidR="00EE5445" w:rsidRPr="00D84C2C">
        <w:rPr>
          <w:rFonts w:ascii="Century Gothic" w:hAnsi="Century Gothic" w:cs="Times New Roman"/>
          <w:szCs w:val="24"/>
        </w:rPr>
        <w:t>payable en espèce. Le dossier d’appel d’offres sera adressé par Courriel et Version Papier.</w:t>
      </w:r>
    </w:p>
    <w:p w14:paraId="073C1E63" w14:textId="2241C288" w:rsidR="00957937" w:rsidRDefault="00957937" w:rsidP="00C874FA">
      <w:pPr>
        <w:pStyle w:val="ListParagraph"/>
        <w:numPr>
          <w:ilvl w:val="0"/>
          <w:numId w:val="3"/>
        </w:numPr>
        <w:spacing w:after="124" w:line="271" w:lineRule="auto"/>
        <w:jc w:val="both"/>
        <w:rPr>
          <w:rFonts w:ascii="Century Gothic" w:hAnsi="Century Gothic"/>
          <w:b/>
          <w:szCs w:val="24"/>
        </w:rPr>
      </w:pPr>
      <w:r w:rsidRPr="00D84C2C">
        <w:rPr>
          <w:rFonts w:ascii="Century Gothic" w:hAnsi="Century Gothic"/>
          <w:b/>
          <w:szCs w:val="24"/>
        </w:rPr>
        <w:t xml:space="preserve">Les entreprises intéressées doivent obligatoirement s’enregistrer en ligne sur la plate-forme à l’adresse de gestion des appels d’offres du Ministère de l’Agriculture et de l’Elevage à l’adresse </w:t>
      </w:r>
      <w:hyperlink r:id="rId9" w:history="1">
        <w:r w:rsidRPr="00D84C2C">
          <w:rPr>
            <w:rStyle w:val="Hyperlink"/>
            <w:rFonts w:ascii="Century Gothic" w:hAnsi="Century Gothic"/>
            <w:b/>
            <w:szCs w:val="24"/>
          </w:rPr>
          <w:t>https://magel.gov.gn</w:t>
        </w:r>
      </w:hyperlink>
      <w:r w:rsidRPr="00D84C2C">
        <w:rPr>
          <w:rFonts w:ascii="Century Gothic" w:hAnsi="Century Gothic"/>
          <w:b/>
          <w:szCs w:val="24"/>
        </w:rPr>
        <w:t>.</w:t>
      </w:r>
    </w:p>
    <w:p w14:paraId="05114B40" w14:textId="77777777" w:rsidR="00D84C2C" w:rsidRPr="00D84C2C" w:rsidRDefault="00D84C2C" w:rsidP="00D84C2C">
      <w:pPr>
        <w:pStyle w:val="ListParagraph"/>
        <w:spacing w:after="124" w:line="271" w:lineRule="auto"/>
        <w:jc w:val="both"/>
        <w:rPr>
          <w:rFonts w:ascii="Century Gothic" w:hAnsi="Century Gothic"/>
          <w:b/>
          <w:sz w:val="16"/>
          <w:szCs w:val="24"/>
        </w:rPr>
      </w:pPr>
    </w:p>
    <w:p w14:paraId="28667609" w14:textId="659DD536" w:rsidR="00957937" w:rsidRDefault="00957937" w:rsidP="00957937">
      <w:pPr>
        <w:pStyle w:val="ListParagraph"/>
        <w:numPr>
          <w:ilvl w:val="0"/>
          <w:numId w:val="4"/>
        </w:numPr>
        <w:spacing w:after="124" w:line="271" w:lineRule="auto"/>
        <w:jc w:val="both"/>
        <w:rPr>
          <w:rFonts w:ascii="Century Gothic" w:hAnsi="Century Gothic"/>
          <w:szCs w:val="24"/>
        </w:rPr>
      </w:pPr>
      <w:r w:rsidRPr="00D84C2C">
        <w:rPr>
          <w:rFonts w:ascii="Century Gothic" w:hAnsi="Century Gothic"/>
          <w:szCs w:val="24"/>
        </w:rPr>
        <w:t>Le dépôt physique est fait à l’adresse indiquée ci-dessous.</w:t>
      </w:r>
    </w:p>
    <w:p w14:paraId="7309541A" w14:textId="77777777" w:rsidR="00D84C2C" w:rsidRPr="00D84C2C" w:rsidRDefault="00D84C2C" w:rsidP="00D84C2C">
      <w:pPr>
        <w:pStyle w:val="ListParagraph"/>
        <w:spacing w:after="124" w:line="271" w:lineRule="auto"/>
        <w:jc w:val="both"/>
        <w:rPr>
          <w:rFonts w:ascii="Century Gothic" w:hAnsi="Century Gothic"/>
          <w:sz w:val="6"/>
          <w:szCs w:val="24"/>
        </w:rPr>
      </w:pPr>
    </w:p>
    <w:p w14:paraId="5FD33C45" w14:textId="77777777" w:rsidR="00957937" w:rsidRPr="00D84C2C" w:rsidRDefault="00957937" w:rsidP="00957937">
      <w:pPr>
        <w:pStyle w:val="ListParagraph"/>
        <w:spacing w:after="0" w:line="360" w:lineRule="auto"/>
        <w:jc w:val="both"/>
        <w:rPr>
          <w:rFonts w:ascii="Century Gothic" w:hAnsi="Century Gothic" w:cs="Times New Roman"/>
          <w:sz w:val="4"/>
          <w:szCs w:val="24"/>
        </w:rPr>
      </w:pPr>
    </w:p>
    <w:p w14:paraId="42D6941F" w14:textId="70E4DDD5" w:rsidR="00FA3B3F" w:rsidRPr="00D84C2C" w:rsidRDefault="00FA3B3F" w:rsidP="00957937">
      <w:pPr>
        <w:pStyle w:val="ListParagraph"/>
        <w:numPr>
          <w:ilvl w:val="0"/>
          <w:numId w:val="4"/>
        </w:numPr>
        <w:spacing w:after="0" w:line="360" w:lineRule="auto"/>
        <w:jc w:val="both"/>
        <w:rPr>
          <w:rFonts w:ascii="Century Gothic" w:hAnsi="Century Gothic" w:cs="Times New Roman"/>
          <w:szCs w:val="24"/>
        </w:rPr>
      </w:pPr>
      <w:r w:rsidRPr="00D84C2C">
        <w:rPr>
          <w:rFonts w:ascii="Century Gothic" w:hAnsi="Century Gothic" w:cs="Times New Roman"/>
          <w:szCs w:val="24"/>
        </w:rPr>
        <w:t xml:space="preserve">Les Offres devront être soumises </w:t>
      </w:r>
      <w:r w:rsidR="005035A6" w:rsidRPr="00D84C2C">
        <w:rPr>
          <w:rFonts w:ascii="Century Gothic" w:hAnsi="Century Gothic" w:cs="Times New Roman"/>
          <w:szCs w:val="24"/>
        </w:rPr>
        <w:t xml:space="preserve">au </w:t>
      </w:r>
      <w:r w:rsidR="00EE5445" w:rsidRPr="00D84C2C">
        <w:rPr>
          <w:rFonts w:ascii="Century Gothic" w:hAnsi="Century Gothic" w:cs="Times New Roman"/>
          <w:szCs w:val="24"/>
        </w:rPr>
        <w:t>Projet de Développement Rural Intégré Gaoual-Koundara-Mali</w:t>
      </w:r>
      <w:r w:rsidRPr="00D84C2C">
        <w:rPr>
          <w:rFonts w:ascii="Century Gothic" w:hAnsi="Century Gothic" w:cs="Times New Roman"/>
          <w:szCs w:val="24"/>
        </w:rPr>
        <w:t xml:space="preserve">, </w:t>
      </w:r>
      <w:r w:rsidR="00EE5445" w:rsidRPr="00D84C2C">
        <w:rPr>
          <w:rFonts w:ascii="Century Gothic" w:hAnsi="Century Gothic" w:cs="Times New Roman"/>
          <w:szCs w:val="24"/>
        </w:rPr>
        <w:t xml:space="preserve">sis à </w:t>
      </w:r>
      <w:proofErr w:type="spellStart"/>
      <w:r w:rsidR="00EE5445" w:rsidRPr="00D84C2C">
        <w:rPr>
          <w:rFonts w:ascii="Century Gothic" w:hAnsi="Century Gothic" w:cs="Times New Roman"/>
          <w:szCs w:val="24"/>
        </w:rPr>
        <w:t>Coléah</w:t>
      </w:r>
      <w:proofErr w:type="spellEnd"/>
      <w:r w:rsidR="00EE5445" w:rsidRPr="00D84C2C">
        <w:rPr>
          <w:rFonts w:ascii="Century Gothic" w:hAnsi="Century Gothic" w:cs="Times New Roman"/>
          <w:szCs w:val="24"/>
        </w:rPr>
        <w:t xml:space="preserve"> – </w:t>
      </w:r>
      <w:proofErr w:type="spellStart"/>
      <w:r w:rsidR="00EE5445" w:rsidRPr="00D84C2C">
        <w:rPr>
          <w:rFonts w:ascii="Century Gothic" w:hAnsi="Century Gothic" w:cs="Times New Roman"/>
          <w:szCs w:val="24"/>
        </w:rPr>
        <w:t>Lansébougny</w:t>
      </w:r>
      <w:proofErr w:type="spellEnd"/>
      <w:r w:rsidRPr="00D84C2C">
        <w:rPr>
          <w:rFonts w:ascii="Century Gothic" w:hAnsi="Century Gothic" w:cs="Times New Roman"/>
          <w:szCs w:val="24"/>
        </w:rPr>
        <w:t xml:space="preserve">, </w:t>
      </w:r>
      <w:r w:rsidR="005035A6" w:rsidRPr="00D84C2C">
        <w:rPr>
          <w:rFonts w:ascii="Century Gothic" w:hAnsi="Century Gothic" w:cs="Times New Roman"/>
          <w:szCs w:val="24"/>
        </w:rPr>
        <w:t>V</w:t>
      </w:r>
      <w:r w:rsidRPr="00D84C2C">
        <w:rPr>
          <w:rFonts w:ascii="Century Gothic" w:hAnsi="Century Gothic" w:cs="Times New Roman"/>
          <w:szCs w:val="24"/>
        </w:rPr>
        <w:t>ille de Co</w:t>
      </w:r>
      <w:r w:rsidR="006728C1" w:rsidRPr="00D84C2C">
        <w:rPr>
          <w:rFonts w:ascii="Century Gothic" w:hAnsi="Century Gothic" w:cs="Times New Roman"/>
          <w:szCs w:val="24"/>
        </w:rPr>
        <w:t xml:space="preserve">nakry au plus tard le </w:t>
      </w:r>
      <w:r w:rsidR="00E65D46" w:rsidRPr="00D84C2C">
        <w:rPr>
          <w:rFonts w:ascii="Century Gothic" w:hAnsi="Century Gothic" w:cs="Times New Roman"/>
          <w:b/>
          <w:i/>
          <w:iCs/>
          <w:szCs w:val="24"/>
        </w:rPr>
        <w:t>2</w:t>
      </w:r>
      <w:r w:rsidR="00C16E6B" w:rsidRPr="00D84C2C">
        <w:rPr>
          <w:rFonts w:ascii="Century Gothic" w:hAnsi="Century Gothic" w:cs="Times New Roman"/>
          <w:b/>
          <w:i/>
          <w:iCs/>
          <w:szCs w:val="24"/>
        </w:rPr>
        <w:t>0</w:t>
      </w:r>
      <w:r w:rsidR="005035A6" w:rsidRPr="00D84C2C">
        <w:rPr>
          <w:rFonts w:ascii="Century Gothic" w:hAnsi="Century Gothic" w:cs="Times New Roman"/>
          <w:b/>
          <w:i/>
          <w:iCs/>
          <w:szCs w:val="24"/>
        </w:rPr>
        <w:t xml:space="preserve"> Décembre</w:t>
      </w:r>
      <w:r w:rsidR="00EE5445" w:rsidRPr="00D84C2C">
        <w:rPr>
          <w:rFonts w:ascii="Century Gothic" w:hAnsi="Century Gothic" w:cs="Times New Roman"/>
          <w:b/>
          <w:i/>
          <w:iCs/>
          <w:szCs w:val="24"/>
        </w:rPr>
        <w:t xml:space="preserve"> </w:t>
      </w:r>
      <w:r w:rsidRPr="00D84C2C">
        <w:rPr>
          <w:rFonts w:ascii="Century Gothic" w:hAnsi="Century Gothic" w:cs="Times New Roman"/>
          <w:b/>
          <w:i/>
          <w:iCs/>
          <w:szCs w:val="24"/>
        </w:rPr>
        <w:t>20</w:t>
      </w:r>
      <w:r w:rsidR="00EE5445" w:rsidRPr="00D84C2C">
        <w:rPr>
          <w:rFonts w:ascii="Century Gothic" w:hAnsi="Century Gothic" w:cs="Times New Roman"/>
          <w:b/>
          <w:i/>
          <w:iCs/>
          <w:szCs w:val="24"/>
        </w:rPr>
        <w:t>23</w:t>
      </w:r>
      <w:r w:rsidRPr="00D84C2C">
        <w:rPr>
          <w:rFonts w:ascii="Century Gothic" w:hAnsi="Century Gothic" w:cs="Times New Roman"/>
          <w:b/>
          <w:i/>
          <w:iCs/>
          <w:szCs w:val="24"/>
        </w:rPr>
        <w:t xml:space="preserve"> à </w:t>
      </w:r>
      <w:r w:rsidR="00D1744D" w:rsidRPr="00D84C2C">
        <w:rPr>
          <w:rFonts w:ascii="Century Gothic" w:hAnsi="Century Gothic" w:cs="Times New Roman"/>
          <w:b/>
          <w:i/>
          <w:iCs/>
          <w:szCs w:val="24"/>
        </w:rPr>
        <w:t>10</w:t>
      </w:r>
      <w:r w:rsidRPr="00D84C2C">
        <w:rPr>
          <w:rFonts w:ascii="Century Gothic" w:hAnsi="Century Gothic" w:cs="Times New Roman"/>
          <w:b/>
          <w:i/>
          <w:iCs/>
          <w:szCs w:val="24"/>
        </w:rPr>
        <w:t xml:space="preserve"> heures</w:t>
      </w:r>
      <w:r w:rsidRPr="00D84C2C">
        <w:rPr>
          <w:rFonts w:ascii="Century Gothic" w:hAnsi="Century Gothic" w:cs="Times New Roman"/>
          <w:szCs w:val="24"/>
        </w:rPr>
        <w:t>. La soumission d</w:t>
      </w:r>
      <w:r w:rsidR="006728C1" w:rsidRPr="00D84C2C">
        <w:rPr>
          <w:rFonts w:ascii="Century Gothic" w:hAnsi="Century Gothic" w:cs="Times New Roman"/>
          <w:szCs w:val="24"/>
        </w:rPr>
        <w:t>es Offres par voie électronique</w:t>
      </w:r>
      <w:r w:rsidRPr="00D84C2C">
        <w:rPr>
          <w:rFonts w:ascii="Century Gothic" w:hAnsi="Century Gothic" w:cs="Times New Roman"/>
          <w:szCs w:val="24"/>
        </w:rPr>
        <w:t xml:space="preserve"> ne sera pas autorisée et les Offres remises en retard ne seront pas acceptées. L’ouverture des </w:t>
      </w:r>
      <w:r w:rsidR="00D1744D" w:rsidRPr="00D84C2C">
        <w:rPr>
          <w:rFonts w:ascii="Century Gothic" w:hAnsi="Century Gothic" w:cs="Times New Roman"/>
          <w:szCs w:val="24"/>
        </w:rPr>
        <w:t xml:space="preserve">plis aura lieu le même jour </w:t>
      </w:r>
      <w:r w:rsidR="005035A6" w:rsidRPr="00D84C2C">
        <w:rPr>
          <w:rFonts w:ascii="Century Gothic" w:hAnsi="Century Gothic" w:cs="Times New Roman"/>
          <w:b/>
          <w:i/>
          <w:iCs/>
          <w:szCs w:val="24"/>
        </w:rPr>
        <w:t xml:space="preserve">le </w:t>
      </w:r>
      <w:r w:rsidR="00E65D46" w:rsidRPr="00D84C2C">
        <w:rPr>
          <w:rFonts w:ascii="Century Gothic" w:hAnsi="Century Gothic" w:cs="Times New Roman"/>
          <w:b/>
          <w:i/>
          <w:iCs/>
          <w:szCs w:val="24"/>
        </w:rPr>
        <w:t>20</w:t>
      </w:r>
      <w:r w:rsidR="005035A6" w:rsidRPr="00D84C2C">
        <w:rPr>
          <w:rFonts w:ascii="Century Gothic" w:hAnsi="Century Gothic" w:cs="Times New Roman"/>
          <w:b/>
          <w:i/>
          <w:iCs/>
          <w:szCs w:val="24"/>
        </w:rPr>
        <w:t xml:space="preserve"> Décembre </w:t>
      </w:r>
      <w:r w:rsidR="00EE5445" w:rsidRPr="00D84C2C">
        <w:rPr>
          <w:rFonts w:ascii="Century Gothic" w:hAnsi="Century Gothic" w:cs="Times New Roman"/>
          <w:b/>
          <w:i/>
          <w:iCs/>
          <w:szCs w:val="24"/>
        </w:rPr>
        <w:t xml:space="preserve">2023 </w:t>
      </w:r>
      <w:r w:rsidR="005035A6" w:rsidRPr="00D84C2C">
        <w:rPr>
          <w:rFonts w:ascii="Century Gothic" w:hAnsi="Century Gothic" w:cs="Times New Roman"/>
          <w:b/>
          <w:i/>
          <w:iCs/>
          <w:szCs w:val="24"/>
        </w:rPr>
        <w:t xml:space="preserve">à </w:t>
      </w:r>
      <w:r w:rsidR="00D1744D" w:rsidRPr="00D84C2C">
        <w:rPr>
          <w:rFonts w:ascii="Century Gothic" w:hAnsi="Century Gothic" w:cs="Times New Roman"/>
          <w:b/>
          <w:bCs/>
          <w:i/>
          <w:iCs/>
          <w:szCs w:val="24"/>
        </w:rPr>
        <w:t>11</w:t>
      </w:r>
      <w:r w:rsidRPr="00D84C2C">
        <w:rPr>
          <w:rFonts w:ascii="Century Gothic" w:hAnsi="Century Gothic" w:cs="Times New Roman"/>
          <w:b/>
          <w:bCs/>
          <w:i/>
          <w:iCs/>
          <w:szCs w:val="24"/>
        </w:rPr>
        <w:t xml:space="preserve"> heures</w:t>
      </w:r>
      <w:r w:rsidRPr="00D84C2C">
        <w:rPr>
          <w:rFonts w:ascii="Century Gothic" w:hAnsi="Century Gothic" w:cs="Times New Roman"/>
          <w:szCs w:val="24"/>
        </w:rPr>
        <w:t xml:space="preserve"> en présence des représentants des soumissionnaires dans la salle de conférence </w:t>
      </w:r>
      <w:r w:rsidR="00EE5445" w:rsidRPr="00D84C2C">
        <w:rPr>
          <w:rFonts w:ascii="Century Gothic" w:hAnsi="Century Gothic" w:cs="Times New Roman"/>
          <w:szCs w:val="24"/>
        </w:rPr>
        <w:t>du Projet</w:t>
      </w:r>
      <w:r w:rsidRPr="00D84C2C">
        <w:rPr>
          <w:rFonts w:ascii="Century Gothic" w:hAnsi="Century Gothic" w:cs="Times New Roman"/>
          <w:szCs w:val="24"/>
        </w:rPr>
        <w:t xml:space="preserve">. </w:t>
      </w:r>
      <w:r w:rsidRPr="00D84C2C">
        <w:rPr>
          <w:rFonts w:ascii="Century Gothic" w:hAnsi="Century Gothic" w:cs="Times New Roman"/>
          <w:b/>
          <w:szCs w:val="24"/>
        </w:rPr>
        <w:t xml:space="preserve">Les Offres doivent être accompagnées d’une Garantie de soumission d’un montant équivalant </w:t>
      </w:r>
      <w:r w:rsidR="00EE5445" w:rsidRPr="00D84C2C">
        <w:rPr>
          <w:rFonts w:ascii="Century Gothic" w:hAnsi="Century Gothic" w:cs="Times New Roman"/>
          <w:b/>
          <w:szCs w:val="24"/>
        </w:rPr>
        <w:t>à Trois Cent Millions (300 000 000)</w:t>
      </w:r>
      <w:r w:rsidR="00C874FA" w:rsidRPr="00D84C2C">
        <w:rPr>
          <w:rFonts w:ascii="Century Gothic" w:hAnsi="Century Gothic" w:cs="Times New Roman"/>
          <w:b/>
          <w:szCs w:val="24"/>
        </w:rPr>
        <w:t xml:space="preserve"> francs guinéens pour un délai de validité de 30 jours après l’expiration de la validité de l’offre.</w:t>
      </w:r>
      <w:r w:rsidRPr="00D84C2C">
        <w:rPr>
          <w:rFonts w:ascii="Century Gothic" w:hAnsi="Century Gothic" w:cs="Times New Roman"/>
          <w:szCs w:val="24"/>
        </w:rPr>
        <w:t xml:space="preserve">   </w:t>
      </w:r>
    </w:p>
    <w:p w14:paraId="3CFD3205" w14:textId="24AD6D63" w:rsidR="00FA3B3F" w:rsidRPr="00D84C2C" w:rsidRDefault="00FA3B3F" w:rsidP="00957937">
      <w:pPr>
        <w:pStyle w:val="ListParagraph"/>
        <w:numPr>
          <w:ilvl w:val="0"/>
          <w:numId w:val="4"/>
        </w:numPr>
        <w:spacing w:after="0" w:line="360" w:lineRule="auto"/>
        <w:jc w:val="both"/>
        <w:rPr>
          <w:rFonts w:ascii="Century Gothic" w:hAnsi="Century Gothic" w:cs="Times New Roman"/>
          <w:szCs w:val="24"/>
        </w:rPr>
      </w:pPr>
      <w:r w:rsidRPr="00D84C2C">
        <w:rPr>
          <w:rFonts w:ascii="Century Gothic" w:hAnsi="Century Gothic" w:cs="Times New Roman"/>
          <w:szCs w:val="24"/>
        </w:rPr>
        <w:t xml:space="preserve">La période de validité des Offres est de </w:t>
      </w:r>
      <w:r w:rsidR="006F7B12" w:rsidRPr="00D84C2C">
        <w:rPr>
          <w:rFonts w:ascii="Century Gothic" w:hAnsi="Century Gothic" w:cs="Times New Roman"/>
          <w:szCs w:val="24"/>
        </w:rPr>
        <w:t xml:space="preserve">Cent Vingt </w:t>
      </w:r>
      <w:r w:rsidRPr="00D84C2C">
        <w:rPr>
          <w:rFonts w:ascii="Century Gothic" w:hAnsi="Century Gothic" w:cs="Times New Roman"/>
          <w:szCs w:val="24"/>
        </w:rPr>
        <w:t>(</w:t>
      </w:r>
      <w:r w:rsidR="006F7B12" w:rsidRPr="00D84C2C">
        <w:rPr>
          <w:rFonts w:ascii="Century Gothic" w:hAnsi="Century Gothic" w:cs="Times New Roman"/>
          <w:szCs w:val="24"/>
        </w:rPr>
        <w:t>12</w:t>
      </w:r>
      <w:r w:rsidRPr="00D84C2C">
        <w:rPr>
          <w:rFonts w:ascii="Century Gothic" w:hAnsi="Century Gothic" w:cs="Times New Roman"/>
          <w:szCs w:val="24"/>
        </w:rPr>
        <w:t xml:space="preserve">0) Jours à compter de la date limite de soumission. </w:t>
      </w:r>
    </w:p>
    <w:p w14:paraId="5E16E6DB" w14:textId="77777777" w:rsidR="00EB74EB" w:rsidRDefault="00EB74EB" w:rsidP="00F13A9E">
      <w:pPr>
        <w:spacing w:after="0" w:line="360" w:lineRule="auto"/>
        <w:jc w:val="right"/>
        <w:rPr>
          <w:rFonts w:ascii="Century Gothic" w:hAnsi="Century Gothic" w:cs="Times New Roman"/>
          <w:szCs w:val="24"/>
        </w:rPr>
      </w:pPr>
    </w:p>
    <w:p w14:paraId="0EE81F38" w14:textId="67CA7C7E" w:rsidR="00FA3B3F" w:rsidRPr="00D84C2C" w:rsidRDefault="00FA3B3F" w:rsidP="00F13A9E">
      <w:pPr>
        <w:spacing w:after="0" w:line="360" w:lineRule="auto"/>
        <w:jc w:val="right"/>
        <w:rPr>
          <w:rFonts w:ascii="Century Gothic" w:hAnsi="Century Gothic" w:cs="Times New Roman"/>
          <w:szCs w:val="24"/>
        </w:rPr>
      </w:pPr>
      <w:r w:rsidRPr="00D84C2C">
        <w:rPr>
          <w:rFonts w:ascii="Century Gothic" w:hAnsi="Century Gothic" w:cs="Times New Roman"/>
          <w:szCs w:val="24"/>
        </w:rPr>
        <w:t xml:space="preserve"> </w:t>
      </w:r>
      <w:r w:rsidR="00D1744D" w:rsidRPr="00D84C2C">
        <w:rPr>
          <w:rFonts w:ascii="Century Gothic" w:hAnsi="Century Gothic" w:cs="Times New Roman"/>
          <w:szCs w:val="24"/>
        </w:rPr>
        <w:t xml:space="preserve">Conakry le </w:t>
      </w:r>
      <w:r w:rsidR="005035A6" w:rsidRPr="00D84C2C">
        <w:rPr>
          <w:rFonts w:ascii="Century Gothic" w:hAnsi="Century Gothic" w:cs="Times New Roman"/>
          <w:szCs w:val="24"/>
        </w:rPr>
        <w:t>1</w:t>
      </w:r>
      <w:r w:rsidR="00EB74EB">
        <w:rPr>
          <w:rFonts w:ascii="Century Gothic" w:hAnsi="Century Gothic" w:cs="Times New Roman"/>
          <w:szCs w:val="24"/>
        </w:rPr>
        <w:t>6</w:t>
      </w:r>
      <w:r w:rsidR="00403DB2" w:rsidRPr="00D84C2C">
        <w:rPr>
          <w:rFonts w:ascii="Century Gothic" w:hAnsi="Century Gothic" w:cs="Times New Roman"/>
          <w:szCs w:val="24"/>
        </w:rPr>
        <w:t xml:space="preserve"> Novembre</w:t>
      </w:r>
      <w:r w:rsidRPr="00D84C2C">
        <w:rPr>
          <w:rFonts w:ascii="Century Gothic" w:hAnsi="Century Gothic" w:cs="Times New Roman"/>
          <w:szCs w:val="24"/>
        </w:rPr>
        <w:t xml:space="preserve"> 20</w:t>
      </w:r>
      <w:r w:rsidR="006F7B12" w:rsidRPr="00D84C2C">
        <w:rPr>
          <w:rFonts w:ascii="Century Gothic" w:hAnsi="Century Gothic" w:cs="Times New Roman"/>
          <w:szCs w:val="24"/>
        </w:rPr>
        <w:t>23</w:t>
      </w:r>
    </w:p>
    <w:p w14:paraId="6A2959A4" w14:textId="77777777" w:rsidR="00D84C2C" w:rsidRDefault="00FF4DD5" w:rsidP="00FF4DD5">
      <w:pPr>
        <w:spacing w:after="0"/>
        <w:jc w:val="center"/>
        <w:rPr>
          <w:rFonts w:ascii="Century Gothic" w:hAnsi="Century Gothic" w:cs="Times New Roman"/>
          <w:szCs w:val="24"/>
        </w:rPr>
      </w:pPr>
      <w:r w:rsidRPr="00D84C2C">
        <w:rPr>
          <w:rFonts w:ascii="Century Gothic" w:hAnsi="Century Gothic" w:cs="Times New Roman"/>
          <w:szCs w:val="24"/>
        </w:rPr>
        <w:t xml:space="preserve">                               </w:t>
      </w:r>
      <w:r w:rsidR="0015015D" w:rsidRPr="00D84C2C">
        <w:rPr>
          <w:rFonts w:ascii="Century Gothic" w:hAnsi="Century Gothic" w:cs="Times New Roman"/>
          <w:szCs w:val="24"/>
        </w:rPr>
        <w:t xml:space="preserve">  </w:t>
      </w:r>
      <w:r w:rsidR="00D84C2C">
        <w:rPr>
          <w:rFonts w:ascii="Century Gothic" w:hAnsi="Century Gothic" w:cs="Times New Roman"/>
          <w:szCs w:val="24"/>
        </w:rPr>
        <w:t xml:space="preserve">                         </w:t>
      </w:r>
    </w:p>
    <w:p w14:paraId="4A17BCCB" w14:textId="2581B6D0" w:rsidR="00FA3B3F" w:rsidRPr="00D84C2C" w:rsidRDefault="00D84C2C" w:rsidP="00FF4DD5">
      <w:pPr>
        <w:spacing w:after="0"/>
        <w:jc w:val="center"/>
        <w:rPr>
          <w:rFonts w:ascii="Century Gothic" w:hAnsi="Century Gothic" w:cs="Times New Roman"/>
          <w:sz w:val="24"/>
          <w:szCs w:val="28"/>
        </w:rPr>
      </w:pPr>
      <w:r>
        <w:rPr>
          <w:rFonts w:ascii="Century Gothic" w:hAnsi="Century Gothic" w:cs="Times New Roman"/>
          <w:szCs w:val="24"/>
        </w:rPr>
        <w:t xml:space="preserve">                                                           </w:t>
      </w:r>
      <w:r w:rsidR="00FA3B3F" w:rsidRPr="00D84C2C">
        <w:rPr>
          <w:rFonts w:ascii="Century Gothic" w:hAnsi="Century Gothic" w:cs="Times New Roman"/>
          <w:szCs w:val="24"/>
        </w:rPr>
        <w:t xml:space="preserve">Le </w:t>
      </w:r>
      <w:r w:rsidR="00EB74EB">
        <w:rPr>
          <w:rFonts w:ascii="Century Gothic" w:hAnsi="Century Gothic" w:cs="Times New Roman"/>
          <w:szCs w:val="24"/>
        </w:rPr>
        <w:t>Coordonnateur du Projet</w:t>
      </w:r>
    </w:p>
    <w:p w14:paraId="7FA272B0" w14:textId="77777777" w:rsidR="00626321" w:rsidRPr="0015015D" w:rsidRDefault="00626321" w:rsidP="00FF4DD5">
      <w:pPr>
        <w:spacing w:after="0"/>
        <w:jc w:val="center"/>
        <w:rPr>
          <w:rFonts w:ascii="Century Gothic" w:hAnsi="Century Gothic" w:cs="Times New Roman"/>
          <w:sz w:val="28"/>
          <w:szCs w:val="28"/>
        </w:rPr>
      </w:pPr>
    </w:p>
    <w:p w14:paraId="40B5539C" w14:textId="2A94EFED" w:rsidR="00626321" w:rsidRDefault="00626321" w:rsidP="0015015D">
      <w:pPr>
        <w:spacing w:after="0"/>
        <w:rPr>
          <w:rFonts w:ascii="Century Gothic" w:hAnsi="Century Gothic" w:cs="Times New Roman"/>
          <w:sz w:val="28"/>
          <w:szCs w:val="28"/>
        </w:rPr>
      </w:pPr>
    </w:p>
    <w:p w14:paraId="28A378C4" w14:textId="77777777" w:rsidR="00EB74EB" w:rsidRDefault="00EB74EB" w:rsidP="0015015D">
      <w:pPr>
        <w:spacing w:after="0"/>
        <w:rPr>
          <w:rFonts w:ascii="Century Gothic" w:hAnsi="Century Gothic" w:cs="Times New Roman"/>
          <w:sz w:val="28"/>
          <w:szCs w:val="28"/>
        </w:rPr>
      </w:pPr>
    </w:p>
    <w:p w14:paraId="00DADFDB" w14:textId="77777777" w:rsidR="00EB74EB" w:rsidRPr="0015015D" w:rsidRDefault="00EB74EB" w:rsidP="0015015D">
      <w:pPr>
        <w:spacing w:after="0"/>
        <w:rPr>
          <w:rFonts w:ascii="Century Gothic" w:hAnsi="Century Gothic" w:cs="Times New Roman"/>
          <w:sz w:val="28"/>
          <w:szCs w:val="28"/>
        </w:rPr>
      </w:pPr>
    </w:p>
    <w:p w14:paraId="71CCE44A" w14:textId="77777777" w:rsidR="00626321" w:rsidRPr="0015015D" w:rsidRDefault="00626321" w:rsidP="00FF4DD5">
      <w:pPr>
        <w:spacing w:after="0"/>
        <w:jc w:val="center"/>
        <w:rPr>
          <w:rFonts w:ascii="Century Gothic" w:hAnsi="Century Gothic" w:cs="Times New Roman"/>
          <w:sz w:val="28"/>
          <w:szCs w:val="28"/>
        </w:rPr>
      </w:pPr>
    </w:p>
    <w:p w14:paraId="11B22814" w14:textId="06433DA1" w:rsidR="00FA3B3F" w:rsidRPr="0015015D" w:rsidRDefault="00FA3B3F" w:rsidP="00FA3B3F">
      <w:pPr>
        <w:spacing w:after="0"/>
        <w:jc w:val="center"/>
        <w:rPr>
          <w:rFonts w:ascii="Century Gothic" w:hAnsi="Century Gothic" w:cs="Times New Roman"/>
          <w:b/>
          <w:sz w:val="28"/>
          <w:szCs w:val="28"/>
        </w:rPr>
      </w:pPr>
      <w:r w:rsidRPr="0015015D">
        <w:rPr>
          <w:rFonts w:ascii="Century Gothic" w:hAnsi="Century Gothic" w:cs="Times New Roman"/>
          <w:b/>
          <w:sz w:val="28"/>
          <w:szCs w:val="28"/>
        </w:rPr>
        <w:t xml:space="preserve">                                  </w:t>
      </w:r>
      <w:r w:rsidR="0015015D">
        <w:rPr>
          <w:rFonts w:ascii="Century Gothic" w:hAnsi="Century Gothic" w:cs="Times New Roman"/>
          <w:b/>
          <w:sz w:val="28"/>
          <w:szCs w:val="28"/>
        </w:rPr>
        <w:t xml:space="preserve">               </w:t>
      </w:r>
      <w:proofErr w:type="spellStart"/>
      <w:r w:rsidR="00EB74EB">
        <w:rPr>
          <w:rFonts w:ascii="Century Gothic" w:hAnsi="Century Gothic" w:cs="Times New Roman"/>
          <w:b/>
          <w:sz w:val="28"/>
          <w:szCs w:val="28"/>
          <w:u w:val="single"/>
        </w:rPr>
        <w:t>Naby</w:t>
      </w:r>
      <w:proofErr w:type="spellEnd"/>
      <w:r w:rsidR="00EB74EB">
        <w:rPr>
          <w:rFonts w:ascii="Century Gothic" w:hAnsi="Century Gothic" w:cs="Times New Roman"/>
          <w:b/>
          <w:sz w:val="28"/>
          <w:szCs w:val="28"/>
          <w:u w:val="single"/>
        </w:rPr>
        <w:t xml:space="preserve"> Moussa OULARE</w:t>
      </w:r>
    </w:p>
    <w:p w14:paraId="7AB84873" w14:textId="77777777" w:rsidR="0099392B" w:rsidRPr="0015015D" w:rsidRDefault="0099392B">
      <w:pPr>
        <w:rPr>
          <w:rFonts w:ascii="Century Gothic" w:hAnsi="Century Gothic"/>
        </w:rPr>
      </w:pPr>
    </w:p>
    <w:sectPr w:rsidR="0099392B" w:rsidRPr="0015015D" w:rsidSect="00A3100C">
      <w:footerReference w:type="default" r:id="rId10"/>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3371" w14:textId="77777777" w:rsidR="00DE4A24" w:rsidRDefault="00DE4A24" w:rsidP="00D83351">
      <w:pPr>
        <w:spacing w:after="0" w:line="240" w:lineRule="auto"/>
      </w:pPr>
      <w:r>
        <w:separator/>
      </w:r>
    </w:p>
  </w:endnote>
  <w:endnote w:type="continuationSeparator" w:id="0">
    <w:p w14:paraId="01ACCF94" w14:textId="77777777" w:rsidR="00DE4A24" w:rsidRDefault="00DE4A24" w:rsidP="00D8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2263"/>
      <w:docPartObj>
        <w:docPartGallery w:val="Page Numbers (Bottom of Page)"/>
        <w:docPartUnique/>
      </w:docPartObj>
    </w:sdtPr>
    <w:sdtContent>
      <w:p w14:paraId="76D2B480" w14:textId="097D5B0D" w:rsidR="00D83351" w:rsidRDefault="00D83351">
        <w:pPr>
          <w:pStyle w:val="Footer"/>
          <w:jc w:val="right"/>
        </w:pPr>
        <w:r>
          <w:fldChar w:fldCharType="begin"/>
        </w:r>
        <w:r>
          <w:instrText>PAGE   \* MERGEFORMAT</w:instrText>
        </w:r>
        <w:r>
          <w:fldChar w:fldCharType="separate"/>
        </w:r>
        <w:r w:rsidR="005E5FB8">
          <w:rPr>
            <w:noProof/>
          </w:rPr>
          <w:t>3</w:t>
        </w:r>
        <w:r>
          <w:fldChar w:fldCharType="end"/>
        </w:r>
      </w:p>
    </w:sdtContent>
  </w:sdt>
  <w:p w14:paraId="0C639494" w14:textId="77777777" w:rsidR="00D83351" w:rsidRDefault="00D83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FDE1" w14:textId="77777777" w:rsidR="00DE4A24" w:rsidRDefault="00DE4A24" w:rsidP="00D83351">
      <w:pPr>
        <w:spacing w:after="0" w:line="240" w:lineRule="auto"/>
      </w:pPr>
      <w:r>
        <w:separator/>
      </w:r>
    </w:p>
  </w:footnote>
  <w:footnote w:type="continuationSeparator" w:id="0">
    <w:p w14:paraId="66D50294" w14:textId="77777777" w:rsidR="00DE4A24" w:rsidRDefault="00DE4A24" w:rsidP="00D83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63C1A"/>
    <w:multiLevelType w:val="hybridMultilevel"/>
    <w:tmpl w:val="ABCAEAF4"/>
    <w:lvl w:ilvl="0" w:tplc="C046D4D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E174BF8"/>
    <w:multiLevelType w:val="hybridMultilevel"/>
    <w:tmpl w:val="63984DEE"/>
    <w:lvl w:ilvl="0" w:tplc="8E70EC50">
      <w:start w:val="1"/>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E27D63"/>
    <w:multiLevelType w:val="hybridMultilevel"/>
    <w:tmpl w:val="8CF29168"/>
    <w:lvl w:ilvl="0" w:tplc="E50E0A2C">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1B122C"/>
    <w:multiLevelType w:val="hybridMultilevel"/>
    <w:tmpl w:val="2B5484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39238926">
    <w:abstractNumId w:val="3"/>
  </w:num>
  <w:num w:numId="2" w16cid:durableId="1593007201">
    <w:abstractNumId w:val="1"/>
  </w:num>
  <w:num w:numId="3" w16cid:durableId="244074532">
    <w:abstractNumId w:val="0"/>
  </w:num>
  <w:num w:numId="4" w16cid:durableId="134295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B3F"/>
    <w:rsid w:val="00023A34"/>
    <w:rsid w:val="00070095"/>
    <w:rsid w:val="00083CA9"/>
    <w:rsid w:val="00107DC0"/>
    <w:rsid w:val="0015015D"/>
    <w:rsid w:val="001674D2"/>
    <w:rsid w:val="002350F5"/>
    <w:rsid w:val="00243A09"/>
    <w:rsid w:val="00260B92"/>
    <w:rsid w:val="002613BB"/>
    <w:rsid w:val="003D3E6E"/>
    <w:rsid w:val="00403DB2"/>
    <w:rsid w:val="0041117A"/>
    <w:rsid w:val="004C79B4"/>
    <w:rsid w:val="004E6813"/>
    <w:rsid w:val="005035A6"/>
    <w:rsid w:val="005070FF"/>
    <w:rsid w:val="00561138"/>
    <w:rsid w:val="005E5FB8"/>
    <w:rsid w:val="00602A04"/>
    <w:rsid w:val="00626321"/>
    <w:rsid w:val="006728C1"/>
    <w:rsid w:val="006F7B12"/>
    <w:rsid w:val="00760016"/>
    <w:rsid w:val="00786B72"/>
    <w:rsid w:val="007B342E"/>
    <w:rsid w:val="007D0BCB"/>
    <w:rsid w:val="007D2DDC"/>
    <w:rsid w:val="008E692B"/>
    <w:rsid w:val="00930F63"/>
    <w:rsid w:val="0095644D"/>
    <w:rsid w:val="00957937"/>
    <w:rsid w:val="00961511"/>
    <w:rsid w:val="0099392B"/>
    <w:rsid w:val="00A3100C"/>
    <w:rsid w:val="00B17CD9"/>
    <w:rsid w:val="00B378EC"/>
    <w:rsid w:val="00BD297B"/>
    <w:rsid w:val="00C16E6B"/>
    <w:rsid w:val="00C35F53"/>
    <w:rsid w:val="00C500C5"/>
    <w:rsid w:val="00C874FA"/>
    <w:rsid w:val="00CA7E1C"/>
    <w:rsid w:val="00CB792B"/>
    <w:rsid w:val="00D043FF"/>
    <w:rsid w:val="00D1744D"/>
    <w:rsid w:val="00D37F7A"/>
    <w:rsid w:val="00D80ADC"/>
    <w:rsid w:val="00D81A65"/>
    <w:rsid w:val="00D83351"/>
    <w:rsid w:val="00D84C2C"/>
    <w:rsid w:val="00DE4832"/>
    <w:rsid w:val="00DE4A24"/>
    <w:rsid w:val="00E61A2B"/>
    <w:rsid w:val="00E65D46"/>
    <w:rsid w:val="00EB74EB"/>
    <w:rsid w:val="00EE5445"/>
    <w:rsid w:val="00EF5602"/>
    <w:rsid w:val="00F13A9E"/>
    <w:rsid w:val="00F677C8"/>
    <w:rsid w:val="00FA3B3F"/>
    <w:rsid w:val="00FF4D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29CB"/>
  <w15:chartTrackingRefBased/>
  <w15:docId w15:val="{410197A5-7956-44E4-9ED5-33896667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B3F"/>
    <w:pPr>
      <w:ind w:left="720"/>
      <w:contextualSpacing/>
    </w:pPr>
  </w:style>
  <w:style w:type="paragraph" w:styleId="Header">
    <w:name w:val="header"/>
    <w:basedOn w:val="Normal"/>
    <w:link w:val="HeaderChar"/>
    <w:uiPriority w:val="99"/>
    <w:unhideWhenUsed/>
    <w:rsid w:val="00D833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3351"/>
  </w:style>
  <w:style w:type="paragraph" w:styleId="Footer">
    <w:name w:val="footer"/>
    <w:basedOn w:val="Normal"/>
    <w:link w:val="FooterChar"/>
    <w:uiPriority w:val="99"/>
    <w:unhideWhenUsed/>
    <w:rsid w:val="00D833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3351"/>
  </w:style>
  <w:style w:type="paragraph" w:styleId="BalloonText">
    <w:name w:val="Balloon Text"/>
    <w:basedOn w:val="Normal"/>
    <w:link w:val="BalloonTextChar"/>
    <w:uiPriority w:val="99"/>
    <w:semiHidden/>
    <w:unhideWhenUsed/>
    <w:rsid w:val="00261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3BB"/>
    <w:rPr>
      <w:rFonts w:ascii="Segoe UI" w:hAnsi="Segoe UI" w:cs="Segoe UI"/>
      <w:sz w:val="18"/>
      <w:szCs w:val="18"/>
    </w:rPr>
  </w:style>
  <w:style w:type="paragraph" w:styleId="NormalWeb">
    <w:name w:val="Normal (Web)"/>
    <w:basedOn w:val="Normal"/>
    <w:uiPriority w:val="99"/>
    <w:semiHidden/>
    <w:unhideWhenUsed/>
    <w:rsid w:val="00602A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rsid w:val="009579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gel.gov.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4917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Mamoudou Traoré</dc:creator>
  <cp:keywords/>
  <dc:description/>
  <cp:lastModifiedBy>Fatoumata Sampou</cp:lastModifiedBy>
  <cp:revision>2</cp:revision>
  <cp:lastPrinted>2023-11-16T16:58:00Z</cp:lastPrinted>
  <dcterms:created xsi:type="dcterms:W3CDTF">2023-11-17T09:50:00Z</dcterms:created>
  <dcterms:modified xsi:type="dcterms:W3CDTF">2023-11-17T09:50:00Z</dcterms:modified>
</cp:coreProperties>
</file>