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C1A7F" w14:textId="77777777" w:rsidR="00FA580B" w:rsidRPr="00BF61FF" w:rsidRDefault="00FA580B" w:rsidP="00901D65">
      <w:pPr>
        <w:spacing w:after="33" w:line="276" w:lineRule="auto"/>
        <w:ind w:right="3"/>
        <w:jc w:val="center"/>
        <w:rPr>
          <w:rFonts w:asciiTheme="minorHAnsi" w:hAnsiTheme="minorHAnsi" w:cstheme="minorHAnsi"/>
          <w:sz w:val="28"/>
          <w:szCs w:val="28"/>
          <w:lang w:val="en-GB"/>
        </w:rPr>
      </w:pPr>
      <w:r w:rsidRPr="00BF61FF">
        <w:rPr>
          <w:rFonts w:asciiTheme="minorHAnsi" w:hAnsiTheme="minorHAnsi" w:cstheme="minorHAnsi"/>
          <w:sz w:val="28"/>
          <w:szCs w:val="28"/>
          <w:lang w:val="en-GB"/>
        </w:rPr>
        <w:t xml:space="preserve">Terms of Reference  </w:t>
      </w:r>
    </w:p>
    <w:p w14:paraId="183B71B3" w14:textId="6C6EE9B1" w:rsidR="00E50AE7" w:rsidRPr="00BF61FF" w:rsidRDefault="00FA580B" w:rsidP="00E50AE7">
      <w:pPr>
        <w:pStyle w:val="Heading1"/>
        <w:spacing w:line="276" w:lineRule="auto"/>
        <w:rPr>
          <w:rFonts w:asciiTheme="minorHAnsi" w:hAnsiTheme="minorHAnsi" w:cstheme="minorHAnsi"/>
          <w:b/>
          <w:bCs/>
          <w:color w:val="auto"/>
          <w:sz w:val="28"/>
          <w:szCs w:val="28"/>
          <w:lang w:val="en-GB"/>
        </w:rPr>
      </w:pPr>
      <w:r w:rsidRPr="00BF61FF">
        <w:rPr>
          <w:rFonts w:asciiTheme="minorHAnsi" w:hAnsiTheme="minorHAnsi" w:cstheme="minorHAnsi"/>
          <w:color w:val="auto"/>
          <w:sz w:val="28"/>
          <w:szCs w:val="28"/>
          <w:lang w:val="en-GB"/>
        </w:rPr>
        <w:t>“</w:t>
      </w:r>
      <w:r w:rsidR="00E50AE7" w:rsidRPr="00BF61FF">
        <w:rPr>
          <w:rFonts w:asciiTheme="minorHAnsi" w:hAnsiTheme="minorHAnsi" w:cstheme="minorHAnsi"/>
          <w:b/>
          <w:bCs/>
          <w:color w:val="auto"/>
          <w:sz w:val="28"/>
          <w:szCs w:val="28"/>
          <w:lang w:val="en-GB"/>
        </w:rPr>
        <w:t xml:space="preserve">IIFM Global Syndicated Financing Documentation </w:t>
      </w:r>
    </w:p>
    <w:p w14:paraId="6B5134BA" w14:textId="21F55DCB" w:rsidR="00FA580B" w:rsidRPr="00BF61FF" w:rsidRDefault="00E50AE7" w:rsidP="00E50AE7">
      <w:pPr>
        <w:pStyle w:val="Heading1"/>
        <w:spacing w:line="276" w:lineRule="auto"/>
        <w:rPr>
          <w:rFonts w:asciiTheme="minorHAnsi" w:hAnsiTheme="minorHAnsi" w:cstheme="minorHAnsi"/>
          <w:color w:val="auto"/>
          <w:sz w:val="28"/>
          <w:szCs w:val="28"/>
          <w:lang w:val="en-GB"/>
        </w:rPr>
      </w:pPr>
      <w:r w:rsidRPr="00BF61FF">
        <w:rPr>
          <w:rFonts w:asciiTheme="minorHAnsi" w:hAnsiTheme="minorHAnsi" w:cstheme="minorHAnsi"/>
          <w:b/>
          <w:bCs/>
          <w:color w:val="auto"/>
          <w:sz w:val="28"/>
          <w:szCs w:val="28"/>
          <w:lang w:val="en-GB"/>
        </w:rPr>
        <w:t xml:space="preserve"> </w:t>
      </w:r>
      <w:r w:rsidR="00BF61FF" w:rsidRPr="00BF61FF">
        <w:rPr>
          <w:rFonts w:asciiTheme="minorHAnsi" w:hAnsiTheme="minorHAnsi" w:cstheme="minorHAnsi"/>
          <w:b/>
          <w:bCs/>
          <w:color w:val="auto"/>
          <w:sz w:val="28"/>
          <w:szCs w:val="28"/>
          <w:lang w:val="en-GB"/>
        </w:rPr>
        <w:t>Standardization Project</w:t>
      </w:r>
      <w:r w:rsidR="00FA580B" w:rsidRPr="00BF61FF">
        <w:rPr>
          <w:rFonts w:asciiTheme="minorHAnsi" w:hAnsiTheme="minorHAnsi" w:cstheme="minorHAnsi"/>
          <w:color w:val="auto"/>
          <w:sz w:val="28"/>
          <w:szCs w:val="28"/>
          <w:lang w:val="en-GB"/>
        </w:rPr>
        <w:t xml:space="preserve">” </w:t>
      </w:r>
    </w:p>
    <w:p w14:paraId="2560C56C" w14:textId="77777777" w:rsidR="00FA580B" w:rsidRPr="00BF61FF" w:rsidRDefault="00FA580B" w:rsidP="00901D65">
      <w:pPr>
        <w:spacing w:line="276" w:lineRule="auto"/>
        <w:rPr>
          <w:rFonts w:asciiTheme="minorHAnsi" w:hAnsiTheme="minorHAnsi" w:cstheme="minorHAnsi"/>
          <w:b/>
          <w:bCs/>
          <w:sz w:val="28"/>
          <w:szCs w:val="28"/>
          <w:lang w:val="en-GB"/>
        </w:rPr>
      </w:pPr>
    </w:p>
    <w:tbl>
      <w:tblPr>
        <w:tblStyle w:val="TableGrid0"/>
        <w:tblW w:w="9328" w:type="dxa"/>
        <w:tblInd w:w="62" w:type="dxa"/>
        <w:tblCellMar>
          <w:top w:w="44" w:type="dxa"/>
          <w:right w:w="115" w:type="dxa"/>
        </w:tblCellMar>
        <w:tblLook w:val="04A0" w:firstRow="1" w:lastRow="0" w:firstColumn="1" w:lastColumn="0" w:noHBand="0" w:noVBand="1"/>
      </w:tblPr>
      <w:tblGrid>
        <w:gridCol w:w="658"/>
        <w:gridCol w:w="8670"/>
      </w:tblGrid>
      <w:tr w:rsidR="00FA580B" w:rsidRPr="00BF61FF" w14:paraId="050B0CD3" w14:textId="77777777" w:rsidTr="00677F1A">
        <w:trPr>
          <w:trHeight w:val="370"/>
        </w:trPr>
        <w:tc>
          <w:tcPr>
            <w:tcW w:w="658" w:type="dxa"/>
            <w:tcBorders>
              <w:top w:val="nil"/>
              <w:left w:val="nil"/>
              <w:bottom w:val="nil"/>
              <w:right w:val="nil"/>
            </w:tcBorders>
            <w:shd w:val="clear" w:color="auto" w:fill="DEEAF6"/>
          </w:tcPr>
          <w:p w14:paraId="0C8291D6" w14:textId="77777777" w:rsidR="00FA580B" w:rsidRPr="00BF61FF" w:rsidRDefault="00FA580B" w:rsidP="00901D65">
            <w:pPr>
              <w:spacing w:line="276" w:lineRule="auto"/>
              <w:ind w:left="29"/>
              <w:rPr>
                <w:rFonts w:cstheme="minorHAnsi"/>
                <w:b/>
                <w:bCs/>
                <w:sz w:val="28"/>
                <w:szCs w:val="28"/>
                <w:lang w:val="en-GB"/>
              </w:rPr>
            </w:pPr>
            <w:r w:rsidRPr="00BF61FF">
              <w:rPr>
                <w:rFonts w:cstheme="minorHAnsi"/>
                <w:b/>
                <w:bCs/>
                <w:sz w:val="28"/>
                <w:szCs w:val="28"/>
                <w:lang w:val="en-GB"/>
              </w:rPr>
              <w:t>1.</w:t>
            </w:r>
            <w:r w:rsidRPr="00BF61FF">
              <w:rPr>
                <w:rFonts w:eastAsia="Arial" w:cstheme="minorHAnsi"/>
                <w:b/>
                <w:bCs/>
                <w:sz w:val="28"/>
                <w:szCs w:val="28"/>
                <w:lang w:val="en-GB"/>
              </w:rPr>
              <w:t xml:space="preserve"> </w:t>
            </w:r>
          </w:p>
        </w:tc>
        <w:tc>
          <w:tcPr>
            <w:tcW w:w="8670" w:type="dxa"/>
            <w:tcBorders>
              <w:top w:val="nil"/>
              <w:left w:val="nil"/>
              <w:bottom w:val="nil"/>
              <w:right w:val="nil"/>
            </w:tcBorders>
            <w:shd w:val="clear" w:color="auto" w:fill="DEEAF6"/>
          </w:tcPr>
          <w:p w14:paraId="08216ACE" w14:textId="77777777" w:rsidR="00FA580B" w:rsidRPr="00BF61FF" w:rsidRDefault="00FA580B" w:rsidP="00901D65">
            <w:pPr>
              <w:spacing w:line="276" w:lineRule="auto"/>
              <w:rPr>
                <w:rFonts w:cstheme="minorHAnsi"/>
                <w:b/>
                <w:bCs/>
                <w:sz w:val="28"/>
                <w:szCs w:val="28"/>
                <w:lang w:val="en-GB"/>
              </w:rPr>
            </w:pPr>
            <w:r w:rsidRPr="00BF61FF">
              <w:rPr>
                <w:rFonts w:cstheme="minorHAnsi"/>
                <w:b/>
                <w:bCs/>
                <w:sz w:val="28"/>
                <w:szCs w:val="28"/>
                <w:lang w:val="en-GB"/>
              </w:rPr>
              <w:t xml:space="preserve">Introduction </w:t>
            </w:r>
          </w:p>
        </w:tc>
      </w:tr>
    </w:tbl>
    <w:p w14:paraId="13F79FAC" w14:textId="77777777" w:rsidR="00FA580B" w:rsidRPr="00BF61FF" w:rsidRDefault="00FA580B" w:rsidP="00901D65">
      <w:pPr>
        <w:spacing w:line="276" w:lineRule="auto"/>
        <w:rPr>
          <w:rFonts w:asciiTheme="minorHAnsi" w:hAnsiTheme="minorHAnsi" w:cstheme="minorHAnsi"/>
          <w:sz w:val="24"/>
          <w:szCs w:val="24"/>
          <w:lang w:val="en-GB"/>
        </w:rPr>
      </w:pPr>
    </w:p>
    <w:p w14:paraId="1D93AE9F" w14:textId="3AEEF62B" w:rsidR="00E50AE7"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The International Islamic Financial Market (IIFM) has applied for grant financing from the Islamic Development Bank Institute toward the cost of developing Islamic Syndicated Financing Documentation Standards and Market Guidelines, and intends to apply part of the proceeds for consultant services. </w:t>
      </w:r>
    </w:p>
    <w:p w14:paraId="459ED8E3" w14:textId="77777777" w:rsidR="00E50AE7" w:rsidRPr="00BF61FF" w:rsidRDefault="00E50AE7" w:rsidP="00E50AE7">
      <w:pPr>
        <w:spacing w:line="276" w:lineRule="auto"/>
        <w:jc w:val="both"/>
        <w:rPr>
          <w:rFonts w:asciiTheme="minorHAnsi" w:hAnsiTheme="minorHAnsi" w:cstheme="minorHAnsi"/>
          <w:sz w:val="24"/>
          <w:szCs w:val="24"/>
          <w:lang w:val="en-GB"/>
        </w:rPr>
      </w:pPr>
    </w:p>
    <w:p w14:paraId="01F6606D" w14:textId="0BF715EB" w:rsidR="00FA580B"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This is In line with the IIFM’s mandate to develop documentation and product confirmation standards to be used by the industry participants particularly in the cross border international market place and to help promote the Islamic Finance Industry globally.</w:t>
      </w:r>
    </w:p>
    <w:p w14:paraId="0882F0EC" w14:textId="77777777" w:rsidR="00E50AE7" w:rsidRPr="00BF61FF" w:rsidRDefault="00E50AE7" w:rsidP="00E50AE7">
      <w:pPr>
        <w:spacing w:line="276" w:lineRule="auto"/>
        <w:jc w:val="both"/>
        <w:rPr>
          <w:rFonts w:asciiTheme="minorHAnsi" w:hAnsiTheme="minorHAnsi" w:cstheme="minorHAnsi"/>
          <w:sz w:val="24"/>
          <w:szCs w:val="24"/>
          <w:lang w:val="en-GB"/>
        </w:rPr>
      </w:pPr>
    </w:p>
    <w:tbl>
      <w:tblPr>
        <w:tblStyle w:val="TableGrid0"/>
        <w:tblW w:w="9328" w:type="dxa"/>
        <w:tblInd w:w="62" w:type="dxa"/>
        <w:tblCellMar>
          <w:top w:w="44" w:type="dxa"/>
          <w:right w:w="115" w:type="dxa"/>
        </w:tblCellMar>
        <w:tblLook w:val="04A0" w:firstRow="1" w:lastRow="0" w:firstColumn="1" w:lastColumn="0" w:noHBand="0" w:noVBand="1"/>
      </w:tblPr>
      <w:tblGrid>
        <w:gridCol w:w="658"/>
        <w:gridCol w:w="8670"/>
      </w:tblGrid>
      <w:tr w:rsidR="00FA580B" w:rsidRPr="00BF61FF" w14:paraId="2EAC5DF5" w14:textId="77777777" w:rsidTr="00677F1A">
        <w:trPr>
          <w:trHeight w:val="367"/>
        </w:trPr>
        <w:tc>
          <w:tcPr>
            <w:tcW w:w="658" w:type="dxa"/>
            <w:tcBorders>
              <w:top w:val="nil"/>
              <w:left w:val="nil"/>
              <w:bottom w:val="nil"/>
              <w:right w:val="nil"/>
            </w:tcBorders>
            <w:shd w:val="clear" w:color="auto" w:fill="DEEAF6"/>
          </w:tcPr>
          <w:p w14:paraId="63DDF49C" w14:textId="77777777" w:rsidR="00FA580B" w:rsidRPr="00BF61FF" w:rsidRDefault="00FA580B" w:rsidP="00901D65">
            <w:pPr>
              <w:spacing w:line="276" w:lineRule="auto"/>
              <w:ind w:left="29"/>
              <w:rPr>
                <w:rFonts w:cstheme="minorHAnsi"/>
                <w:b/>
                <w:bCs/>
                <w:sz w:val="28"/>
                <w:szCs w:val="28"/>
                <w:lang w:val="en-GB"/>
              </w:rPr>
            </w:pPr>
            <w:r w:rsidRPr="00BF61FF">
              <w:rPr>
                <w:rFonts w:cstheme="minorHAnsi"/>
                <w:b/>
                <w:bCs/>
                <w:sz w:val="28"/>
                <w:szCs w:val="28"/>
                <w:lang w:val="en-GB"/>
              </w:rPr>
              <w:t>2.</w:t>
            </w:r>
            <w:r w:rsidRPr="00BF61FF">
              <w:rPr>
                <w:rFonts w:eastAsia="Arial" w:cstheme="minorHAnsi"/>
                <w:b/>
                <w:bCs/>
                <w:sz w:val="28"/>
                <w:szCs w:val="28"/>
                <w:lang w:val="en-GB"/>
              </w:rPr>
              <w:t xml:space="preserve"> </w:t>
            </w:r>
          </w:p>
        </w:tc>
        <w:tc>
          <w:tcPr>
            <w:tcW w:w="8670" w:type="dxa"/>
            <w:tcBorders>
              <w:top w:val="nil"/>
              <w:left w:val="nil"/>
              <w:bottom w:val="nil"/>
              <w:right w:val="nil"/>
            </w:tcBorders>
            <w:shd w:val="clear" w:color="auto" w:fill="DEEAF6"/>
          </w:tcPr>
          <w:p w14:paraId="54FDFBA9" w14:textId="77777777" w:rsidR="00FA580B" w:rsidRPr="00BF61FF" w:rsidRDefault="00FA580B" w:rsidP="00901D65">
            <w:pPr>
              <w:spacing w:line="276" w:lineRule="auto"/>
              <w:rPr>
                <w:rFonts w:cstheme="minorHAnsi"/>
                <w:b/>
                <w:bCs/>
                <w:sz w:val="28"/>
                <w:szCs w:val="28"/>
                <w:lang w:val="en-GB"/>
              </w:rPr>
            </w:pPr>
            <w:r w:rsidRPr="00BF61FF">
              <w:rPr>
                <w:rFonts w:cstheme="minorHAnsi"/>
                <w:b/>
                <w:bCs/>
                <w:sz w:val="28"/>
                <w:szCs w:val="28"/>
                <w:lang w:val="en-GB"/>
              </w:rPr>
              <w:t xml:space="preserve">Background </w:t>
            </w:r>
          </w:p>
        </w:tc>
      </w:tr>
    </w:tbl>
    <w:p w14:paraId="259D587F" w14:textId="77777777" w:rsidR="00FA580B" w:rsidRPr="00BF61FF" w:rsidRDefault="00FA580B" w:rsidP="00901D65">
      <w:pPr>
        <w:spacing w:line="276" w:lineRule="auto"/>
        <w:rPr>
          <w:rFonts w:asciiTheme="minorHAnsi" w:hAnsiTheme="minorHAnsi" w:cstheme="minorHAnsi"/>
          <w:b/>
          <w:bCs/>
          <w:sz w:val="24"/>
          <w:szCs w:val="24"/>
          <w:lang w:val="en-GB"/>
        </w:rPr>
      </w:pPr>
    </w:p>
    <w:p w14:paraId="3C0B6885" w14:textId="5E2F4A7F" w:rsidR="00E50AE7"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The objective of appointing /assigning a legal firm is to prepare and develop a global “Syndicated Financing Documentation Standards &amp; Market Guidelines”, that provides clarity, transparency and uniformity to the industry and are compatible with the rules and principles of Shari’ah (the Islamic Law).  </w:t>
      </w:r>
    </w:p>
    <w:p w14:paraId="1CB57E8D" w14:textId="77777777" w:rsidR="00E50AE7" w:rsidRPr="00BF61FF" w:rsidRDefault="00E50AE7" w:rsidP="00E50AE7">
      <w:pPr>
        <w:spacing w:line="276" w:lineRule="auto"/>
        <w:jc w:val="both"/>
        <w:rPr>
          <w:rFonts w:asciiTheme="minorHAnsi" w:hAnsiTheme="minorHAnsi" w:cstheme="minorHAnsi"/>
          <w:sz w:val="24"/>
          <w:szCs w:val="24"/>
          <w:lang w:val="en-GB"/>
        </w:rPr>
      </w:pPr>
    </w:p>
    <w:p w14:paraId="79C49E97" w14:textId="77777777" w:rsidR="00E50AE7"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This project comes at the right time given the importance of having a Shari’ah compliant syndicated transactions, which (</w:t>
      </w:r>
      <w:proofErr w:type="gramStart"/>
      <w:r w:rsidRPr="00BF61FF">
        <w:rPr>
          <w:rFonts w:asciiTheme="minorHAnsi" w:hAnsiTheme="minorHAnsi" w:cstheme="minorHAnsi"/>
          <w:sz w:val="24"/>
          <w:szCs w:val="24"/>
          <w:lang w:val="en-GB"/>
        </w:rPr>
        <w:t>i.e.</w:t>
      </w:r>
      <w:proofErr w:type="gramEnd"/>
      <w:r w:rsidRPr="00BF61FF">
        <w:rPr>
          <w:rFonts w:asciiTheme="minorHAnsi" w:hAnsiTheme="minorHAnsi" w:cstheme="minorHAnsi"/>
          <w:sz w:val="24"/>
          <w:szCs w:val="24"/>
          <w:lang w:val="en-GB"/>
        </w:rPr>
        <w:t xml:space="preserve"> syndicated transactions) remain an important tool needed by Islamic financial institutions to manage their balance sheets, financial condition etc.</w:t>
      </w:r>
    </w:p>
    <w:p w14:paraId="07050FFA" w14:textId="77777777" w:rsidR="00E50AE7" w:rsidRPr="00BF61FF" w:rsidRDefault="00E50AE7" w:rsidP="00E50AE7">
      <w:pPr>
        <w:spacing w:line="276" w:lineRule="auto"/>
        <w:jc w:val="both"/>
        <w:rPr>
          <w:rFonts w:asciiTheme="minorHAnsi" w:hAnsiTheme="minorHAnsi" w:cstheme="minorHAnsi"/>
          <w:sz w:val="24"/>
          <w:szCs w:val="24"/>
          <w:lang w:val="en-GB"/>
        </w:rPr>
      </w:pPr>
    </w:p>
    <w:p w14:paraId="6842ACE1" w14:textId="6DE465AB" w:rsidR="00E50AE7"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In addition, the absence of Shari’ah compliant syndicated transactions standard documentation to match its conventional counterparts such as Loan Market Association (LMA) and the Loan Syndication Transactions Association (LSTA) agreements, has made it extremely necessary to have a syndicated transactions standard documentation which would be based on a Shari'ah-compliant structure. This will reduce time consuming process, tremendous cost saving, harmonization of legal &amp; market practices and most important Shariah harmonization etc.</w:t>
      </w:r>
    </w:p>
    <w:p w14:paraId="60EF2361" w14:textId="77777777" w:rsidR="00E50AE7" w:rsidRPr="00BF61FF" w:rsidRDefault="00E50AE7" w:rsidP="00E50AE7">
      <w:pPr>
        <w:spacing w:line="276" w:lineRule="auto"/>
        <w:jc w:val="both"/>
        <w:rPr>
          <w:rFonts w:asciiTheme="minorHAnsi" w:hAnsiTheme="minorHAnsi" w:cstheme="minorHAnsi"/>
          <w:sz w:val="24"/>
          <w:szCs w:val="24"/>
          <w:lang w:val="en-GB"/>
        </w:rPr>
      </w:pPr>
    </w:p>
    <w:p w14:paraId="2058C779" w14:textId="5B263603" w:rsidR="00FA580B"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The detailed scope of this project includes hiring an international law firm with expertise in Islamic Finance particularly in the Syndication Documentation to submit their proposals to act as an external legal counsel and assist IIFM in the preparation and development of “Syndicated Financing Documentation Standards &amp; Market Guidelines”.</w:t>
      </w:r>
    </w:p>
    <w:p w14:paraId="08E91D70" w14:textId="77777777" w:rsidR="00FA580B" w:rsidRPr="00BF61FF" w:rsidRDefault="00FA580B" w:rsidP="00901D65">
      <w:pPr>
        <w:spacing w:line="276" w:lineRule="auto"/>
        <w:rPr>
          <w:rFonts w:asciiTheme="minorHAnsi" w:hAnsiTheme="minorHAnsi" w:cstheme="minorHAnsi"/>
          <w:b/>
          <w:bCs/>
          <w:sz w:val="24"/>
          <w:szCs w:val="24"/>
          <w:lang w:val="en-GB"/>
        </w:rPr>
      </w:pPr>
    </w:p>
    <w:tbl>
      <w:tblPr>
        <w:tblStyle w:val="TableGrid0"/>
        <w:tblW w:w="9328" w:type="dxa"/>
        <w:tblInd w:w="62" w:type="dxa"/>
        <w:tblCellMar>
          <w:top w:w="46" w:type="dxa"/>
          <w:right w:w="115" w:type="dxa"/>
        </w:tblCellMar>
        <w:tblLook w:val="04A0" w:firstRow="1" w:lastRow="0" w:firstColumn="1" w:lastColumn="0" w:noHBand="0" w:noVBand="1"/>
      </w:tblPr>
      <w:tblGrid>
        <w:gridCol w:w="658"/>
        <w:gridCol w:w="8670"/>
      </w:tblGrid>
      <w:tr w:rsidR="00FA580B" w:rsidRPr="00BF61FF" w14:paraId="0FA20DBC" w14:textId="77777777" w:rsidTr="00677F1A">
        <w:trPr>
          <w:trHeight w:val="370"/>
        </w:trPr>
        <w:tc>
          <w:tcPr>
            <w:tcW w:w="658" w:type="dxa"/>
            <w:tcBorders>
              <w:top w:val="nil"/>
              <w:left w:val="nil"/>
              <w:bottom w:val="nil"/>
              <w:right w:val="nil"/>
            </w:tcBorders>
            <w:shd w:val="clear" w:color="auto" w:fill="DEEAF6"/>
          </w:tcPr>
          <w:p w14:paraId="721B192B" w14:textId="77777777" w:rsidR="00FA580B" w:rsidRPr="00BF61FF" w:rsidRDefault="00FA580B" w:rsidP="00901D65">
            <w:pPr>
              <w:spacing w:line="276" w:lineRule="auto"/>
              <w:ind w:left="29"/>
              <w:rPr>
                <w:rFonts w:cstheme="minorHAnsi"/>
                <w:b/>
                <w:bCs/>
                <w:sz w:val="28"/>
                <w:szCs w:val="28"/>
                <w:lang w:val="en-GB"/>
              </w:rPr>
            </w:pPr>
            <w:r w:rsidRPr="00BF61FF">
              <w:rPr>
                <w:rFonts w:cstheme="minorHAnsi"/>
                <w:b/>
                <w:bCs/>
                <w:sz w:val="28"/>
                <w:szCs w:val="28"/>
                <w:lang w:val="en-GB"/>
              </w:rPr>
              <w:lastRenderedPageBreak/>
              <w:t>3.</w:t>
            </w:r>
            <w:r w:rsidRPr="00BF61FF">
              <w:rPr>
                <w:rFonts w:eastAsia="Arial" w:cstheme="minorHAnsi"/>
                <w:b/>
                <w:bCs/>
                <w:sz w:val="28"/>
                <w:szCs w:val="28"/>
                <w:lang w:val="en-GB"/>
              </w:rPr>
              <w:t xml:space="preserve"> </w:t>
            </w:r>
          </w:p>
        </w:tc>
        <w:tc>
          <w:tcPr>
            <w:tcW w:w="8670" w:type="dxa"/>
            <w:tcBorders>
              <w:top w:val="nil"/>
              <w:left w:val="nil"/>
              <w:bottom w:val="nil"/>
              <w:right w:val="nil"/>
            </w:tcBorders>
            <w:shd w:val="clear" w:color="auto" w:fill="DEEAF6"/>
          </w:tcPr>
          <w:p w14:paraId="14A16B67" w14:textId="77777777" w:rsidR="00FA580B" w:rsidRPr="00BF61FF" w:rsidRDefault="00FA580B" w:rsidP="00901D65">
            <w:pPr>
              <w:spacing w:line="276" w:lineRule="auto"/>
              <w:rPr>
                <w:rFonts w:cstheme="minorHAnsi"/>
                <w:sz w:val="28"/>
                <w:szCs w:val="28"/>
                <w:lang w:val="en-GB"/>
              </w:rPr>
            </w:pPr>
            <w:r w:rsidRPr="00BF61FF">
              <w:rPr>
                <w:rFonts w:cstheme="minorHAnsi"/>
                <w:b/>
                <w:bCs/>
                <w:sz w:val="28"/>
                <w:szCs w:val="28"/>
                <w:lang w:val="en-GB"/>
              </w:rPr>
              <w:t>Objective, Methodology, Scope of Services &amp; Deliverables</w:t>
            </w:r>
          </w:p>
        </w:tc>
      </w:tr>
    </w:tbl>
    <w:p w14:paraId="56F5AB6E" w14:textId="77777777" w:rsidR="00FA580B" w:rsidRPr="00BF61FF" w:rsidRDefault="00FA580B" w:rsidP="00901D65">
      <w:pPr>
        <w:spacing w:line="276" w:lineRule="auto"/>
        <w:rPr>
          <w:rFonts w:asciiTheme="minorHAnsi" w:hAnsiTheme="minorHAnsi" w:cstheme="minorHAnsi"/>
          <w:sz w:val="24"/>
          <w:szCs w:val="24"/>
          <w:lang w:val="en-GB"/>
        </w:rPr>
      </w:pPr>
    </w:p>
    <w:p w14:paraId="29BE7567" w14:textId="77777777" w:rsidR="00FA580B" w:rsidRPr="00BF61FF" w:rsidRDefault="00FA580B" w:rsidP="00901D65">
      <w:pPr>
        <w:spacing w:line="276" w:lineRule="auto"/>
        <w:rPr>
          <w:rFonts w:asciiTheme="minorHAnsi" w:hAnsiTheme="minorHAnsi" w:cstheme="minorHAnsi"/>
          <w:b/>
          <w:bCs/>
          <w:sz w:val="24"/>
          <w:szCs w:val="24"/>
          <w:lang w:val="en-GB"/>
        </w:rPr>
      </w:pPr>
      <w:r w:rsidRPr="00BF61FF">
        <w:rPr>
          <w:rFonts w:asciiTheme="minorHAnsi" w:hAnsiTheme="minorHAnsi" w:cstheme="minorHAnsi"/>
          <w:b/>
          <w:bCs/>
          <w:sz w:val="24"/>
          <w:szCs w:val="24"/>
          <w:lang w:val="en-GB"/>
        </w:rPr>
        <w:t>OBJECTIVE</w:t>
      </w:r>
    </w:p>
    <w:p w14:paraId="0AAAAD1D" w14:textId="71B0CABC" w:rsidR="00FA580B" w:rsidRPr="00BF61FF" w:rsidRDefault="00E50AE7" w:rsidP="00901D65">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The services to be provided by the selected external legal counsel / law firm is for the development and drafting of the full set of Islamic Syndication Financing Documentation Standards for Syndicated Ijarah and Syndicated Murabahah transactions. </w:t>
      </w:r>
      <w:proofErr w:type="gramStart"/>
      <w:r w:rsidR="00BF61FF" w:rsidRPr="00BF61FF">
        <w:rPr>
          <w:rFonts w:asciiTheme="minorHAnsi" w:hAnsiTheme="minorHAnsi" w:cstheme="minorHAnsi"/>
          <w:sz w:val="24"/>
          <w:szCs w:val="24"/>
          <w:lang w:val="en-GB"/>
        </w:rPr>
        <w:t>i.e.</w:t>
      </w:r>
      <w:proofErr w:type="gramEnd"/>
      <w:r w:rsidRPr="00BF61FF">
        <w:rPr>
          <w:rFonts w:asciiTheme="minorHAnsi" w:hAnsiTheme="minorHAnsi" w:cstheme="minorHAnsi"/>
          <w:sz w:val="24"/>
          <w:szCs w:val="24"/>
          <w:lang w:val="en-GB"/>
        </w:rPr>
        <w:t xml:space="preserve"> drafting of entire set of Syndication Financing standards including comprehensive Definitions and Clauses taking into account the specificities of Shari’ah principles wherever applicable.</w:t>
      </w:r>
      <w:r w:rsidR="00FA580B" w:rsidRPr="00BF61FF">
        <w:rPr>
          <w:rFonts w:asciiTheme="minorHAnsi" w:hAnsiTheme="minorHAnsi" w:cstheme="minorHAnsi"/>
          <w:sz w:val="24"/>
          <w:szCs w:val="24"/>
          <w:lang w:val="en-GB"/>
        </w:rPr>
        <w:t xml:space="preserve">  </w:t>
      </w:r>
    </w:p>
    <w:p w14:paraId="50BFE9F5" w14:textId="77777777" w:rsidR="00FA580B" w:rsidRPr="00BF61FF" w:rsidRDefault="00FA580B" w:rsidP="00901D65">
      <w:pPr>
        <w:spacing w:line="276" w:lineRule="auto"/>
        <w:jc w:val="both"/>
        <w:rPr>
          <w:rFonts w:asciiTheme="minorHAnsi" w:hAnsiTheme="minorHAnsi" w:cstheme="minorHAnsi"/>
          <w:sz w:val="24"/>
          <w:szCs w:val="24"/>
          <w:lang w:val="en-GB"/>
        </w:rPr>
      </w:pPr>
    </w:p>
    <w:p w14:paraId="6D7F2D39" w14:textId="77777777" w:rsidR="00FA580B" w:rsidRPr="00BF61FF" w:rsidRDefault="00FA580B" w:rsidP="00901D65">
      <w:pPr>
        <w:spacing w:line="276" w:lineRule="auto"/>
        <w:jc w:val="both"/>
        <w:rPr>
          <w:rFonts w:asciiTheme="minorHAnsi" w:hAnsiTheme="minorHAnsi" w:cstheme="minorHAnsi"/>
          <w:b/>
          <w:bCs/>
          <w:sz w:val="24"/>
          <w:szCs w:val="24"/>
          <w:lang w:val="en-GB"/>
        </w:rPr>
      </w:pPr>
      <w:r w:rsidRPr="00BF61FF">
        <w:rPr>
          <w:rFonts w:asciiTheme="minorHAnsi" w:hAnsiTheme="minorHAnsi" w:cstheme="minorHAnsi"/>
          <w:b/>
          <w:bCs/>
          <w:sz w:val="24"/>
          <w:szCs w:val="24"/>
          <w:lang w:val="en-GB"/>
        </w:rPr>
        <w:t>SCOPE &amp; DELIVERABLES</w:t>
      </w:r>
    </w:p>
    <w:p w14:paraId="42F6E003" w14:textId="77777777" w:rsidR="00FA580B" w:rsidRPr="00BF61FF" w:rsidRDefault="00FA580B" w:rsidP="00901D65">
      <w:pPr>
        <w:spacing w:line="276" w:lineRule="auto"/>
        <w:jc w:val="both"/>
        <w:rPr>
          <w:rFonts w:asciiTheme="minorHAnsi" w:hAnsiTheme="minorHAnsi" w:cstheme="minorHAnsi"/>
          <w:sz w:val="24"/>
          <w:szCs w:val="24"/>
          <w:lang w:val="en-GB"/>
        </w:rPr>
      </w:pPr>
    </w:p>
    <w:p w14:paraId="58CAFF1A" w14:textId="77777777" w:rsidR="00E50AE7"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The services to be provided by the appointed law firm to act as external legal counsel will cover the following documentations to be prepared in relation with the Syndicated financing contracts:</w:t>
      </w:r>
    </w:p>
    <w:p w14:paraId="7EA961FB" w14:textId="77777777" w:rsidR="00E50AE7" w:rsidRPr="00BF61FF" w:rsidRDefault="00E50AE7" w:rsidP="00E50AE7">
      <w:pPr>
        <w:spacing w:line="276" w:lineRule="auto"/>
        <w:rPr>
          <w:rFonts w:asciiTheme="minorHAnsi" w:hAnsiTheme="minorHAnsi" w:cstheme="minorHAnsi"/>
          <w:b/>
          <w:bCs/>
          <w:sz w:val="24"/>
          <w:szCs w:val="24"/>
          <w:u w:val="single"/>
          <w:lang w:val="en-GB"/>
        </w:rPr>
      </w:pPr>
    </w:p>
    <w:p w14:paraId="4320DCB5" w14:textId="77777777" w:rsidR="00E50AE7" w:rsidRPr="00BF61FF" w:rsidRDefault="00E50AE7" w:rsidP="00E50AE7">
      <w:pPr>
        <w:numPr>
          <w:ilvl w:val="0"/>
          <w:numId w:val="36"/>
        </w:numPr>
        <w:spacing w:line="276" w:lineRule="auto"/>
        <w:rPr>
          <w:rFonts w:asciiTheme="minorHAnsi" w:hAnsiTheme="minorHAnsi" w:cstheme="minorHAnsi"/>
          <w:b/>
          <w:bCs/>
          <w:sz w:val="24"/>
          <w:szCs w:val="24"/>
          <w:u w:val="single"/>
          <w:lang w:val="en-GB"/>
        </w:rPr>
      </w:pPr>
      <w:r w:rsidRPr="00BF61FF">
        <w:rPr>
          <w:rFonts w:asciiTheme="minorHAnsi" w:hAnsiTheme="minorHAnsi" w:cstheme="minorHAnsi"/>
          <w:b/>
          <w:bCs/>
          <w:sz w:val="24"/>
          <w:szCs w:val="24"/>
          <w:u w:val="single"/>
          <w:lang w:val="en-GB"/>
        </w:rPr>
        <w:t>Syndicated Murabahah Documentation Standard:</w:t>
      </w:r>
    </w:p>
    <w:p w14:paraId="5EBFF5C7" w14:textId="77777777" w:rsidR="00E50AE7" w:rsidRPr="00BF61FF" w:rsidRDefault="00E50AE7" w:rsidP="00E50AE7">
      <w:pPr>
        <w:spacing w:line="276" w:lineRule="auto"/>
        <w:rPr>
          <w:rFonts w:asciiTheme="minorHAnsi" w:hAnsiTheme="minorHAnsi" w:cstheme="minorHAnsi"/>
          <w:b/>
          <w:bCs/>
          <w:sz w:val="24"/>
          <w:szCs w:val="24"/>
          <w:u w:val="single"/>
          <w:lang w:val="en-GB"/>
        </w:rPr>
      </w:pPr>
    </w:p>
    <w:p w14:paraId="0544ADF6" w14:textId="77777777" w:rsidR="00E50AE7"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The following standard documentation would be prepared in relation to the Syndicated Murabahah Documentation Standard:</w:t>
      </w:r>
    </w:p>
    <w:p w14:paraId="36D2619A" w14:textId="77777777" w:rsidR="00E50AE7" w:rsidRPr="00BF61FF" w:rsidRDefault="00E50AE7" w:rsidP="00E50AE7">
      <w:pPr>
        <w:spacing w:line="276" w:lineRule="auto"/>
        <w:jc w:val="both"/>
        <w:rPr>
          <w:rFonts w:asciiTheme="minorHAnsi" w:hAnsiTheme="minorHAnsi" w:cstheme="minorHAnsi"/>
          <w:sz w:val="24"/>
          <w:szCs w:val="24"/>
          <w:lang w:val="en-GB"/>
        </w:rPr>
      </w:pPr>
    </w:p>
    <w:p w14:paraId="3FF7235E" w14:textId="77777777" w:rsidR="00E50AE7" w:rsidRPr="00BF61FF" w:rsidRDefault="00E50AE7" w:rsidP="00E50AE7">
      <w:pPr>
        <w:numPr>
          <w:ilvl w:val="0"/>
          <w:numId w:val="34"/>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an investment agency agreement;  </w:t>
      </w:r>
    </w:p>
    <w:p w14:paraId="07149F80" w14:textId="77777777" w:rsidR="00E50AE7" w:rsidRPr="00BF61FF" w:rsidRDefault="00E50AE7" w:rsidP="00E50AE7">
      <w:pPr>
        <w:numPr>
          <w:ilvl w:val="0"/>
          <w:numId w:val="34"/>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a </w:t>
      </w:r>
      <w:proofErr w:type="spellStart"/>
      <w:r w:rsidRPr="00BF61FF">
        <w:rPr>
          <w:rFonts w:asciiTheme="minorHAnsi" w:hAnsiTheme="minorHAnsi" w:cstheme="minorHAnsi"/>
          <w:sz w:val="24"/>
          <w:szCs w:val="24"/>
          <w:lang w:val="en-GB"/>
        </w:rPr>
        <w:t>murabahah</w:t>
      </w:r>
      <w:proofErr w:type="spellEnd"/>
      <w:r w:rsidRPr="00BF61FF">
        <w:rPr>
          <w:rFonts w:asciiTheme="minorHAnsi" w:hAnsiTheme="minorHAnsi" w:cstheme="minorHAnsi"/>
          <w:sz w:val="24"/>
          <w:szCs w:val="24"/>
          <w:lang w:val="en-GB"/>
        </w:rPr>
        <w:t xml:space="preserve"> facility agreement;   </w:t>
      </w:r>
    </w:p>
    <w:p w14:paraId="3D379684" w14:textId="77777777" w:rsidR="00E50AE7" w:rsidRPr="00BF61FF" w:rsidRDefault="00E50AE7" w:rsidP="00E50AE7">
      <w:pPr>
        <w:numPr>
          <w:ilvl w:val="0"/>
          <w:numId w:val="34"/>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one or more purchase undertakings; and </w:t>
      </w:r>
    </w:p>
    <w:p w14:paraId="18961574" w14:textId="77777777" w:rsidR="00E50AE7" w:rsidRPr="00BF61FF" w:rsidRDefault="00E50AE7" w:rsidP="00E50AE7">
      <w:pPr>
        <w:numPr>
          <w:ilvl w:val="0"/>
          <w:numId w:val="34"/>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any other documentation recommended during the working group consultation process.</w:t>
      </w:r>
    </w:p>
    <w:p w14:paraId="50C1D244" w14:textId="77777777" w:rsidR="00E50AE7" w:rsidRPr="00BF61FF" w:rsidRDefault="00E50AE7" w:rsidP="00E50AE7">
      <w:pPr>
        <w:spacing w:line="276" w:lineRule="auto"/>
        <w:rPr>
          <w:rFonts w:asciiTheme="minorHAnsi" w:hAnsiTheme="minorHAnsi" w:cstheme="minorHAnsi"/>
          <w:b/>
          <w:bCs/>
          <w:sz w:val="24"/>
          <w:szCs w:val="24"/>
          <w:u w:val="single"/>
          <w:lang w:val="en-GB"/>
        </w:rPr>
      </w:pPr>
    </w:p>
    <w:p w14:paraId="36AC4D5A" w14:textId="77777777" w:rsidR="00E50AE7" w:rsidRPr="00BF61FF" w:rsidRDefault="00E50AE7" w:rsidP="00E50AE7">
      <w:pPr>
        <w:numPr>
          <w:ilvl w:val="0"/>
          <w:numId w:val="36"/>
        </w:numPr>
        <w:spacing w:line="276" w:lineRule="auto"/>
        <w:rPr>
          <w:rFonts w:asciiTheme="minorHAnsi" w:hAnsiTheme="minorHAnsi" w:cstheme="minorHAnsi"/>
          <w:b/>
          <w:bCs/>
          <w:sz w:val="24"/>
          <w:szCs w:val="24"/>
          <w:u w:val="single"/>
          <w:lang w:val="en-GB"/>
        </w:rPr>
      </w:pPr>
      <w:r w:rsidRPr="00BF61FF">
        <w:rPr>
          <w:rFonts w:asciiTheme="minorHAnsi" w:hAnsiTheme="minorHAnsi" w:cstheme="minorHAnsi"/>
          <w:b/>
          <w:bCs/>
          <w:sz w:val="24"/>
          <w:szCs w:val="24"/>
          <w:u w:val="single"/>
          <w:lang w:val="en-GB"/>
        </w:rPr>
        <w:t xml:space="preserve">Syndicated Ijarah Documentation Standard </w:t>
      </w:r>
    </w:p>
    <w:p w14:paraId="0B203696" w14:textId="77777777" w:rsidR="00E50AE7" w:rsidRPr="00BF61FF" w:rsidRDefault="00E50AE7" w:rsidP="00E50AE7">
      <w:pPr>
        <w:spacing w:line="276" w:lineRule="auto"/>
        <w:rPr>
          <w:rFonts w:asciiTheme="minorHAnsi" w:hAnsiTheme="minorHAnsi" w:cstheme="minorHAnsi"/>
          <w:b/>
          <w:bCs/>
          <w:sz w:val="24"/>
          <w:szCs w:val="24"/>
          <w:u w:val="single"/>
          <w:lang w:val="en-GB"/>
        </w:rPr>
      </w:pPr>
    </w:p>
    <w:p w14:paraId="6DDAD781" w14:textId="77777777" w:rsidR="00E50AE7" w:rsidRPr="00BF61FF" w:rsidRDefault="00E50AE7" w:rsidP="00E50AE7">
      <w:pPr>
        <w:spacing w:line="276" w:lineRule="auto"/>
        <w:jc w:val="both"/>
        <w:rPr>
          <w:rFonts w:asciiTheme="minorHAnsi" w:hAnsiTheme="minorHAnsi" w:cstheme="minorHAnsi"/>
          <w:sz w:val="24"/>
          <w:szCs w:val="24"/>
          <w:lang w:val="en-GB"/>
        </w:rPr>
      </w:pPr>
      <w:bookmarkStart w:id="0" w:name="_Hlk142234194"/>
      <w:r w:rsidRPr="00BF61FF">
        <w:rPr>
          <w:rFonts w:asciiTheme="minorHAnsi" w:hAnsiTheme="minorHAnsi" w:cstheme="minorHAnsi"/>
          <w:sz w:val="24"/>
          <w:szCs w:val="24"/>
          <w:lang w:val="en-GB"/>
        </w:rPr>
        <w:t>The following standard documentation would be prepared in relation to the Syndicated Ijarah Documentation Standard</w:t>
      </w:r>
      <w:bookmarkEnd w:id="0"/>
      <w:r w:rsidRPr="00BF61FF">
        <w:rPr>
          <w:rFonts w:asciiTheme="minorHAnsi" w:hAnsiTheme="minorHAnsi" w:cstheme="minorHAnsi"/>
          <w:sz w:val="24"/>
          <w:szCs w:val="24"/>
          <w:lang w:val="en-GB"/>
        </w:rPr>
        <w:t>:</w:t>
      </w:r>
    </w:p>
    <w:p w14:paraId="7F8A66D9" w14:textId="77777777" w:rsidR="00E50AE7" w:rsidRPr="00BF61FF" w:rsidRDefault="00E50AE7" w:rsidP="00E50AE7">
      <w:pPr>
        <w:spacing w:line="276" w:lineRule="auto"/>
        <w:jc w:val="both"/>
        <w:rPr>
          <w:rFonts w:asciiTheme="minorHAnsi" w:hAnsiTheme="minorHAnsi" w:cstheme="minorHAnsi"/>
          <w:sz w:val="24"/>
          <w:szCs w:val="24"/>
          <w:lang w:val="en-GB"/>
        </w:rPr>
      </w:pPr>
    </w:p>
    <w:p w14:paraId="7B987DC0" w14:textId="77777777" w:rsidR="00E50AE7" w:rsidRPr="00BF61FF" w:rsidRDefault="00E50AE7" w:rsidP="00E50AE7">
      <w:pPr>
        <w:numPr>
          <w:ilvl w:val="0"/>
          <w:numId w:val="35"/>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an investment agency agreement;</w:t>
      </w:r>
    </w:p>
    <w:p w14:paraId="241D36BF" w14:textId="77777777" w:rsidR="00E50AE7" w:rsidRPr="00BF61FF" w:rsidRDefault="00E50AE7" w:rsidP="00E50AE7">
      <w:pPr>
        <w:numPr>
          <w:ilvl w:val="0"/>
          <w:numId w:val="35"/>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an ijarah agreement;</w:t>
      </w:r>
    </w:p>
    <w:p w14:paraId="0FCA0AF1" w14:textId="77777777" w:rsidR="00E50AE7" w:rsidRPr="00BF61FF" w:rsidRDefault="00E50AE7" w:rsidP="00E50AE7">
      <w:pPr>
        <w:numPr>
          <w:ilvl w:val="0"/>
          <w:numId w:val="35"/>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 service agency agreement;</w:t>
      </w:r>
    </w:p>
    <w:p w14:paraId="551272F3" w14:textId="77777777" w:rsidR="00E50AE7" w:rsidRPr="00BF61FF" w:rsidRDefault="00E50AE7" w:rsidP="00E50AE7">
      <w:pPr>
        <w:numPr>
          <w:ilvl w:val="0"/>
          <w:numId w:val="35"/>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 purchase undertaking;</w:t>
      </w:r>
    </w:p>
    <w:p w14:paraId="3FD0C558" w14:textId="77777777" w:rsidR="00E50AE7" w:rsidRPr="00BF61FF" w:rsidRDefault="00E50AE7" w:rsidP="00E50AE7">
      <w:pPr>
        <w:numPr>
          <w:ilvl w:val="0"/>
          <w:numId w:val="35"/>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a sale undertaking; and </w:t>
      </w:r>
    </w:p>
    <w:p w14:paraId="472F9E7B" w14:textId="648B5DCC" w:rsidR="00E50AE7" w:rsidRPr="00BF61FF" w:rsidRDefault="00E50AE7" w:rsidP="00E50AE7">
      <w:pPr>
        <w:numPr>
          <w:ilvl w:val="0"/>
          <w:numId w:val="35"/>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any other documentation </w:t>
      </w:r>
      <w:r w:rsidR="007D190F" w:rsidRPr="00BF61FF">
        <w:rPr>
          <w:rFonts w:asciiTheme="minorHAnsi" w:hAnsiTheme="minorHAnsi" w:cstheme="minorHAnsi"/>
          <w:sz w:val="24"/>
          <w:szCs w:val="24"/>
          <w:lang w:val="en-GB"/>
        </w:rPr>
        <w:t>recommended</w:t>
      </w:r>
      <w:r w:rsidRPr="00BF61FF">
        <w:rPr>
          <w:rFonts w:asciiTheme="minorHAnsi" w:hAnsiTheme="minorHAnsi" w:cstheme="minorHAnsi"/>
          <w:sz w:val="24"/>
          <w:szCs w:val="24"/>
          <w:lang w:val="en-GB"/>
        </w:rPr>
        <w:t xml:space="preserve"> during the working group </w:t>
      </w:r>
    </w:p>
    <w:p w14:paraId="08DFA28A" w14:textId="77777777" w:rsidR="00E50AE7" w:rsidRPr="00BF61FF"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      consultation process</w:t>
      </w:r>
    </w:p>
    <w:p w14:paraId="066B310C" w14:textId="77777777" w:rsidR="00E50AE7" w:rsidRPr="00BF61FF" w:rsidRDefault="00E50AE7" w:rsidP="00E50AE7">
      <w:pPr>
        <w:spacing w:line="276" w:lineRule="auto"/>
        <w:rPr>
          <w:rFonts w:asciiTheme="minorHAnsi" w:hAnsiTheme="minorHAnsi" w:cstheme="minorHAnsi"/>
          <w:b/>
          <w:bCs/>
          <w:sz w:val="24"/>
          <w:szCs w:val="24"/>
          <w:u w:val="single"/>
          <w:lang w:val="en-GB"/>
        </w:rPr>
      </w:pPr>
    </w:p>
    <w:p w14:paraId="59455394" w14:textId="53F82E61" w:rsidR="00E50AE7" w:rsidRPr="00BF61FF" w:rsidRDefault="00E50AE7" w:rsidP="00E50AE7">
      <w:pPr>
        <w:numPr>
          <w:ilvl w:val="0"/>
          <w:numId w:val="37"/>
        </w:numPr>
        <w:spacing w:line="276" w:lineRule="auto"/>
        <w:rPr>
          <w:rFonts w:asciiTheme="minorHAnsi" w:hAnsiTheme="minorHAnsi" w:cstheme="minorHAnsi"/>
          <w:b/>
          <w:bCs/>
          <w:sz w:val="24"/>
          <w:szCs w:val="24"/>
          <w:u w:val="single"/>
          <w:lang w:val="en-GB"/>
        </w:rPr>
      </w:pPr>
      <w:r w:rsidRPr="00BF61FF">
        <w:rPr>
          <w:rFonts w:asciiTheme="minorHAnsi" w:hAnsiTheme="minorHAnsi" w:cstheme="minorHAnsi"/>
          <w:b/>
          <w:bCs/>
          <w:sz w:val="24"/>
          <w:szCs w:val="24"/>
          <w:u w:val="single"/>
          <w:lang w:val="en-GB"/>
        </w:rPr>
        <w:t>Inter Creditor Agreement (Islamic &amp; Dual tranche transactions)</w:t>
      </w:r>
    </w:p>
    <w:p w14:paraId="53A433C6" w14:textId="77777777" w:rsidR="00E50AE7" w:rsidRPr="00BF61FF" w:rsidRDefault="00E50AE7" w:rsidP="00E50AE7">
      <w:pPr>
        <w:spacing w:line="276" w:lineRule="auto"/>
        <w:rPr>
          <w:rFonts w:asciiTheme="minorHAnsi" w:hAnsiTheme="minorHAnsi" w:cstheme="minorHAnsi"/>
          <w:b/>
          <w:bCs/>
          <w:sz w:val="24"/>
          <w:szCs w:val="24"/>
          <w:u w:val="single"/>
          <w:lang w:val="en-GB"/>
        </w:rPr>
      </w:pPr>
    </w:p>
    <w:p w14:paraId="26CEB166" w14:textId="4D0AF36F" w:rsidR="00FA580B" w:rsidRDefault="00E50AE7" w:rsidP="00E50AE7">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lastRenderedPageBreak/>
        <w:t>The inter-creditor agreement which is one of the essential parts of the syndication documentation need to be developed for Islamic transaction as well as dual tranche syndication transactions</w:t>
      </w:r>
      <w:r w:rsidR="00BF61FF">
        <w:rPr>
          <w:rFonts w:asciiTheme="minorHAnsi" w:hAnsiTheme="minorHAnsi" w:cstheme="minorHAnsi"/>
          <w:sz w:val="24"/>
          <w:szCs w:val="24"/>
          <w:lang w:val="en-GB"/>
        </w:rPr>
        <w:t>.</w:t>
      </w:r>
    </w:p>
    <w:p w14:paraId="3829BBAC" w14:textId="341180DD" w:rsidR="00BF61FF" w:rsidRDefault="00BF61FF" w:rsidP="00E50AE7">
      <w:pPr>
        <w:spacing w:line="276" w:lineRule="auto"/>
        <w:jc w:val="both"/>
        <w:rPr>
          <w:rFonts w:asciiTheme="minorHAnsi" w:hAnsiTheme="minorHAnsi" w:cstheme="minorHAnsi"/>
          <w:sz w:val="24"/>
          <w:szCs w:val="24"/>
          <w:lang w:val="en-GB"/>
        </w:rPr>
      </w:pPr>
    </w:p>
    <w:p w14:paraId="1B5E6917" w14:textId="7765F9D5" w:rsidR="00BF61FF" w:rsidRPr="00BF61FF" w:rsidRDefault="00BF61FF" w:rsidP="00BF61FF">
      <w:pPr>
        <w:spacing w:line="276" w:lineRule="auto"/>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KEY CONSIDERATIONS IN DEVELOPING THE OUTPUTS</w:t>
      </w:r>
    </w:p>
    <w:p w14:paraId="1E896DC9" w14:textId="77777777" w:rsidR="00BF61FF" w:rsidRDefault="00BF61FF" w:rsidP="00E50AE7">
      <w:pPr>
        <w:spacing w:line="276" w:lineRule="auto"/>
        <w:jc w:val="both"/>
        <w:rPr>
          <w:rFonts w:asciiTheme="minorHAnsi" w:hAnsiTheme="minorHAnsi" w:cstheme="minorHAnsi"/>
          <w:sz w:val="24"/>
          <w:szCs w:val="24"/>
          <w:lang w:val="en-GB"/>
        </w:rPr>
      </w:pPr>
    </w:p>
    <w:p w14:paraId="4D86ADD5" w14:textId="77777777" w:rsidR="00BF61FF" w:rsidRPr="00BF61FF" w:rsidRDefault="00BF61FF" w:rsidP="00BF61FF">
      <w:pPr>
        <w:numPr>
          <w:ilvl w:val="0"/>
          <w:numId w:val="36"/>
        </w:numPr>
        <w:spacing w:line="276" w:lineRule="auto"/>
        <w:rPr>
          <w:rFonts w:asciiTheme="minorHAnsi" w:hAnsiTheme="minorHAnsi" w:cstheme="minorHAnsi"/>
          <w:b/>
          <w:bCs/>
          <w:sz w:val="24"/>
          <w:szCs w:val="24"/>
          <w:u w:val="single"/>
          <w:lang w:val="en-GB"/>
        </w:rPr>
      </w:pPr>
      <w:r w:rsidRPr="00BF61FF">
        <w:rPr>
          <w:rFonts w:asciiTheme="minorHAnsi" w:hAnsiTheme="minorHAnsi" w:cstheme="minorHAnsi"/>
          <w:b/>
          <w:bCs/>
          <w:sz w:val="24"/>
          <w:szCs w:val="24"/>
          <w:u w:val="single"/>
          <w:lang w:val="en-GB"/>
        </w:rPr>
        <w:t xml:space="preserve">  As Identified by the working group on this important project</w:t>
      </w:r>
    </w:p>
    <w:p w14:paraId="42C7A70F" w14:textId="77777777" w:rsidR="00BF61FF" w:rsidRPr="00BF61FF" w:rsidRDefault="00BF61FF" w:rsidP="00BF61FF">
      <w:pPr>
        <w:spacing w:line="276" w:lineRule="auto"/>
        <w:jc w:val="both"/>
        <w:rPr>
          <w:rFonts w:asciiTheme="minorHAnsi" w:hAnsiTheme="minorHAnsi" w:cstheme="minorHAnsi"/>
          <w:b/>
          <w:bCs/>
          <w:sz w:val="24"/>
          <w:szCs w:val="24"/>
        </w:rPr>
      </w:pPr>
    </w:p>
    <w:p w14:paraId="0060CCC2" w14:textId="77777777" w:rsidR="00BF61FF" w:rsidRPr="00BF61FF" w:rsidRDefault="00BF61FF" w:rsidP="00BF61FF">
      <w:pPr>
        <w:numPr>
          <w:ilvl w:val="0"/>
          <w:numId w:val="39"/>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Related standards such as IIFM Master Funded Participation Agreement, IIFM Master Collateralized Murabahah Agreement, IIFM Sukuk Al Ijarah Documentation will be available as reference documentation for this project.</w:t>
      </w:r>
    </w:p>
    <w:p w14:paraId="1C9BEDF1" w14:textId="77777777" w:rsidR="00BF61FF" w:rsidRPr="00BF61FF" w:rsidRDefault="00BF61FF" w:rsidP="00BF61FF">
      <w:p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b/>
      </w:r>
    </w:p>
    <w:p w14:paraId="25040AA0" w14:textId="745304D7" w:rsidR="00BF61FF" w:rsidRPr="00BF61FF" w:rsidRDefault="00BF61FF" w:rsidP="00BF61FF">
      <w:pPr>
        <w:numPr>
          <w:ilvl w:val="0"/>
          <w:numId w:val="39"/>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As per the Core Working Group recommendation; the Syndicated Financing Documentation architecture particularly terms and conditions relating to credit and dispute resolution issues may be based on LMA documentation.  </w:t>
      </w:r>
    </w:p>
    <w:p w14:paraId="27185659" w14:textId="77777777" w:rsidR="00BF61FF" w:rsidRPr="00BF61FF" w:rsidRDefault="00BF61FF" w:rsidP="00BF61FF">
      <w:pPr>
        <w:spacing w:line="276" w:lineRule="auto"/>
        <w:jc w:val="both"/>
        <w:rPr>
          <w:rFonts w:asciiTheme="minorHAnsi" w:hAnsiTheme="minorHAnsi" w:cstheme="minorHAnsi"/>
          <w:sz w:val="24"/>
          <w:szCs w:val="24"/>
          <w:lang w:val="en-GB"/>
        </w:rPr>
      </w:pPr>
    </w:p>
    <w:p w14:paraId="6BB54CFA" w14:textId="77777777" w:rsidR="00BF61FF" w:rsidRPr="00BF61FF" w:rsidRDefault="00BF61FF" w:rsidP="00BF61FF">
      <w:pPr>
        <w:numPr>
          <w:ilvl w:val="0"/>
          <w:numId w:val="39"/>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The drafting of Initial syndication documentation to be put together with the external legal counsel in coordination with the management will be based on syndication documentation shared by certain member institutions of IIFM. Moreover, the external legal counsel will be requested to use its internal documentation.</w:t>
      </w:r>
    </w:p>
    <w:p w14:paraId="2556F8F3" w14:textId="77777777" w:rsidR="00BF61FF" w:rsidRPr="00BF61FF" w:rsidRDefault="00BF61FF" w:rsidP="00BF61FF">
      <w:pPr>
        <w:spacing w:line="276" w:lineRule="auto"/>
        <w:jc w:val="both"/>
        <w:rPr>
          <w:rFonts w:asciiTheme="minorHAnsi" w:hAnsiTheme="minorHAnsi" w:cstheme="minorHAnsi"/>
          <w:sz w:val="24"/>
          <w:szCs w:val="24"/>
          <w:lang w:val="en-GB"/>
        </w:rPr>
      </w:pPr>
    </w:p>
    <w:p w14:paraId="14994BEF" w14:textId="77777777" w:rsidR="00BF61FF" w:rsidRPr="00BF61FF" w:rsidRDefault="00BF61FF" w:rsidP="00BF61FF">
      <w:pPr>
        <w:numPr>
          <w:ilvl w:val="0"/>
          <w:numId w:val="39"/>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As per IIFM standardization process external legal counsel will be appointed to assist in the drafting and the working group consultation process as well as Standard development final phase of IIFM </w:t>
      </w:r>
      <w:proofErr w:type="gramStart"/>
      <w:r w:rsidRPr="00BF61FF">
        <w:rPr>
          <w:rFonts w:asciiTheme="minorHAnsi" w:hAnsiTheme="minorHAnsi" w:cstheme="minorHAnsi"/>
          <w:sz w:val="24"/>
          <w:szCs w:val="24"/>
          <w:lang w:val="en-GB"/>
        </w:rPr>
        <w:t>Shari‘</w:t>
      </w:r>
      <w:proofErr w:type="gramEnd"/>
      <w:r w:rsidRPr="00BF61FF">
        <w:rPr>
          <w:rFonts w:asciiTheme="minorHAnsi" w:hAnsiTheme="minorHAnsi" w:cstheme="minorHAnsi"/>
          <w:sz w:val="24"/>
          <w:szCs w:val="24"/>
          <w:lang w:val="en-GB"/>
        </w:rPr>
        <w:t xml:space="preserve">ah Board guidance and approval process. </w:t>
      </w:r>
    </w:p>
    <w:p w14:paraId="5802D881" w14:textId="77777777" w:rsidR="00BF61FF" w:rsidRPr="00BF61FF" w:rsidRDefault="00BF61FF" w:rsidP="00BF61FF">
      <w:pPr>
        <w:spacing w:line="276" w:lineRule="auto"/>
        <w:jc w:val="both"/>
        <w:rPr>
          <w:rFonts w:asciiTheme="minorHAnsi" w:hAnsiTheme="minorHAnsi" w:cstheme="minorHAnsi"/>
          <w:sz w:val="24"/>
          <w:szCs w:val="24"/>
        </w:rPr>
      </w:pPr>
      <w:r w:rsidRPr="00BF61FF">
        <w:rPr>
          <w:rFonts w:asciiTheme="minorHAnsi" w:hAnsiTheme="minorHAnsi" w:cstheme="minorHAnsi"/>
          <w:sz w:val="24"/>
          <w:szCs w:val="24"/>
          <w:lang w:val="en-GB"/>
        </w:rPr>
        <w:t xml:space="preserve"> </w:t>
      </w:r>
      <w:r w:rsidRPr="00BF61FF">
        <w:rPr>
          <w:rFonts w:asciiTheme="minorHAnsi" w:hAnsiTheme="minorHAnsi" w:cstheme="minorHAnsi"/>
          <w:sz w:val="24"/>
          <w:szCs w:val="24"/>
          <w:lang w:val="en-GB"/>
        </w:rPr>
        <w:tab/>
      </w:r>
    </w:p>
    <w:p w14:paraId="0038AE0D" w14:textId="77777777" w:rsidR="00BF61FF" w:rsidRPr="00BF61FF" w:rsidRDefault="00BF61FF" w:rsidP="00BF61FF">
      <w:pPr>
        <w:numPr>
          <w:ilvl w:val="0"/>
          <w:numId w:val="36"/>
        </w:numPr>
        <w:spacing w:line="276" w:lineRule="auto"/>
        <w:rPr>
          <w:rFonts w:asciiTheme="minorHAnsi" w:hAnsiTheme="minorHAnsi" w:cstheme="minorHAnsi"/>
          <w:b/>
          <w:bCs/>
          <w:sz w:val="24"/>
          <w:szCs w:val="24"/>
          <w:u w:val="single"/>
          <w:lang w:val="en-GB"/>
        </w:rPr>
      </w:pPr>
      <w:r w:rsidRPr="00BF61FF">
        <w:rPr>
          <w:rFonts w:asciiTheme="minorHAnsi" w:hAnsiTheme="minorHAnsi" w:cstheme="minorHAnsi"/>
          <w:b/>
          <w:bCs/>
          <w:sz w:val="24"/>
          <w:szCs w:val="24"/>
          <w:u w:val="single"/>
          <w:lang w:val="en-GB"/>
        </w:rPr>
        <w:t xml:space="preserve">The Impact of AAOIFI </w:t>
      </w:r>
      <w:proofErr w:type="gramStart"/>
      <w:r w:rsidRPr="00BF61FF">
        <w:rPr>
          <w:rFonts w:asciiTheme="minorHAnsi" w:hAnsiTheme="minorHAnsi" w:cstheme="minorHAnsi"/>
          <w:b/>
          <w:bCs/>
          <w:sz w:val="24"/>
          <w:szCs w:val="24"/>
          <w:u w:val="single"/>
          <w:lang w:val="en-GB"/>
        </w:rPr>
        <w:t>Shari‘</w:t>
      </w:r>
      <w:proofErr w:type="gramEnd"/>
      <w:r w:rsidRPr="00BF61FF">
        <w:rPr>
          <w:rFonts w:asciiTheme="minorHAnsi" w:hAnsiTheme="minorHAnsi" w:cstheme="minorHAnsi"/>
          <w:b/>
          <w:bCs/>
          <w:sz w:val="24"/>
          <w:szCs w:val="24"/>
          <w:u w:val="single"/>
          <w:lang w:val="en-GB"/>
        </w:rPr>
        <w:t>ah  Standard No. 59</w:t>
      </w:r>
    </w:p>
    <w:p w14:paraId="1979CC64" w14:textId="77777777" w:rsidR="00BF61FF" w:rsidRPr="00BF61FF" w:rsidRDefault="00BF61FF" w:rsidP="00BF61FF">
      <w:pPr>
        <w:spacing w:line="276" w:lineRule="auto"/>
        <w:jc w:val="both"/>
        <w:rPr>
          <w:rFonts w:asciiTheme="minorHAnsi" w:hAnsiTheme="minorHAnsi" w:cstheme="minorHAnsi"/>
          <w:sz w:val="24"/>
          <w:szCs w:val="24"/>
        </w:rPr>
      </w:pPr>
    </w:p>
    <w:p w14:paraId="70A2DD7C" w14:textId="77777777" w:rsidR="00BF61FF" w:rsidRPr="00BF61FF" w:rsidRDefault="00BF61FF" w:rsidP="00BF61FF">
      <w:pPr>
        <w:spacing w:line="276" w:lineRule="auto"/>
        <w:jc w:val="both"/>
        <w:rPr>
          <w:rFonts w:asciiTheme="minorHAnsi" w:hAnsiTheme="minorHAnsi" w:cstheme="minorHAnsi"/>
          <w:sz w:val="24"/>
          <w:szCs w:val="24"/>
        </w:rPr>
      </w:pPr>
      <w:r w:rsidRPr="00BF61FF">
        <w:rPr>
          <w:rFonts w:asciiTheme="minorHAnsi" w:hAnsiTheme="minorHAnsi" w:cstheme="minorHAnsi"/>
          <w:sz w:val="24"/>
          <w:szCs w:val="24"/>
        </w:rPr>
        <w:t xml:space="preserve">The impact of the AAOIFI </w:t>
      </w:r>
      <w:proofErr w:type="gramStart"/>
      <w:r w:rsidRPr="00BF61FF">
        <w:rPr>
          <w:rFonts w:asciiTheme="minorHAnsi" w:hAnsiTheme="minorHAnsi" w:cstheme="minorHAnsi"/>
          <w:sz w:val="24"/>
          <w:szCs w:val="24"/>
        </w:rPr>
        <w:t>Shari‘</w:t>
      </w:r>
      <w:proofErr w:type="gramEnd"/>
      <w:r w:rsidRPr="00BF61FF">
        <w:rPr>
          <w:rFonts w:asciiTheme="minorHAnsi" w:hAnsiTheme="minorHAnsi" w:cstheme="minorHAnsi"/>
          <w:sz w:val="24"/>
          <w:szCs w:val="24"/>
        </w:rPr>
        <w:t xml:space="preserve">ah Standard No. (59) on the syndication transaction was extensively deliberated by CWG and it was pointed out that in certain jurisdictions Revolving Murabahah is a major challenge and fixing of profit rate </w:t>
      </w:r>
      <w:proofErr w:type="spellStart"/>
      <w:r w:rsidRPr="00BF61FF">
        <w:rPr>
          <w:rFonts w:asciiTheme="minorHAnsi" w:hAnsiTheme="minorHAnsi" w:cstheme="minorHAnsi"/>
          <w:sz w:val="24"/>
          <w:szCs w:val="24"/>
        </w:rPr>
        <w:t>etc</w:t>
      </w:r>
      <w:proofErr w:type="spellEnd"/>
      <w:r w:rsidRPr="00BF61FF">
        <w:rPr>
          <w:rFonts w:asciiTheme="minorHAnsi" w:hAnsiTheme="minorHAnsi" w:cstheme="minorHAnsi"/>
          <w:sz w:val="24"/>
          <w:szCs w:val="24"/>
        </w:rPr>
        <w:t xml:space="preserve"> are issues which need to be addressed in the drafting process of standard documentation.</w:t>
      </w:r>
    </w:p>
    <w:p w14:paraId="3317DF5B" w14:textId="77777777" w:rsidR="00BF61FF" w:rsidRPr="00BF61FF" w:rsidRDefault="00BF61FF" w:rsidP="00BF61FF">
      <w:pPr>
        <w:spacing w:line="276" w:lineRule="auto"/>
        <w:jc w:val="both"/>
        <w:rPr>
          <w:rFonts w:asciiTheme="minorHAnsi" w:hAnsiTheme="minorHAnsi" w:cstheme="minorHAnsi"/>
          <w:sz w:val="24"/>
          <w:szCs w:val="24"/>
        </w:rPr>
      </w:pPr>
    </w:p>
    <w:p w14:paraId="35E0751C" w14:textId="77777777" w:rsidR="00BF61FF" w:rsidRPr="00BF61FF" w:rsidRDefault="00BF61FF" w:rsidP="00BF61FF">
      <w:pPr>
        <w:spacing w:line="276" w:lineRule="auto"/>
        <w:jc w:val="both"/>
        <w:rPr>
          <w:rFonts w:asciiTheme="minorHAnsi" w:hAnsiTheme="minorHAnsi" w:cstheme="minorHAnsi"/>
          <w:sz w:val="24"/>
          <w:szCs w:val="24"/>
        </w:rPr>
      </w:pPr>
      <w:r w:rsidRPr="00BF61FF">
        <w:rPr>
          <w:rFonts w:asciiTheme="minorHAnsi" w:hAnsiTheme="minorHAnsi" w:cstheme="minorHAnsi"/>
          <w:sz w:val="24"/>
          <w:szCs w:val="24"/>
        </w:rPr>
        <w:t>The CWG noted that IIFM RFR implementation solution for Murabahah financing can be used to overcome the above challenges and the solutions to be referred in the documentation drafting process.</w:t>
      </w:r>
    </w:p>
    <w:p w14:paraId="7EF97ED9" w14:textId="77777777" w:rsidR="00BF61FF" w:rsidRPr="00BF61FF" w:rsidRDefault="00BF61FF" w:rsidP="00BF61FF">
      <w:pPr>
        <w:spacing w:line="276" w:lineRule="auto"/>
        <w:jc w:val="both"/>
        <w:rPr>
          <w:rFonts w:asciiTheme="minorHAnsi" w:hAnsiTheme="minorHAnsi" w:cstheme="minorHAnsi"/>
          <w:sz w:val="24"/>
          <w:szCs w:val="24"/>
        </w:rPr>
      </w:pPr>
    </w:p>
    <w:p w14:paraId="25340C4D" w14:textId="77777777" w:rsidR="00BF61FF" w:rsidRPr="00BF61FF" w:rsidRDefault="00BF61FF" w:rsidP="00BF61FF">
      <w:pPr>
        <w:numPr>
          <w:ilvl w:val="0"/>
          <w:numId w:val="36"/>
        </w:numPr>
        <w:spacing w:line="276" w:lineRule="auto"/>
        <w:rPr>
          <w:rFonts w:asciiTheme="minorHAnsi" w:hAnsiTheme="minorHAnsi" w:cstheme="minorHAnsi"/>
          <w:b/>
          <w:bCs/>
          <w:sz w:val="24"/>
          <w:szCs w:val="24"/>
          <w:u w:val="single"/>
          <w:lang w:val="en-GB"/>
        </w:rPr>
      </w:pPr>
      <w:bookmarkStart w:id="1" w:name="_Hlk142316799"/>
      <w:r w:rsidRPr="00BF61FF">
        <w:rPr>
          <w:rFonts w:asciiTheme="minorHAnsi" w:hAnsiTheme="minorHAnsi" w:cstheme="minorHAnsi"/>
          <w:b/>
          <w:bCs/>
          <w:sz w:val="24"/>
          <w:szCs w:val="24"/>
          <w:u w:val="single"/>
          <w:lang w:val="en-GB"/>
        </w:rPr>
        <w:t xml:space="preserve">Other Syndication Material </w:t>
      </w:r>
    </w:p>
    <w:bookmarkEnd w:id="1"/>
    <w:p w14:paraId="58C89FAB" w14:textId="77777777" w:rsidR="00BF61FF" w:rsidRPr="00BF61FF" w:rsidRDefault="00BF61FF" w:rsidP="00BF61FF">
      <w:pPr>
        <w:spacing w:line="276" w:lineRule="auto"/>
        <w:jc w:val="both"/>
        <w:rPr>
          <w:rFonts w:asciiTheme="minorHAnsi" w:hAnsiTheme="minorHAnsi" w:cstheme="minorHAnsi"/>
          <w:bCs/>
          <w:sz w:val="24"/>
          <w:szCs w:val="24"/>
        </w:rPr>
      </w:pPr>
    </w:p>
    <w:p w14:paraId="23A237B8" w14:textId="77777777" w:rsidR="00BF61FF" w:rsidRPr="00BF61FF" w:rsidRDefault="00BF61FF" w:rsidP="00BF61FF">
      <w:pPr>
        <w:spacing w:line="276" w:lineRule="auto"/>
        <w:jc w:val="both"/>
        <w:rPr>
          <w:rFonts w:asciiTheme="minorHAnsi" w:hAnsiTheme="minorHAnsi" w:cstheme="minorHAnsi"/>
          <w:bCs/>
          <w:sz w:val="24"/>
          <w:szCs w:val="24"/>
        </w:rPr>
      </w:pPr>
      <w:r w:rsidRPr="00BF61FF">
        <w:rPr>
          <w:rFonts w:asciiTheme="minorHAnsi" w:hAnsiTheme="minorHAnsi" w:cstheme="minorHAnsi"/>
          <w:bCs/>
          <w:sz w:val="24"/>
          <w:szCs w:val="24"/>
        </w:rPr>
        <w:t>The related syndication and material which need to be developed as schedules is as follows:</w:t>
      </w:r>
    </w:p>
    <w:p w14:paraId="21404418" w14:textId="77777777" w:rsidR="00BF61FF" w:rsidRPr="00BF61FF" w:rsidRDefault="00BF61FF" w:rsidP="00BF61FF">
      <w:pPr>
        <w:numPr>
          <w:ilvl w:val="0"/>
          <w:numId w:val="40"/>
        </w:numPr>
        <w:spacing w:line="276" w:lineRule="auto"/>
        <w:jc w:val="both"/>
        <w:rPr>
          <w:rFonts w:asciiTheme="minorHAnsi" w:hAnsiTheme="minorHAnsi" w:cstheme="minorHAnsi"/>
          <w:bCs/>
          <w:sz w:val="24"/>
          <w:szCs w:val="24"/>
        </w:rPr>
      </w:pPr>
      <w:r w:rsidRPr="00BF61FF">
        <w:rPr>
          <w:rFonts w:asciiTheme="minorHAnsi" w:hAnsiTheme="minorHAnsi" w:cstheme="minorHAnsi"/>
          <w:b/>
          <w:sz w:val="24"/>
          <w:szCs w:val="24"/>
        </w:rPr>
        <w:t xml:space="preserve">Mandate Letter </w:t>
      </w:r>
    </w:p>
    <w:p w14:paraId="398113AD" w14:textId="77777777" w:rsidR="00BF61FF" w:rsidRPr="00BF61FF" w:rsidRDefault="00BF61FF" w:rsidP="00BF61FF">
      <w:pPr>
        <w:numPr>
          <w:ilvl w:val="1"/>
          <w:numId w:val="41"/>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Financing amount, currency and tranches, revolving facility</w:t>
      </w:r>
    </w:p>
    <w:p w14:paraId="27DCAE37" w14:textId="77777777" w:rsidR="00BF61FF" w:rsidRPr="00BF61FF" w:rsidRDefault="00BF61FF" w:rsidP="00BF61FF">
      <w:pPr>
        <w:numPr>
          <w:ilvl w:val="0"/>
          <w:numId w:val="42"/>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lastRenderedPageBreak/>
        <w:t>Fees for the arrangers</w:t>
      </w:r>
    </w:p>
    <w:p w14:paraId="581429B4" w14:textId="77777777" w:rsidR="00BF61FF" w:rsidRPr="00BF61FF" w:rsidRDefault="00BF61FF" w:rsidP="00BF61FF">
      <w:pPr>
        <w:numPr>
          <w:ilvl w:val="0"/>
          <w:numId w:val="42"/>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Governing law </w:t>
      </w:r>
    </w:p>
    <w:p w14:paraId="1890C14C" w14:textId="77777777" w:rsidR="00BF61FF" w:rsidRPr="00BF61FF" w:rsidRDefault="00BF61FF" w:rsidP="00BF61FF">
      <w:pPr>
        <w:numPr>
          <w:ilvl w:val="0"/>
          <w:numId w:val="42"/>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Duration of the mandate</w:t>
      </w:r>
    </w:p>
    <w:p w14:paraId="04545176" w14:textId="77777777" w:rsidR="00BF61FF" w:rsidRPr="00BF61FF" w:rsidRDefault="00BF61FF" w:rsidP="00BF61FF">
      <w:pPr>
        <w:numPr>
          <w:ilvl w:val="0"/>
          <w:numId w:val="42"/>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Deal Type – Fully underwritten, Club Deal, Best efforts basis</w:t>
      </w:r>
    </w:p>
    <w:p w14:paraId="31C5CEF8" w14:textId="77777777" w:rsidR="00BF61FF" w:rsidRPr="00BF61FF" w:rsidRDefault="00BF61FF" w:rsidP="00BF61FF">
      <w:pPr>
        <w:numPr>
          <w:ilvl w:val="0"/>
          <w:numId w:val="42"/>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Any security arrangement</w:t>
      </w:r>
    </w:p>
    <w:p w14:paraId="0CA1D54A" w14:textId="77777777" w:rsidR="00BF61FF" w:rsidRPr="00BF61FF" w:rsidRDefault="00BF61FF" w:rsidP="00BF61FF">
      <w:pPr>
        <w:numPr>
          <w:ilvl w:val="0"/>
          <w:numId w:val="42"/>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Term sheet</w:t>
      </w:r>
    </w:p>
    <w:p w14:paraId="37803F84" w14:textId="77777777" w:rsidR="00BF61FF" w:rsidRPr="00BF61FF" w:rsidRDefault="00BF61FF" w:rsidP="00BF61FF">
      <w:pPr>
        <w:numPr>
          <w:ilvl w:val="0"/>
          <w:numId w:val="42"/>
        </w:numPr>
        <w:spacing w:line="276" w:lineRule="auto"/>
        <w:jc w:val="both"/>
        <w:rPr>
          <w:rFonts w:asciiTheme="minorHAnsi" w:hAnsiTheme="minorHAnsi" w:cstheme="minorHAnsi"/>
          <w:sz w:val="24"/>
          <w:szCs w:val="24"/>
          <w:lang w:val="en-GB"/>
        </w:rPr>
      </w:pPr>
      <w:r w:rsidRPr="00BF61FF">
        <w:rPr>
          <w:rFonts w:asciiTheme="minorHAnsi" w:hAnsiTheme="minorHAnsi" w:cstheme="minorHAnsi"/>
          <w:sz w:val="24"/>
          <w:szCs w:val="24"/>
          <w:lang w:val="en-GB"/>
        </w:rPr>
        <w:t xml:space="preserve">Confidentiality </w:t>
      </w:r>
    </w:p>
    <w:p w14:paraId="4E11774E" w14:textId="77777777" w:rsidR="00BF61FF" w:rsidRPr="00BF61FF" w:rsidRDefault="00BF61FF" w:rsidP="00BF61FF">
      <w:pPr>
        <w:spacing w:line="276" w:lineRule="auto"/>
        <w:jc w:val="both"/>
        <w:rPr>
          <w:rFonts w:asciiTheme="minorHAnsi" w:hAnsiTheme="minorHAnsi" w:cstheme="minorHAnsi"/>
          <w:sz w:val="24"/>
          <w:szCs w:val="24"/>
          <w:lang w:val="en-GB"/>
        </w:rPr>
      </w:pPr>
    </w:p>
    <w:p w14:paraId="0F1AC8B3" w14:textId="77777777" w:rsidR="00BF61FF" w:rsidRPr="00BF61FF" w:rsidRDefault="00BF61FF" w:rsidP="00BF61FF">
      <w:pPr>
        <w:numPr>
          <w:ilvl w:val="0"/>
          <w:numId w:val="36"/>
        </w:numPr>
        <w:spacing w:line="276" w:lineRule="auto"/>
        <w:rPr>
          <w:rFonts w:asciiTheme="minorHAnsi" w:hAnsiTheme="minorHAnsi" w:cstheme="minorHAnsi"/>
          <w:b/>
          <w:bCs/>
          <w:sz w:val="24"/>
          <w:szCs w:val="24"/>
          <w:u w:val="single"/>
          <w:lang w:val="en-GB"/>
        </w:rPr>
      </w:pPr>
      <w:r w:rsidRPr="00BF61FF">
        <w:rPr>
          <w:rFonts w:asciiTheme="minorHAnsi" w:hAnsiTheme="minorHAnsi" w:cstheme="minorHAnsi"/>
          <w:b/>
          <w:bCs/>
          <w:sz w:val="24"/>
          <w:szCs w:val="24"/>
          <w:u w:val="single"/>
          <w:lang w:val="en-GB"/>
        </w:rPr>
        <w:t xml:space="preserve">Use of benchmark rates </w:t>
      </w:r>
    </w:p>
    <w:p w14:paraId="11923AF2" w14:textId="77777777" w:rsidR="00BF61FF" w:rsidRPr="00BF61FF" w:rsidRDefault="00BF61FF" w:rsidP="00BF61FF">
      <w:pPr>
        <w:spacing w:line="276" w:lineRule="auto"/>
        <w:jc w:val="both"/>
        <w:rPr>
          <w:rFonts w:asciiTheme="minorHAnsi" w:hAnsiTheme="minorHAnsi" w:cstheme="minorHAnsi"/>
          <w:bCs/>
          <w:sz w:val="24"/>
          <w:szCs w:val="24"/>
        </w:rPr>
      </w:pPr>
    </w:p>
    <w:p w14:paraId="31EC0711" w14:textId="01871BA9" w:rsidR="00BF61FF" w:rsidRPr="00BF61FF" w:rsidRDefault="00BF61FF" w:rsidP="00BF61FF">
      <w:pPr>
        <w:spacing w:line="276" w:lineRule="auto"/>
        <w:jc w:val="both"/>
        <w:rPr>
          <w:rFonts w:asciiTheme="minorHAnsi" w:hAnsiTheme="minorHAnsi" w:cstheme="minorHAnsi"/>
          <w:b/>
          <w:sz w:val="24"/>
          <w:szCs w:val="24"/>
        </w:rPr>
      </w:pPr>
      <w:r w:rsidRPr="00BF61FF">
        <w:rPr>
          <w:rFonts w:asciiTheme="minorHAnsi" w:hAnsiTheme="minorHAnsi" w:cstheme="minorHAnsi"/>
          <w:bCs/>
          <w:sz w:val="24"/>
          <w:szCs w:val="24"/>
        </w:rPr>
        <w:t xml:space="preserve">The guidance memorandum should also explain use of </w:t>
      </w:r>
      <w:proofErr w:type="gramStart"/>
      <w:r w:rsidRPr="00BF61FF">
        <w:rPr>
          <w:rFonts w:asciiTheme="minorHAnsi" w:hAnsiTheme="minorHAnsi" w:cstheme="minorHAnsi"/>
          <w:bCs/>
          <w:sz w:val="24"/>
          <w:szCs w:val="24"/>
        </w:rPr>
        <w:t>Risk Free</w:t>
      </w:r>
      <w:proofErr w:type="gramEnd"/>
      <w:r w:rsidRPr="00BF61FF">
        <w:rPr>
          <w:rFonts w:asciiTheme="minorHAnsi" w:hAnsiTheme="minorHAnsi" w:cstheme="minorHAnsi"/>
          <w:bCs/>
          <w:sz w:val="24"/>
          <w:szCs w:val="24"/>
        </w:rPr>
        <w:t xml:space="preserve"> Rates (RFR) or Alternative Benchmark Rates generally for hard currencies like US Dollar, Euro, Japanese Yen etc., The explanation and the implementation solution should also cover both daily RFR and term RFR </w:t>
      </w:r>
      <w:r w:rsidRPr="00BF61FF">
        <w:rPr>
          <w:rFonts w:asciiTheme="minorHAnsi" w:hAnsiTheme="minorHAnsi" w:cstheme="minorHAnsi"/>
          <w:b/>
          <w:sz w:val="24"/>
          <w:szCs w:val="24"/>
        </w:rPr>
        <w:t xml:space="preserve"> </w:t>
      </w:r>
    </w:p>
    <w:p w14:paraId="46D7F702" w14:textId="77777777" w:rsidR="00BF61FF" w:rsidRPr="00BF61FF" w:rsidRDefault="00BF61FF" w:rsidP="00BF61FF">
      <w:pPr>
        <w:spacing w:line="276" w:lineRule="auto"/>
        <w:jc w:val="both"/>
        <w:rPr>
          <w:rFonts w:asciiTheme="minorHAnsi" w:hAnsiTheme="minorHAnsi" w:cstheme="minorHAnsi"/>
          <w:b/>
          <w:sz w:val="24"/>
          <w:szCs w:val="24"/>
        </w:rPr>
      </w:pPr>
    </w:p>
    <w:p w14:paraId="662BEDC7" w14:textId="77777777" w:rsidR="00BF61FF" w:rsidRPr="00BF61FF" w:rsidRDefault="00BF61FF" w:rsidP="00BF61FF">
      <w:pPr>
        <w:numPr>
          <w:ilvl w:val="0"/>
          <w:numId w:val="36"/>
        </w:numPr>
        <w:spacing w:line="276" w:lineRule="auto"/>
        <w:rPr>
          <w:rFonts w:asciiTheme="minorHAnsi" w:hAnsiTheme="minorHAnsi" w:cstheme="minorHAnsi"/>
          <w:b/>
          <w:bCs/>
          <w:sz w:val="24"/>
          <w:szCs w:val="24"/>
          <w:u w:val="single"/>
          <w:lang w:val="en-GB"/>
        </w:rPr>
      </w:pPr>
      <w:r w:rsidRPr="00BF61FF">
        <w:rPr>
          <w:rFonts w:asciiTheme="minorHAnsi" w:hAnsiTheme="minorHAnsi" w:cstheme="minorHAnsi"/>
          <w:b/>
          <w:bCs/>
          <w:sz w:val="24"/>
          <w:szCs w:val="24"/>
          <w:u w:val="single"/>
          <w:lang w:val="en-GB"/>
        </w:rPr>
        <w:t>Other Recommendations</w:t>
      </w:r>
    </w:p>
    <w:p w14:paraId="3E4DD445" w14:textId="77777777" w:rsidR="00BF61FF" w:rsidRPr="00BF61FF" w:rsidRDefault="00BF61FF" w:rsidP="00BF61FF">
      <w:pPr>
        <w:spacing w:line="276" w:lineRule="auto"/>
        <w:jc w:val="both"/>
        <w:rPr>
          <w:rFonts w:asciiTheme="minorHAnsi" w:hAnsiTheme="minorHAnsi" w:cstheme="minorHAnsi"/>
          <w:bCs/>
          <w:sz w:val="24"/>
          <w:szCs w:val="24"/>
        </w:rPr>
      </w:pPr>
    </w:p>
    <w:p w14:paraId="4AD520E6" w14:textId="460FC55F" w:rsidR="00BF61FF" w:rsidRPr="00BF61FF" w:rsidRDefault="00BF61FF" w:rsidP="00BF61FF">
      <w:pPr>
        <w:spacing w:line="276" w:lineRule="auto"/>
        <w:jc w:val="both"/>
        <w:rPr>
          <w:rFonts w:asciiTheme="minorHAnsi" w:hAnsiTheme="minorHAnsi" w:cstheme="minorHAnsi"/>
          <w:bCs/>
          <w:sz w:val="24"/>
          <w:szCs w:val="24"/>
        </w:rPr>
      </w:pPr>
      <w:r w:rsidRPr="00BF61FF">
        <w:rPr>
          <w:rFonts w:asciiTheme="minorHAnsi" w:hAnsiTheme="minorHAnsi" w:cstheme="minorHAnsi"/>
          <w:bCs/>
          <w:sz w:val="24"/>
          <w:szCs w:val="24"/>
        </w:rPr>
        <w:t xml:space="preserve">The external legal counsel to also assist and draft any other recommendation highlighted during working group consultation process </w:t>
      </w:r>
    </w:p>
    <w:p w14:paraId="4BEFA68C" w14:textId="77777777" w:rsidR="00BF61FF" w:rsidRPr="00BF61FF" w:rsidRDefault="00BF61FF" w:rsidP="00E50AE7">
      <w:pPr>
        <w:spacing w:line="276" w:lineRule="auto"/>
        <w:jc w:val="both"/>
        <w:rPr>
          <w:rFonts w:asciiTheme="minorHAnsi" w:hAnsiTheme="minorHAnsi" w:cstheme="minorHAnsi"/>
          <w:sz w:val="24"/>
          <w:szCs w:val="24"/>
        </w:rPr>
      </w:pPr>
    </w:p>
    <w:tbl>
      <w:tblPr>
        <w:tblStyle w:val="TableGrid0"/>
        <w:tblW w:w="9328" w:type="dxa"/>
        <w:tblInd w:w="62" w:type="dxa"/>
        <w:tblCellMar>
          <w:top w:w="46" w:type="dxa"/>
          <w:right w:w="115" w:type="dxa"/>
        </w:tblCellMar>
        <w:tblLook w:val="04A0" w:firstRow="1" w:lastRow="0" w:firstColumn="1" w:lastColumn="0" w:noHBand="0" w:noVBand="1"/>
      </w:tblPr>
      <w:tblGrid>
        <w:gridCol w:w="658"/>
        <w:gridCol w:w="8670"/>
      </w:tblGrid>
      <w:tr w:rsidR="00FA580B" w:rsidRPr="00BF61FF" w14:paraId="3A830302" w14:textId="4025BB36" w:rsidTr="00677F1A">
        <w:trPr>
          <w:trHeight w:val="370"/>
        </w:trPr>
        <w:tc>
          <w:tcPr>
            <w:tcW w:w="658" w:type="dxa"/>
            <w:tcBorders>
              <w:top w:val="nil"/>
              <w:left w:val="nil"/>
              <w:bottom w:val="nil"/>
              <w:right w:val="nil"/>
            </w:tcBorders>
            <w:shd w:val="clear" w:color="auto" w:fill="DEEAF6"/>
          </w:tcPr>
          <w:p w14:paraId="2A095389" w14:textId="4A1E48ED" w:rsidR="00FA580B" w:rsidRPr="00BF61FF" w:rsidRDefault="00FA580B" w:rsidP="00901D65">
            <w:pPr>
              <w:spacing w:line="276" w:lineRule="auto"/>
              <w:ind w:left="29"/>
              <w:rPr>
                <w:rFonts w:cstheme="minorHAnsi"/>
                <w:b/>
                <w:bCs/>
                <w:sz w:val="24"/>
                <w:szCs w:val="24"/>
                <w:lang w:val="en-GB"/>
              </w:rPr>
            </w:pPr>
            <w:r w:rsidRPr="00BF61FF">
              <w:rPr>
                <w:rFonts w:cstheme="minorHAnsi"/>
                <w:b/>
                <w:bCs/>
                <w:sz w:val="24"/>
                <w:szCs w:val="24"/>
                <w:lang w:val="en-GB"/>
              </w:rPr>
              <w:t>4.</w:t>
            </w:r>
            <w:r w:rsidRPr="00BF61FF">
              <w:rPr>
                <w:rFonts w:eastAsia="Arial" w:cstheme="minorHAnsi"/>
                <w:b/>
                <w:bCs/>
                <w:sz w:val="24"/>
                <w:szCs w:val="24"/>
                <w:lang w:val="en-GB"/>
              </w:rPr>
              <w:t xml:space="preserve"> </w:t>
            </w:r>
          </w:p>
        </w:tc>
        <w:tc>
          <w:tcPr>
            <w:tcW w:w="8670" w:type="dxa"/>
            <w:tcBorders>
              <w:top w:val="nil"/>
              <w:left w:val="nil"/>
              <w:bottom w:val="nil"/>
              <w:right w:val="nil"/>
            </w:tcBorders>
            <w:shd w:val="clear" w:color="auto" w:fill="DEEAF6"/>
          </w:tcPr>
          <w:p w14:paraId="42D68397" w14:textId="1B53FAAE" w:rsidR="00FA580B" w:rsidRPr="00BF61FF" w:rsidRDefault="00E848F8" w:rsidP="00901D65">
            <w:pPr>
              <w:spacing w:line="276" w:lineRule="auto"/>
              <w:rPr>
                <w:rFonts w:cstheme="minorHAnsi"/>
                <w:sz w:val="24"/>
                <w:szCs w:val="24"/>
                <w:lang w:val="en-GB"/>
              </w:rPr>
            </w:pPr>
            <w:r>
              <w:rPr>
                <w:rFonts w:cstheme="minorHAnsi"/>
                <w:b/>
                <w:bCs/>
                <w:sz w:val="24"/>
                <w:szCs w:val="24"/>
                <w:lang w:val="en-GB"/>
              </w:rPr>
              <w:t>Key Experts:</w:t>
            </w:r>
          </w:p>
        </w:tc>
      </w:tr>
    </w:tbl>
    <w:p w14:paraId="4F1744AF" w14:textId="028BD093" w:rsidR="00FA580B" w:rsidRDefault="00FA580B" w:rsidP="00901D65">
      <w:pPr>
        <w:spacing w:line="276" w:lineRule="auto"/>
        <w:rPr>
          <w:rFonts w:asciiTheme="minorHAnsi" w:hAnsiTheme="minorHAnsi" w:cstheme="minorHAnsi"/>
          <w:sz w:val="24"/>
          <w:szCs w:val="24"/>
          <w:lang w:val="en-GB"/>
        </w:rPr>
      </w:pPr>
    </w:p>
    <w:p w14:paraId="03ED6AE9" w14:textId="3340BA08" w:rsidR="00B00A66" w:rsidRDefault="00B00A66" w:rsidP="00901D65">
      <w:p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The law firm will assign experienced personnel with extensive knowledge and expertise of Syndication documentation</w:t>
      </w:r>
      <w:r w:rsidR="000F59BD">
        <w:rPr>
          <w:rFonts w:asciiTheme="minorHAnsi" w:hAnsiTheme="minorHAnsi" w:cstheme="minorHAnsi"/>
          <w:sz w:val="24"/>
          <w:szCs w:val="24"/>
          <w:lang w:val="en-GB"/>
        </w:rPr>
        <w:t xml:space="preserve"> used domestically and International cross border market</w:t>
      </w:r>
      <w:r>
        <w:rPr>
          <w:rFonts w:asciiTheme="minorHAnsi" w:hAnsiTheme="minorHAnsi" w:cstheme="minorHAnsi"/>
          <w:sz w:val="24"/>
          <w:szCs w:val="24"/>
          <w:lang w:val="en-GB"/>
        </w:rPr>
        <w:t xml:space="preserve"> </w:t>
      </w:r>
    </w:p>
    <w:p w14:paraId="43664679" w14:textId="77777777" w:rsidR="00B00A66" w:rsidRDefault="00B00A66" w:rsidP="00901D65">
      <w:pPr>
        <w:spacing w:line="276" w:lineRule="auto"/>
        <w:rPr>
          <w:rFonts w:asciiTheme="minorHAnsi" w:hAnsiTheme="minorHAnsi" w:cstheme="minorHAnsi"/>
          <w:sz w:val="24"/>
          <w:szCs w:val="24"/>
          <w:lang w:val="en-GB"/>
        </w:rPr>
      </w:pPr>
    </w:p>
    <w:p w14:paraId="1961703E" w14:textId="3BA4904D" w:rsidR="00B00A66" w:rsidRPr="00BF61FF" w:rsidRDefault="000F59BD" w:rsidP="00901D65">
      <w:pPr>
        <w:spacing w:line="276" w:lineRule="auto"/>
        <w:rPr>
          <w:rFonts w:asciiTheme="minorHAnsi" w:hAnsiTheme="minorHAnsi" w:cstheme="minorHAnsi"/>
          <w:sz w:val="24"/>
          <w:szCs w:val="24"/>
          <w:lang w:val="en-GB"/>
        </w:rPr>
      </w:pPr>
      <w:r>
        <w:rPr>
          <w:rFonts w:asciiTheme="minorHAnsi" w:hAnsiTheme="minorHAnsi" w:cstheme="minorHAnsi"/>
          <w:sz w:val="24"/>
          <w:szCs w:val="24"/>
          <w:lang w:val="en-GB"/>
        </w:rPr>
        <w:t xml:space="preserve">The </w:t>
      </w:r>
      <w:r w:rsidR="005D2469">
        <w:rPr>
          <w:rFonts w:asciiTheme="minorHAnsi" w:hAnsiTheme="minorHAnsi" w:cstheme="minorHAnsi"/>
          <w:sz w:val="24"/>
          <w:szCs w:val="24"/>
          <w:lang w:val="en-GB"/>
        </w:rPr>
        <w:t xml:space="preserve">assigned responsible personnel will be the </w:t>
      </w:r>
      <w:r>
        <w:rPr>
          <w:rFonts w:asciiTheme="minorHAnsi" w:hAnsiTheme="minorHAnsi" w:cstheme="minorHAnsi"/>
          <w:sz w:val="24"/>
          <w:szCs w:val="24"/>
          <w:lang w:val="en-GB"/>
        </w:rPr>
        <w:t xml:space="preserve">partner and associate to work on drafting of complete set of Syndicated Ijarah and </w:t>
      </w:r>
      <w:proofErr w:type="spellStart"/>
      <w:r>
        <w:rPr>
          <w:rFonts w:asciiTheme="minorHAnsi" w:hAnsiTheme="minorHAnsi" w:cstheme="minorHAnsi"/>
          <w:sz w:val="24"/>
          <w:szCs w:val="24"/>
          <w:lang w:val="en-GB"/>
        </w:rPr>
        <w:t>Murabahah</w:t>
      </w:r>
      <w:proofErr w:type="spellEnd"/>
      <w:r>
        <w:rPr>
          <w:rFonts w:asciiTheme="minorHAnsi" w:hAnsiTheme="minorHAnsi" w:cstheme="minorHAnsi"/>
          <w:sz w:val="24"/>
          <w:szCs w:val="24"/>
          <w:lang w:val="en-GB"/>
        </w:rPr>
        <w:t xml:space="preserve"> documentation.</w:t>
      </w:r>
      <w:r w:rsidR="002A6051">
        <w:rPr>
          <w:rFonts w:asciiTheme="minorHAnsi" w:hAnsiTheme="minorHAnsi" w:cstheme="minorHAnsi"/>
          <w:sz w:val="24"/>
          <w:szCs w:val="24"/>
          <w:lang w:val="en-GB"/>
        </w:rPr>
        <w:t xml:space="preserve"> </w:t>
      </w:r>
    </w:p>
    <w:p w14:paraId="02943D84" w14:textId="77777777" w:rsidR="00FA580B" w:rsidRPr="00BF61FF" w:rsidRDefault="00FA580B" w:rsidP="00901D65">
      <w:pPr>
        <w:pStyle w:val="NoSpacing"/>
        <w:spacing w:line="276" w:lineRule="auto"/>
        <w:ind w:left="720" w:firstLine="0"/>
        <w:rPr>
          <w:rFonts w:asciiTheme="minorHAnsi" w:hAnsiTheme="minorHAnsi" w:cstheme="minorHAnsi"/>
          <w:color w:val="auto"/>
          <w:szCs w:val="24"/>
          <w:lang w:val="en-GB"/>
        </w:rPr>
      </w:pPr>
    </w:p>
    <w:tbl>
      <w:tblPr>
        <w:tblStyle w:val="TableGrid0"/>
        <w:tblW w:w="9328" w:type="dxa"/>
        <w:tblInd w:w="62" w:type="dxa"/>
        <w:tblCellMar>
          <w:top w:w="46" w:type="dxa"/>
          <w:right w:w="115" w:type="dxa"/>
        </w:tblCellMar>
        <w:tblLook w:val="04A0" w:firstRow="1" w:lastRow="0" w:firstColumn="1" w:lastColumn="0" w:noHBand="0" w:noVBand="1"/>
      </w:tblPr>
      <w:tblGrid>
        <w:gridCol w:w="658"/>
        <w:gridCol w:w="8670"/>
      </w:tblGrid>
      <w:tr w:rsidR="00FA580B" w:rsidRPr="00BF61FF" w14:paraId="49074F03" w14:textId="77777777" w:rsidTr="00677F1A">
        <w:trPr>
          <w:trHeight w:val="370"/>
        </w:trPr>
        <w:tc>
          <w:tcPr>
            <w:tcW w:w="658" w:type="dxa"/>
            <w:tcBorders>
              <w:top w:val="nil"/>
              <w:left w:val="nil"/>
              <w:bottom w:val="nil"/>
              <w:right w:val="nil"/>
            </w:tcBorders>
            <w:shd w:val="clear" w:color="auto" w:fill="DEEAF6"/>
          </w:tcPr>
          <w:p w14:paraId="0C089FC9" w14:textId="77777777" w:rsidR="00FA580B" w:rsidRPr="00BF61FF" w:rsidRDefault="00FA580B" w:rsidP="00901D65">
            <w:pPr>
              <w:spacing w:line="276" w:lineRule="auto"/>
              <w:ind w:left="29"/>
              <w:rPr>
                <w:rFonts w:cstheme="minorHAnsi"/>
                <w:b/>
                <w:bCs/>
                <w:sz w:val="24"/>
                <w:szCs w:val="24"/>
                <w:lang w:val="en-GB"/>
              </w:rPr>
            </w:pPr>
            <w:r w:rsidRPr="00BF61FF">
              <w:rPr>
                <w:rFonts w:cstheme="minorHAnsi"/>
                <w:b/>
                <w:bCs/>
                <w:sz w:val="24"/>
                <w:szCs w:val="24"/>
                <w:lang w:val="en-GB"/>
              </w:rPr>
              <w:t>5.</w:t>
            </w:r>
            <w:r w:rsidRPr="00BF61FF">
              <w:rPr>
                <w:rFonts w:eastAsia="Arial" w:cstheme="minorHAnsi"/>
                <w:b/>
                <w:bCs/>
                <w:sz w:val="24"/>
                <w:szCs w:val="24"/>
                <w:lang w:val="en-GB"/>
              </w:rPr>
              <w:t xml:space="preserve"> </w:t>
            </w:r>
          </w:p>
        </w:tc>
        <w:tc>
          <w:tcPr>
            <w:tcW w:w="8670" w:type="dxa"/>
            <w:tcBorders>
              <w:top w:val="nil"/>
              <w:left w:val="nil"/>
              <w:bottom w:val="nil"/>
              <w:right w:val="nil"/>
            </w:tcBorders>
            <w:shd w:val="clear" w:color="auto" w:fill="DEEAF6"/>
          </w:tcPr>
          <w:p w14:paraId="41E6A9A7" w14:textId="77777777" w:rsidR="00FA580B" w:rsidRPr="00BF61FF" w:rsidRDefault="00FA580B" w:rsidP="00901D65">
            <w:pPr>
              <w:spacing w:line="276" w:lineRule="auto"/>
              <w:rPr>
                <w:rFonts w:cstheme="minorHAnsi"/>
                <w:b/>
                <w:bCs/>
                <w:sz w:val="24"/>
                <w:szCs w:val="24"/>
                <w:lang w:val="en-GB"/>
              </w:rPr>
            </w:pPr>
            <w:r w:rsidRPr="00BF61FF">
              <w:rPr>
                <w:rFonts w:cstheme="minorHAnsi"/>
                <w:b/>
                <w:bCs/>
                <w:sz w:val="24"/>
                <w:szCs w:val="24"/>
                <w:lang w:val="en-GB"/>
              </w:rPr>
              <w:t xml:space="preserve">Working modalities </w:t>
            </w:r>
          </w:p>
        </w:tc>
      </w:tr>
    </w:tbl>
    <w:p w14:paraId="386F1176" w14:textId="77777777" w:rsidR="00FA580B" w:rsidRPr="00BF61FF" w:rsidRDefault="00FA580B" w:rsidP="00901D65">
      <w:pPr>
        <w:spacing w:line="276" w:lineRule="auto"/>
        <w:rPr>
          <w:rFonts w:asciiTheme="minorHAnsi" w:hAnsiTheme="minorHAnsi" w:cstheme="minorHAnsi"/>
          <w:sz w:val="24"/>
          <w:szCs w:val="24"/>
          <w:lang w:val="en-GB"/>
        </w:rPr>
      </w:pPr>
    </w:p>
    <w:p w14:paraId="7357916B" w14:textId="77777777" w:rsidR="00593AF9" w:rsidRPr="00593AF9" w:rsidRDefault="00593AF9" w:rsidP="00593AF9">
      <w:pPr>
        <w:pStyle w:val="NoSpacing"/>
        <w:rPr>
          <w:rFonts w:asciiTheme="minorHAnsi" w:hAnsiTheme="minorHAnsi"/>
          <w:color w:val="000000" w:themeColor="text1"/>
          <w:szCs w:val="24"/>
          <w:lang w:val="en-GB"/>
        </w:rPr>
      </w:pPr>
      <w:r w:rsidRPr="00593AF9">
        <w:rPr>
          <w:rFonts w:asciiTheme="minorHAnsi" w:hAnsiTheme="minorHAnsi"/>
          <w:color w:val="000000" w:themeColor="text1"/>
          <w:szCs w:val="24"/>
          <w:lang w:val="en-GB"/>
        </w:rPr>
        <w:t xml:space="preserve">The main responsibility of the law firm will be to provide external legal counsel services and the counsel will be handling the drafting and documentation amendment process as per the following IIFM standard development process:   </w:t>
      </w:r>
    </w:p>
    <w:p w14:paraId="0172B268" w14:textId="77777777" w:rsidR="00593AF9" w:rsidRPr="00593AF9" w:rsidRDefault="00593AF9" w:rsidP="00593AF9">
      <w:pPr>
        <w:pStyle w:val="NoSpacing"/>
        <w:rPr>
          <w:rFonts w:asciiTheme="minorHAnsi" w:hAnsiTheme="minorHAnsi"/>
          <w:color w:val="000000" w:themeColor="text1"/>
          <w:sz w:val="26"/>
          <w:szCs w:val="26"/>
          <w:lang w:val="en-GB"/>
        </w:rPr>
      </w:pPr>
    </w:p>
    <w:p w14:paraId="2832EF10" w14:textId="77777777" w:rsidR="00593AF9" w:rsidRPr="00593AF9" w:rsidRDefault="00593AF9" w:rsidP="00593AF9">
      <w:pPr>
        <w:pStyle w:val="NoSpacing"/>
        <w:rPr>
          <w:rFonts w:asciiTheme="minorHAnsi" w:hAnsiTheme="minorHAnsi"/>
          <w:color w:val="000000" w:themeColor="text1"/>
          <w:szCs w:val="24"/>
          <w:lang w:val="en-GB"/>
        </w:rPr>
      </w:pPr>
      <w:r w:rsidRPr="00593AF9">
        <w:rPr>
          <w:rFonts w:asciiTheme="minorHAnsi" w:hAnsiTheme="minorHAnsi"/>
          <w:color w:val="000000" w:themeColor="text1"/>
          <w:szCs w:val="24"/>
          <w:lang w:val="en-GB"/>
        </w:rPr>
        <w:t xml:space="preserve">IIFM focus is to develop standard master agreements and product schedules on a global scale in conformity with the provisions and principles of Shari’ah, as well as legal and other financial market related matters. In practice, IIFM brings together all industry stakeholders on a common platform for the purpose of bringing uniformity and harmonization in practices through standardization of </w:t>
      </w:r>
      <w:proofErr w:type="gramStart"/>
      <w:r w:rsidRPr="00593AF9">
        <w:rPr>
          <w:rFonts w:asciiTheme="minorHAnsi" w:hAnsiTheme="minorHAnsi"/>
          <w:color w:val="000000" w:themeColor="text1"/>
          <w:szCs w:val="24"/>
          <w:lang w:val="en-GB"/>
        </w:rPr>
        <w:t>Shari‘</w:t>
      </w:r>
      <w:proofErr w:type="gramEnd"/>
      <w:r w:rsidRPr="00593AF9">
        <w:rPr>
          <w:rFonts w:asciiTheme="minorHAnsi" w:hAnsiTheme="minorHAnsi"/>
          <w:color w:val="000000" w:themeColor="text1"/>
          <w:szCs w:val="24"/>
          <w:lang w:val="en-GB"/>
        </w:rPr>
        <w:t>ah compliant financial contracts and product standards.</w:t>
      </w:r>
    </w:p>
    <w:p w14:paraId="450A03E4" w14:textId="77777777" w:rsidR="00593AF9" w:rsidRPr="00593AF9" w:rsidRDefault="00593AF9" w:rsidP="00593AF9">
      <w:pPr>
        <w:pStyle w:val="NoSpacing"/>
        <w:rPr>
          <w:rFonts w:asciiTheme="minorHAnsi" w:hAnsiTheme="minorHAnsi"/>
          <w:color w:val="000000" w:themeColor="text1"/>
          <w:szCs w:val="24"/>
          <w:lang w:val="en-GB"/>
        </w:rPr>
      </w:pPr>
    </w:p>
    <w:p w14:paraId="2C442752" w14:textId="77777777" w:rsidR="00593AF9" w:rsidRPr="00593AF9" w:rsidRDefault="00593AF9" w:rsidP="00593AF9">
      <w:pPr>
        <w:pStyle w:val="NoSpacing"/>
        <w:rPr>
          <w:rFonts w:asciiTheme="minorHAnsi" w:hAnsiTheme="minorHAnsi"/>
          <w:color w:val="000000" w:themeColor="text1"/>
          <w:szCs w:val="24"/>
        </w:rPr>
      </w:pPr>
      <w:r w:rsidRPr="00593AF9">
        <w:rPr>
          <w:rFonts w:asciiTheme="minorHAnsi" w:hAnsiTheme="minorHAnsi"/>
          <w:color w:val="000000" w:themeColor="text1"/>
          <w:szCs w:val="24"/>
        </w:rPr>
        <w:t xml:space="preserve">In the development of IIFM standards in this case “Islamic Syndication Documentation”, there will be a comprehensive process divided into different phases as follows: </w:t>
      </w:r>
    </w:p>
    <w:p w14:paraId="4DA53CB8" w14:textId="77777777" w:rsidR="00593AF9" w:rsidRPr="00593AF9" w:rsidRDefault="00593AF9" w:rsidP="00593AF9">
      <w:pPr>
        <w:pStyle w:val="NoSpacing"/>
        <w:rPr>
          <w:rFonts w:asciiTheme="minorHAnsi" w:hAnsiTheme="minorHAnsi"/>
          <w:color w:val="000000" w:themeColor="text1"/>
          <w:szCs w:val="24"/>
        </w:rPr>
      </w:pPr>
    </w:p>
    <w:p w14:paraId="57174711" w14:textId="77777777" w:rsidR="00593AF9" w:rsidRPr="00593AF9" w:rsidRDefault="00593AF9" w:rsidP="00593AF9">
      <w:pPr>
        <w:pStyle w:val="NoSpacing"/>
        <w:numPr>
          <w:ilvl w:val="0"/>
          <w:numId w:val="45"/>
        </w:numPr>
        <w:ind w:right="0"/>
        <w:jc w:val="left"/>
        <w:rPr>
          <w:rFonts w:asciiTheme="minorHAnsi" w:hAnsiTheme="minorHAnsi"/>
          <w:color w:val="000000" w:themeColor="text1"/>
          <w:szCs w:val="24"/>
        </w:rPr>
      </w:pPr>
      <w:r w:rsidRPr="00593AF9">
        <w:rPr>
          <w:rFonts w:asciiTheme="minorHAnsi" w:hAnsiTheme="minorHAnsi"/>
          <w:color w:val="000000" w:themeColor="text1"/>
          <w:szCs w:val="24"/>
        </w:rPr>
        <w:lastRenderedPageBreak/>
        <w:t>Formation of standardization project specific Global Working Group from various jurisdictions to tackle and address issues related to the standard. The working group includes regulators, financial institutions, legal firms and other relevant market practitioners. The project is also driven by major institutions involved in the consultation process and the external legal counsel responsibility will be drafting of the documentation</w:t>
      </w:r>
    </w:p>
    <w:p w14:paraId="330E4A6B" w14:textId="77777777" w:rsidR="00593AF9" w:rsidRPr="00593AF9" w:rsidRDefault="00593AF9" w:rsidP="00593AF9">
      <w:pPr>
        <w:pStyle w:val="NoSpacing"/>
        <w:ind w:left="720"/>
        <w:rPr>
          <w:rFonts w:asciiTheme="minorHAnsi" w:hAnsiTheme="minorHAnsi"/>
          <w:color w:val="000000" w:themeColor="text1"/>
          <w:szCs w:val="24"/>
        </w:rPr>
      </w:pPr>
    </w:p>
    <w:p w14:paraId="4649AC49" w14:textId="77777777" w:rsidR="00593AF9" w:rsidRPr="00593AF9" w:rsidRDefault="00593AF9" w:rsidP="00593AF9">
      <w:pPr>
        <w:pStyle w:val="NoSpacing"/>
        <w:ind w:left="720"/>
        <w:rPr>
          <w:rFonts w:asciiTheme="minorHAnsi" w:hAnsiTheme="minorHAnsi"/>
          <w:color w:val="000000" w:themeColor="text1"/>
          <w:szCs w:val="24"/>
        </w:rPr>
      </w:pPr>
      <w:r w:rsidRPr="00593AF9">
        <w:rPr>
          <w:rFonts w:asciiTheme="minorHAnsi" w:hAnsiTheme="minorHAnsi"/>
          <w:color w:val="000000" w:themeColor="text1"/>
          <w:szCs w:val="24"/>
        </w:rPr>
        <w:t xml:space="preserve">Note: The working group meetings are conducted on virtual basis and external legal counsel will be required to attend the meetings so that the working group comments and recommendation are properly analyzed and necessary amendments are incorporated in the updated draft.     </w:t>
      </w:r>
    </w:p>
    <w:p w14:paraId="136335F4" w14:textId="77777777" w:rsidR="00593AF9" w:rsidRPr="00593AF9" w:rsidRDefault="00593AF9" w:rsidP="00593AF9">
      <w:pPr>
        <w:pStyle w:val="NoSpacing"/>
        <w:ind w:left="720"/>
        <w:rPr>
          <w:rFonts w:asciiTheme="minorHAnsi" w:hAnsiTheme="minorHAnsi"/>
          <w:color w:val="000000" w:themeColor="text1"/>
          <w:szCs w:val="24"/>
        </w:rPr>
      </w:pPr>
    </w:p>
    <w:p w14:paraId="6019856A" w14:textId="77777777" w:rsidR="00593AF9" w:rsidRPr="00593AF9" w:rsidRDefault="00593AF9" w:rsidP="00593AF9">
      <w:pPr>
        <w:pStyle w:val="NoSpacing"/>
        <w:numPr>
          <w:ilvl w:val="0"/>
          <w:numId w:val="45"/>
        </w:numPr>
        <w:ind w:right="0"/>
        <w:jc w:val="left"/>
        <w:rPr>
          <w:rFonts w:asciiTheme="minorHAnsi" w:hAnsiTheme="minorHAnsi"/>
          <w:color w:val="000000" w:themeColor="text1"/>
          <w:szCs w:val="24"/>
        </w:rPr>
      </w:pPr>
      <w:r w:rsidRPr="00593AF9">
        <w:rPr>
          <w:rFonts w:asciiTheme="minorHAnsi" w:hAnsiTheme="minorHAnsi"/>
          <w:color w:val="000000" w:themeColor="text1"/>
          <w:szCs w:val="24"/>
        </w:rPr>
        <w:t>Appointment of External Legal Counsel to the project is the first step towards commencement of the standardization project</w:t>
      </w:r>
    </w:p>
    <w:p w14:paraId="4E20210D" w14:textId="77777777" w:rsidR="00593AF9" w:rsidRPr="00593AF9" w:rsidRDefault="00593AF9" w:rsidP="00593AF9">
      <w:pPr>
        <w:pStyle w:val="NoSpacing"/>
        <w:ind w:left="720"/>
        <w:rPr>
          <w:rFonts w:asciiTheme="minorHAnsi" w:hAnsiTheme="minorHAnsi"/>
          <w:color w:val="000000" w:themeColor="text1"/>
          <w:szCs w:val="24"/>
        </w:rPr>
      </w:pPr>
    </w:p>
    <w:p w14:paraId="41A0DEFE" w14:textId="192E384F" w:rsidR="00593AF9" w:rsidRPr="00593AF9" w:rsidRDefault="00593AF9" w:rsidP="00593AF9">
      <w:pPr>
        <w:pStyle w:val="NoSpacing"/>
        <w:numPr>
          <w:ilvl w:val="0"/>
          <w:numId w:val="45"/>
        </w:numPr>
        <w:ind w:right="0"/>
        <w:jc w:val="left"/>
        <w:rPr>
          <w:rFonts w:asciiTheme="minorHAnsi" w:hAnsiTheme="minorHAnsi"/>
          <w:color w:val="000000" w:themeColor="text1"/>
          <w:szCs w:val="24"/>
        </w:rPr>
      </w:pPr>
      <w:r w:rsidRPr="00593AF9">
        <w:rPr>
          <w:rFonts w:asciiTheme="minorHAnsi" w:hAnsiTheme="minorHAnsi"/>
          <w:color w:val="000000" w:themeColor="text1"/>
          <w:szCs w:val="24"/>
        </w:rPr>
        <w:t>Preparation of product structure and initial draft documentation by IIFM Secretariat (generally based on proprietary documentation and product template provided by certain institutions) as well as the external legal counsel may also use its internal draft as starting draft documentation. The external legal counsel in coordination with IIFM secretariat will carry out necessary enhancements and finalize the 1</w:t>
      </w:r>
      <w:r w:rsidRPr="00593AF9">
        <w:rPr>
          <w:rFonts w:asciiTheme="minorHAnsi" w:hAnsiTheme="minorHAnsi"/>
          <w:color w:val="000000" w:themeColor="text1"/>
          <w:szCs w:val="24"/>
          <w:vertAlign w:val="superscript"/>
        </w:rPr>
        <w:t>st</w:t>
      </w:r>
      <w:r w:rsidRPr="00593AF9">
        <w:rPr>
          <w:rFonts w:asciiTheme="minorHAnsi" w:hAnsiTheme="minorHAnsi"/>
          <w:color w:val="000000" w:themeColor="text1"/>
          <w:szCs w:val="24"/>
        </w:rPr>
        <w:t xml:space="preserve"> Draft of the standard documentation (exposure draft)</w:t>
      </w:r>
      <w:r>
        <w:rPr>
          <w:rFonts w:asciiTheme="minorHAnsi" w:hAnsiTheme="minorHAnsi"/>
          <w:color w:val="000000" w:themeColor="text1"/>
          <w:szCs w:val="24"/>
        </w:rPr>
        <w:t>. Moreover, the law firm also needs to assess the written comments received from working group members and my incorporate the comments, if feasible; in the amended draft documentation.</w:t>
      </w:r>
    </w:p>
    <w:p w14:paraId="539785FF" w14:textId="77777777" w:rsidR="00593AF9" w:rsidRPr="00593AF9" w:rsidRDefault="00593AF9" w:rsidP="00593AF9">
      <w:pPr>
        <w:pStyle w:val="NoSpacing"/>
        <w:ind w:left="720"/>
        <w:rPr>
          <w:rFonts w:asciiTheme="minorHAnsi" w:hAnsiTheme="minorHAnsi"/>
          <w:color w:val="000000" w:themeColor="text1"/>
          <w:szCs w:val="24"/>
        </w:rPr>
      </w:pPr>
    </w:p>
    <w:p w14:paraId="76FC6BAA" w14:textId="77777777" w:rsidR="00593AF9" w:rsidRPr="00593AF9" w:rsidRDefault="00593AF9" w:rsidP="00593AF9">
      <w:pPr>
        <w:pStyle w:val="NoSpacing"/>
        <w:numPr>
          <w:ilvl w:val="0"/>
          <w:numId w:val="45"/>
        </w:numPr>
        <w:ind w:right="0"/>
        <w:jc w:val="left"/>
        <w:rPr>
          <w:rFonts w:asciiTheme="minorHAnsi" w:hAnsiTheme="minorHAnsi"/>
          <w:color w:val="000000" w:themeColor="text1"/>
          <w:szCs w:val="24"/>
        </w:rPr>
      </w:pPr>
      <w:r w:rsidRPr="00593AF9">
        <w:rPr>
          <w:rFonts w:asciiTheme="minorHAnsi" w:hAnsiTheme="minorHAnsi"/>
          <w:color w:val="000000" w:themeColor="text1"/>
          <w:szCs w:val="24"/>
        </w:rPr>
        <w:t>Circulation of the 1</w:t>
      </w:r>
      <w:r w:rsidRPr="00593AF9">
        <w:rPr>
          <w:rFonts w:asciiTheme="minorHAnsi" w:hAnsiTheme="minorHAnsi"/>
          <w:color w:val="000000" w:themeColor="text1"/>
          <w:szCs w:val="24"/>
          <w:vertAlign w:val="superscript"/>
        </w:rPr>
        <w:t>st</w:t>
      </w:r>
      <w:r w:rsidRPr="00593AF9">
        <w:rPr>
          <w:rFonts w:asciiTheme="minorHAnsi" w:hAnsiTheme="minorHAnsi"/>
          <w:color w:val="000000" w:themeColor="text1"/>
          <w:szCs w:val="24"/>
        </w:rPr>
        <w:t xml:space="preserve"> Draft of the documentation to the working group members by IIFM for their comments. All comments are analyzed and incorporated accordingly in the preparation of the 2</w:t>
      </w:r>
      <w:r w:rsidRPr="00593AF9">
        <w:rPr>
          <w:rFonts w:asciiTheme="minorHAnsi" w:hAnsiTheme="minorHAnsi"/>
          <w:color w:val="000000" w:themeColor="text1"/>
          <w:szCs w:val="24"/>
          <w:vertAlign w:val="superscript"/>
        </w:rPr>
        <w:t>nd</w:t>
      </w:r>
      <w:r w:rsidRPr="00593AF9">
        <w:rPr>
          <w:rFonts w:asciiTheme="minorHAnsi" w:hAnsiTheme="minorHAnsi"/>
          <w:color w:val="000000" w:themeColor="text1"/>
          <w:szCs w:val="24"/>
        </w:rPr>
        <w:t xml:space="preserve"> Draft of the documentation by the external legal counsel</w:t>
      </w:r>
    </w:p>
    <w:p w14:paraId="4CBB4567" w14:textId="77777777" w:rsidR="00593AF9" w:rsidRPr="00593AF9" w:rsidRDefault="00593AF9" w:rsidP="00593AF9">
      <w:pPr>
        <w:pStyle w:val="NoSpacing"/>
        <w:ind w:left="720"/>
        <w:rPr>
          <w:rFonts w:asciiTheme="minorHAnsi" w:hAnsiTheme="minorHAnsi"/>
          <w:color w:val="000000" w:themeColor="text1"/>
          <w:szCs w:val="24"/>
        </w:rPr>
      </w:pPr>
    </w:p>
    <w:p w14:paraId="476268F1" w14:textId="77777777" w:rsidR="00593AF9" w:rsidRPr="00593AF9" w:rsidRDefault="00593AF9" w:rsidP="00593AF9">
      <w:pPr>
        <w:pStyle w:val="NoSpacing"/>
        <w:numPr>
          <w:ilvl w:val="0"/>
          <w:numId w:val="45"/>
        </w:numPr>
        <w:ind w:right="0"/>
        <w:jc w:val="left"/>
        <w:rPr>
          <w:rFonts w:asciiTheme="minorHAnsi" w:hAnsiTheme="minorHAnsi"/>
          <w:color w:val="000000" w:themeColor="text1"/>
          <w:szCs w:val="24"/>
        </w:rPr>
      </w:pPr>
      <w:r w:rsidRPr="00593AF9">
        <w:rPr>
          <w:rFonts w:asciiTheme="minorHAnsi" w:hAnsiTheme="minorHAnsi"/>
          <w:color w:val="000000" w:themeColor="text1"/>
          <w:szCs w:val="24"/>
        </w:rPr>
        <w:t>IIFM circulate the 2</w:t>
      </w:r>
      <w:r w:rsidRPr="00593AF9">
        <w:rPr>
          <w:rFonts w:asciiTheme="minorHAnsi" w:hAnsiTheme="minorHAnsi"/>
          <w:color w:val="000000" w:themeColor="text1"/>
          <w:szCs w:val="24"/>
          <w:vertAlign w:val="superscript"/>
        </w:rPr>
        <w:t>nd</w:t>
      </w:r>
      <w:r w:rsidRPr="00593AF9">
        <w:rPr>
          <w:rFonts w:asciiTheme="minorHAnsi" w:hAnsiTheme="minorHAnsi"/>
          <w:color w:val="000000" w:themeColor="text1"/>
          <w:szCs w:val="24"/>
        </w:rPr>
        <w:t xml:space="preserve"> Draft of the documentation to the working group members for additional comments and 3</w:t>
      </w:r>
      <w:r w:rsidRPr="00593AF9">
        <w:rPr>
          <w:rFonts w:asciiTheme="minorHAnsi" w:hAnsiTheme="minorHAnsi"/>
          <w:color w:val="000000" w:themeColor="text1"/>
          <w:szCs w:val="24"/>
          <w:vertAlign w:val="superscript"/>
        </w:rPr>
        <w:t>rd</w:t>
      </w:r>
      <w:r w:rsidRPr="00593AF9">
        <w:rPr>
          <w:rFonts w:asciiTheme="minorHAnsi" w:hAnsiTheme="minorHAnsi"/>
          <w:color w:val="000000" w:themeColor="text1"/>
          <w:szCs w:val="24"/>
        </w:rPr>
        <w:t xml:space="preserve"> Draft of the documentation is produced by the external legal counsel based on comments received</w:t>
      </w:r>
    </w:p>
    <w:p w14:paraId="2560CE4D" w14:textId="77777777" w:rsidR="00593AF9" w:rsidRPr="00593AF9" w:rsidRDefault="00593AF9" w:rsidP="00593AF9">
      <w:pPr>
        <w:pStyle w:val="NoSpacing"/>
        <w:ind w:left="720"/>
        <w:rPr>
          <w:rFonts w:asciiTheme="minorHAnsi" w:hAnsiTheme="minorHAnsi"/>
          <w:color w:val="000000" w:themeColor="text1"/>
          <w:szCs w:val="24"/>
        </w:rPr>
      </w:pPr>
    </w:p>
    <w:p w14:paraId="0DD73744" w14:textId="77777777" w:rsidR="00593AF9" w:rsidRPr="00593AF9" w:rsidRDefault="00593AF9" w:rsidP="00593AF9">
      <w:pPr>
        <w:pStyle w:val="NoSpacing"/>
        <w:numPr>
          <w:ilvl w:val="0"/>
          <w:numId w:val="45"/>
        </w:numPr>
        <w:ind w:right="0" w:hanging="450"/>
        <w:jc w:val="left"/>
        <w:rPr>
          <w:rFonts w:asciiTheme="minorHAnsi" w:hAnsiTheme="minorHAnsi"/>
          <w:color w:val="000000" w:themeColor="text1"/>
          <w:szCs w:val="24"/>
        </w:rPr>
      </w:pPr>
      <w:r w:rsidRPr="00593AF9">
        <w:rPr>
          <w:rFonts w:asciiTheme="minorHAnsi" w:hAnsiTheme="minorHAnsi"/>
          <w:color w:val="000000" w:themeColor="text1"/>
          <w:szCs w:val="24"/>
        </w:rPr>
        <w:t>The 3</w:t>
      </w:r>
      <w:r w:rsidRPr="00593AF9">
        <w:rPr>
          <w:rFonts w:asciiTheme="minorHAnsi" w:hAnsiTheme="minorHAnsi"/>
          <w:color w:val="000000" w:themeColor="text1"/>
          <w:szCs w:val="24"/>
          <w:vertAlign w:val="superscript"/>
        </w:rPr>
        <w:t>rd</w:t>
      </w:r>
      <w:r w:rsidRPr="00593AF9">
        <w:rPr>
          <w:rFonts w:asciiTheme="minorHAnsi" w:hAnsiTheme="minorHAnsi"/>
          <w:color w:val="000000" w:themeColor="text1"/>
          <w:szCs w:val="24"/>
        </w:rPr>
        <w:t xml:space="preserve"> Draft of the documentation is generally sent to the IIFM Shari’ah Executive Committee for comprehensive Shari’ah deliberation and guidance in order to make the necessary corrections or amendments that are required from Shari’ah perspective. </w:t>
      </w:r>
    </w:p>
    <w:p w14:paraId="146FF6A2" w14:textId="77777777" w:rsidR="00593AF9" w:rsidRPr="00593AF9" w:rsidRDefault="00593AF9" w:rsidP="00593AF9">
      <w:pPr>
        <w:pStyle w:val="NoSpacing"/>
        <w:ind w:left="720"/>
        <w:rPr>
          <w:rFonts w:asciiTheme="minorHAnsi" w:hAnsiTheme="minorHAnsi"/>
          <w:color w:val="000000" w:themeColor="text1"/>
          <w:szCs w:val="24"/>
        </w:rPr>
      </w:pPr>
    </w:p>
    <w:p w14:paraId="265570E8" w14:textId="77777777" w:rsidR="00593AF9" w:rsidRPr="00593AF9" w:rsidRDefault="00593AF9" w:rsidP="00593AF9">
      <w:pPr>
        <w:pStyle w:val="NoSpacing"/>
        <w:ind w:left="720"/>
        <w:rPr>
          <w:rFonts w:asciiTheme="minorHAnsi" w:hAnsiTheme="minorHAnsi"/>
          <w:color w:val="000000" w:themeColor="text1"/>
          <w:szCs w:val="24"/>
        </w:rPr>
      </w:pPr>
      <w:r w:rsidRPr="00593AF9">
        <w:rPr>
          <w:rFonts w:asciiTheme="minorHAnsi" w:hAnsiTheme="minorHAnsi"/>
          <w:color w:val="000000" w:themeColor="text1"/>
          <w:szCs w:val="24"/>
        </w:rPr>
        <w:t>More comments may be required from the working group and wider market participants after IIFM Shari’ah Executive Committee review, keeping in view the workability from wider market perspective. In some cases, more than 3 Drafts maybe required for working group consultation</w:t>
      </w:r>
    </w:p>
    <w:p w14:paraId="36D935C5" w14:textId="77777777" w:rsidR="00593AF9" w:rsidRPr="00593AF9" w:rsidRDefault="00593AF9" w:rsidP="00593AF9">
      <w:pPr>
        <w:pStyle w:val="NoSpacing"/>
        <w:ind w:left="720"/>
        <w:rPr>
          <w:rFonts w:asciiTheme="minorHAnsi" w:hAnsiTheme="minorHAnsi"/>
          <w:color w:val="000000" w:themeColor="text1"/>
          <w:szCs w:val="24"/>
        </w:rPr>
      </w:pPr>
    </w:p>
    <w:p w14:paraId="45F096F7" w14:textId="77777777" w:rsidR="00593AF9" w:rsidRPr="00593AF9" w:rsidRDefault="00593AF9" w:rsidP="00593AF9">
      <w:pPr>
        <w:pStyle w:val="NoSpacing"/>
        <w:numPr>
          <w:ilvl w:val="0"/>
          <w:numId w:val="45"/>
        </w:numPr>
        <w:ind w:right="0" w:hanging="450"/>
        <w:jc w:val="left"/>
        <w:rPr>
          <w:rFonts w:asciiTheme="minorHAnsi" w:hAnsiTheme="minorHAnsi"/>
          <w:color w:val="000000" w:themeColor="text1"/>
          <w:szCs w:val="24"/>
        </w:rPr>
      </w:pPr>
      <w:r w:rsidRPr="00593AF9">
        <w:rPr>
          <w:rFonts w:asciiTheme="minorHAnsi" w:hAnsiTheme="minorHAnsi"/>
          <w:color w:val="000000" w:themeColor="text1"/>
          <w:szCs w:val="24"/>
        </w:rPr>
        <w:t>As the project progresses, a meeting with the IIFM Shari’ah Board is organized for guidance and consequently approving the standard for market use by the IIFM Shari’ah Board which consists of around 10 eminent Shari’ah Scholars. Final verdict on approval of the standard lies with the IIFM Shari’ah Board.</w:t>
      </w:r>
    </w:p>
    <w:p w14:paraId="39DC57C0" w14:textId="77777777" w:rsidR="00593AF9" w:rsidRPr="00593AF9" w:rsidRDefault="00593AF9" w:rsidP="00593AF9">
      <w:pPr>
        <w:pStyle w:val="NoSpacing"/>
        <w:rPr>
          <w:rFonts w:asciiTheme="minorHAnsi" w:hAnsiTheme="minorHAnsi"/>
          <w:color w:val="000000" w:themeColor="text1"/>
          <w:szCs w:val="24"/>
        </w:rPr>
      </w:pPr>
    </w:p>
    <w:p w14:paraId="551F284E" w14:textId="77777777" w:rsidR="00593AF9" w:rsidRPr="00593AF9" w:rsidRDefault="00593AF9" w:rsidP="00593AF9">
      <w:pPr>
        <w:pStyle w:val="NoSpacing"/>
        <w:ind w:left="1440" w:hanging="720"/>
        <w:rPr>
          <w:rFonts w:asciiTheme="minorHAnsi" w:hAnsiTheme="minorHAnsi"/>
          <w:color w:val="000000" w:themeColor="text1"/>
          <w:szCs w:val="24"/>
        </w:rPr>
      </w:pPr>
      <w:r w:rsidRPr="00593AF9">
        <w:rPr>
          <w:rFonts w:asciiTheme="minorHAnsi" w:hAnsiTheme="minorHAnsi"/>
          <w:color w:val="000000" w:themeColor="text1"/>
          <w:szCs w:val="24"/>
        </w:rPr>
        <w:lastRenderedPageBreak/>
        <w:t xml:space="preserve">Note: </w:t>
      </w:r>
      <w:r w:rsidRPr="00593AF9">
        <w:rPr>
          <w:rFonts w:asciiTheme="minorHAnsi" w:hAnsiTheme="minorHAnsi"/>
          <w:color w:val="000000" w:themeColor="text1"/>
          <w:szCs w:val="24"/>
        </w:rPr>
        <w:tab/>
        <w:t xml:space="preserve">The IIFM Shairah Executive Committee meeting(s) is generally conducted virtually and external legal counsel is required to attend this meeting. The Shariah Board meeting(s) is mostly in person and the external legal counsel will be required to attend the meeting and to provide expert views and recommendations particularly from legal point of view and to also provide explanation on queries raised by the Scholars on certain issues or clauses    </w:t>
      </w:r>
    </w:p>
    <w:p w14:paraId="275A2416" w14:textId="77777777" w:rsidR="00593AF9" w:rsidRPr="00593AF9" w:rsidRDefault="00593AF9" w:rsidP="00593AF9">
      <w:pPr>
        <w:pStyle w:val="NoSpacing"/>
        <w:ind w:left="720"/>
        <w:rPr>
          <w:rFonts w:asciiTheme="minorHAnsi" w:hAnsiTheme="minorHAnsi"/>
          <w:color w:val="000000" w:themeColor="text1"/>
          <w:szCs w:val="24"/>
        </w:rPr>
      </w:pPr>
    </w:p>
    <w:p w14:paraId="48271B1C" w14:textId="77777777" w:rsidR="00593AF9" w:rsidRPr="00593AF9" w:rsidRDefault="00593AF9" w:rsidP="00593AF9">
      <w:pPr>
        <w:pStyle w:val="NoSpacing"/>
        <w:numPr>
          <w:ilvl w:val="0"/>
          <w:numId w:val="45"/>
        </w:numPr>
        <w:ind w:right="0"/>
        <w:jc w:val="left"/>
        <w:rPr>
          <w:rFonts w:asciiTheme="minorHAnsi" w:hAnsiTheme="minorHAnsi"/>
          <w:color w:val="000000" w:themeColor="text1"/>
          <w:szCs w:val="24"/>
        </w:rPr>
      </w:pPr>
      <w:r w:rsidRPr="00593AF9">
        <w:rPr>
          <w:rFonts w:asciiTheme="minorHAnsi" w:hAnsiTheme="minorHAnsi"/>
          <w:color w:val="000000" w:themeColor="text1"/>
          <w:szCs w:val="24"/>
        </w:rPr>
        <w:t xml:space="preserve">Once the standard documentation is approved by the IIFM Shari’ah Board, the IIFM Board of Directors concurrence is obtained on the date and mode of publication of the standard. </w:t>
      </w:r>
    </w:p>
    <w:p w14:paraId="1F47E714" w14:textId="77777777" w:rsidR="00593AF9" w:rsidRPr="00593AF9" w:rsidRDefault="00593AF9" w:rsidP="00593AF9">
      <w:pPr>
        <w:pStyle w:val="NoSpacing"/>
        <w:ind w:left="720"/>
        <w:rPr>
          <w:rFonts w:asciiTheme="minorHAnsi" w:hAnsiTheme="minorHAnsi"/>
          <w:color w:val="000000" w:themeColor="text1"/>
          <w:szCs w:val="24"/>
        </w:rPr>
      </w:pPr>
    </w:p>
    <w:p w14:paraId="24789EF1" w14:textId="77777777" w:rsidR="00593AF9" w:rsidRPr="00593AF9" w:rsidRDefault="00593AF9" w:rsidP="00593AF9">
      <w:pPr>
        <w:pStyle w:val="NoSpacing"/>
        <w:numPr>
          <w:ilvl w:val="0"/>
          <w:numId w:val="45"/>
        </w:numPr>
        <w:ind w:right="0"/>
        <w:jc w:val="left"/>
        <w:rPr>
          <w:rFonts w:asciiTheme="minorHAnsi" w:hAnsiTheme="minorHAnsi"/>
          <w:color w:val="000000" w:themeColor="text1"/>
          <w:szCs w:val="24"/>
        </w:rPr>
      </w:pPr>
      <w:r w:rsidRPr="00593AF9">
        <w:rPr>
          <w:rFonts w:asciiTheme="minorHAnsi" w:hAnsiTheme="minorHAnsi"/>
          <w:color w:val="000000" w:themeColor="text1"/>
          <w:szCs w:val="24"/>
        </w:rPr>
        <w:t xml:space="preserve">IIFM contract with external legal counsel end once the IIFM Shariah Board approve the standard and the approved documentation is produced by the law firm   </w:t>
      </w:r>
    </w:p>
    <w:p w14:paraId="427651A0" w14:textId="77777777" w:rsidR="00593AF9" w:rsidRPr="00593AF9" w:rsidRDefault="00593AF9" w:rsidP="00593AF9">
      <w:pPr>
        <w:pStyle w:val="NoSpacing"/>
        <w:ind w:left="720"/>
        <w:rPr>
          <w:rFonts w:asciiTheme="minorHAnsi" w:hAnsiTheme="minorHAnsi"/>
          <w:color w:val="000000" w:themeColor="text1"/>
          <w:szCs w:val="24"/>
        </w:rPr>
      </w:pPr>
    </w:p>
    <w:p w14:paraId="50264B4E" w14:textId="5485E6A2" w:rsidR="00593AF9" w:rsidRDefault="00593AF9" w:rsidP="00593AF9">
      <w:pPr>
        <w:rPr>
          <w:rFonts w:asciiTheme="minorHAnsi" w:hAnsiTheme="minorHAnsi"/>
          <w:color w:val="000000" w:themeColor="text1"/>
          <w:sz w:val="24"/>
          <w:szCs w:val="24"/>
        </w:rPr>
      </w:pPr>
      <w:r w:rsidRPr="00593AF9">
        <w:rPr>
          <w:rFonts w:asciiTheme="minorHAnsi" w:hAnsiTheme="minorHAnsi"/>
          <w:color w:val="000000" w:themeColor="text1"/>
          <w:sz w:val="24"/>
          <w:szCs w:val="24"/>
        </w:rPr>
        <w:t>In this entire standard development process, the IIFM Secretariat plays a very pro-active role in the completion of the standard and the external legal counsel main responsibility is to ensure that all amendments are included and the final standard documentation as approved by IIFM Shariah Board as well as development of the guidance memorandum to assist the users in the implementation process.</w:t>
      </w:r>
    </w:p>
    <w:p w14:paraId="2FEDC09A" w14:textId="77777777" w:rsidR="00953266" w:rsidRPr="00593AF9" w:rsidRDefault="00953266" w:rsidP="00593AF9">
      <w:pPr>
        <w:rPr>
          <w:rFonts w:asciiTheme="minorHAnsi" w:hAnsiTheme="minorHAnsi"/>
          <w:color w:val="000000" w:themeColor="text1"/>
          <w:sz w:val="24"/>
          <w:szCs w:val="24"/>
        </w:rPr>
      </w:pPr>
    </w:p>
    <w:tbl>
      <w:tblPr>
        <w:tblStyle w:val="TableGrid0"/>
        <w:tblW w:w="9328" w:type="dxa"/>
        <w:tblInd w:w="62" w:type="dxa"/>
        <w:tblCellMar>
          <w:top w:w="46" w:type="dxa"/>
          <w:right w:w="115" w:type="dxa"/>
        </w:tblCellMar>
        <w:tblLook w:val="04A0" w:firstRow="1" w:lastRow="0" w:firstColumn="1" w:lastColumn="0" w:noHBand="0" w:noVBand="1"/>
      </w:tblPr>
      <w:tblGrid>
        <w:gridCol w:w="658"/>
        <w:gridCol w:w="8670"/>
      </w:tblGrid>
      <w:tr w:rsidR="00FA580B" w:rsidRPr="00BF61FF" w14:paraId="1C513E8D" w14:textId="77777777" w:rsidTr="00677F1A">
        <w:trPr>
          <w:trHeight w:val="370"/>
        </w:trPr>
        <w:tc>
          <w:tcPr>
            <w:tcW w:w="658" w:type="dxa"/>
            <w:tcBorders>
              <w:top w:val="nil"/>
              <w:left w:val="nil"/>
              <w:bottom w:val="nil"/>
              <w:right w:val="nil"/>
            </w:tcBorders>
            <w:shd w:val="clear" w:color="auto" w:fill="DEEAF6"/>
          </w:tcPr>
          <w:p w14:paraId="2722A553" w14:textId="77777777" w:rsidR="00FA580B" w:rsidRPr="00BF61FF" w:rsidRDefault="00FA580B" w:rsidP="00901D65">
            <w:pPr>
              <w:spacing w:line="276" w:lineRule="auto"/>
              <w:ind w:left="29"/>
              <w:rPr>
                <w:rFonts w:cstheme="minorHAnsi"/>
                <w:b/>
                <w:bCs/>
                <w:sz w:val="24"/>
                <w:szCs w:val="24"/>
                <w:lang w:val="en-GB"/>
              </w:rPr>
            </w:pPr>
            <w:r w:rsidRPr="00BF61FF">
              <w:rPr>
                <w:rFonts w:cstheme="minorHAnsi"/>
                <w:b/>
                <w:bCs/>
                <w:sz w:val="24"/>
                <w:szCs w:val="24"/>
                <w:lang w:val="en-GB"/>
              </w:rPr>
              <w:t xml:space="preserve">6. </w:t>
            </w:r>
          </w:p>
        </w:tc>
        <w:tc>
          <w:tcPr>
            <w:tcW w:w="8670" w:type="dxa"/>
            <w:tcBorders>
              <w:top w:val="nil"/>
              <w:left w:val="nil"/>
              <w:bottom w:val="nil"/>
              <w:right w:val="nil"/>
            </w:tcBorders>
            <w:shd w:val="clear" w:color="auto" w:fill="DEEAF6"/>
          </w:tcPr>
          <w:p w14:paraId="772D34D8" w14:textId="77777777" w:rsidR="00FA580B" w:rsidRPr="00BF61FF" w:rsidRDefault="00FA580B" w:rsidP="00901D65">
            <w:pPr>
              <w:spacing w:line="276" w:lineRule="auto"/>
              <w:ind w:left="29"/>
              <w:rPr>
                <w:rFonts w:cstheme="minorHAnsi"/>
                <w:b/>
                <w:bCs/>
                <w:sz w:val="24"/>
                <w:szCs w:val="24"/>
                <w:lang w:val="en-GB"/>
              </w:rPr>
            </w:pPr>
            <w:r w:rsidRPr="00BF61FF">
              <w:rPr>
                <w:rFonts w:cstheme="minorHAnsi"/>
                <w:b/>
                <w:bCs/>
                <w:sz w:val="24"/>
                <w:szCs w:val="24"/>
                <w:lang w:val="en-GB"/>
              </w:rPr>
              <w:t xml:space="preserve">Duration of the Assignment </w:t>
            </w:r>
          </w:p>
        </w:tc>
      </w:tr>
    </w:tbl>
    <w:p w14:paraId="73D97944" w14:textId="77777777" w:rsidR="00FA580B" w:rsidRPr="00BF61FF" w:rsidRDefault="00FA580B" w:rsidP="00901D65">
      <w:pPr>
        <w:spacing w:line="276" w:lineRule="auto"/>
        <w:ind w:left="-5"/>
        <w:rPr>
          <w:rFonts w:asciiTheme="minorHAnsi" w:hAnsiTheme="minorHAnsi" w:cstheme="minorHAnsi"/>
          <w:sz w:val="24"/>
          <w:szCs w:val="24"/>
          <w:lang w:val="en-GB"/>
        </w:rPr>
      </w:pPr>
    </w:p>
    <w:p w14:paraId="66CAC473" w14:textId="1A389080" w:rsidR="006065F9" w:rsidRPr="00953266" w:rsidRDefault="009F64CF" w:rsidP="006065F9">
      <w:pPr>
        <w:rPr>
          <w:rFonts w:asciiTheme="minorHAnsi" w:hAnsiTheme="minorHAnsi"/>
          <w:color w:val="000000" w:themeColor="text1"/>
          <w:sz w:val="24"/>
          <w:szCs w:val="24"/>
        </w:rPr>
      </w:pPr>
      <w:r>
        <w:rPr>
          <w:rFonts w:asciiTheme="minorHAnsi" w:hAnsiTheme="minorHAnsi"/>
          <w:color w:val="000000" w:themeColor="text1"/>
          <w:sz w:val="24"/>
          <w:szCs w:val="24"/>
        </w:rPr>
        <w:t xml:space="preserve">The expected duration is estimated to be </w:t>
      </w:r>
      <w:r w:rsidR="00C97E85" w:rsidRPr="00DD2211">
        <w:rPr>
          <w:rFonts w:asciiTheme="minorHAnsi" w:hAnsiTheme="minorHAnsi"/>
          <w:b/>
          <w:bCs/>
          <w:color w:val="000000" w:themeColor="text1"/>
          <w:sz w:val="24"/>
          <w:szCs w:val="24"/>
        </w:rPr>
        <w:t xml:space="preserve">12 </w:t>
      </w:r>
      <w:r w:rsidRPr="00DD2211">
        <w:rPr>
          <w:rFonts w:asciiTheme="minorHAnsi" w:hAnsiTheme="minorHAnsi"/>
          <w:b/>
          <w:bCs/>
          <w:color w:val="000000" w:themeColor="text1"/>
          <w:sz w:val="24"/>
          <w:szCs w:val="24"/>
        </w:rPr>
        <w:t>months</w:t>
      </w:r>
      <w:r>
        <w:rPr>
          <w:rFonts w:asciiTheme="minorHAnsi" w:hAnsiTheme="minorHAnsi"/>
          <w:color w:val="000000" w:themeColor="text1"/>
          <w:sz w:val="24"/>
          <w:szCs w:val="24"/>
        </w:rPr>
        <w:t xml:space="preserve">. </w:t>
      </w:r>
      <w:r w:rsidR="006065F9" w:rsidRPr="00953266">
        <w:rPr>
          <w:rFonts w:asciiTheme="minorHAnsi" w:hAnsiTheme="minorHAnsi"/>
          <w:color w:val="000000" w:themeColor="text1"/>
          <w:sz w:val="24"/>
          <w:szCs w:val="24"/>
        </w:rPr>
        <w:t>As per the</w:t>
      </w:r>
      <w:r w:rsidR="003F15BE">
        <w:rPr>
          <w:rFonts w:asciiTheme="minorHAnsi" w:hAnsiTheme="minorHAnsi"/>
          <w:color w:val="000000" w:themeColor="text1"/>
          <w:sz w:val="24"/>
          <w:szCs w:val="24"/>
        </w:rPr>
        <w:t xml:space="preserve"> IIFM</w:t>
      </w:r>
      <w:r w:rsidR="006065F9" w:rsidRPr="00953266">
        <w:rPr>
          <w:rFonts w:asciiTheme="minorHAnsi" w:hAnsiTheme="minorHAnsi"/>
          <w:color w:val="000000" w:themeColor="text1"/>
          <w:sz w:val="24"/>
          <w:szCs w:val="24"/>
        </w:rPr>
        <w:t xml:space="preserve"> standard development process and to control the external legal counsel fee, IIFM selection criteria also include the fee is capped and that is why concept of </w:t>
      </w:r>
      <w:r w:rsidR="006065F9" w:rsidRPr="009F64CF">
        <w:rPr>
          <w:rFonts w:asciiTheme="minorHAnsi" w:hAnsiTheme="minorHAnsi"/>
          <w:color w:val="000000" w:themeColor="text1"/>
          <w:sz w:val="24"/>
          <w:szCs w:val="24"/>
        </w:rPr>
        <w:t xml:space="preserve">five draft </w:t>
      </w:r>
      <w:r w:rsidR="006065F9" w:rsidRPr="00953266">
        <w:rPr>
          <w:rFonts w:asciiTheme="minorHAnsi" w:hAnsiTheme="minorHAnsi"/>
          <w:color w:val="000000" w:themeColor="text1"/>
          <w:sz w:val="24"/>
          <w:szCs w:val="24"/>
        </w:rPr>
        <w:t xml:space="preserve">to be produced by the law firm is required. IIFM is also mindful that it should not take too long to complete the project and most of the standards are </w:t>
      </w:r>
      <w:r w:rsidR="006065F9" w:rsidRPr="009F64CF">
        <w:rPr>
          <w:rFonts w:asciiTheme="minorHAnsi" w:hAnsiTheme="minorHAnsi"/>
          <w:color w:val="000000" w:themeColor="text1"/>
          <w:sz w:val="24"/>
          <w:szCs w:val="24"/>
        </w:rPr>
        <w:t xml:space="preserve">completed in a year time. </w:t>
      </w:r>
      <w:r w:rsidR="006065F9" w:rsidRPr="00953266">
        <w:rPr>
          <w:rFonts w:asciiTheme="minorHAnsi" w:hAnsiTheme="minorHAnsi"/>
          <w:color w:val="000000" w:themeColor="text1"/>
          <w:sz w:val="24"/>
          <w:szCs w:val="24"/>
        </w:rPr>
        <w:t xml:space="preserve">Moreover, law firms also prefer that the project is completed in shortest possible time. </w:t>
      </w:r>
    </w:p>
    <w:p w14:paraId="2AAAD0E6" w14:textId="5E9CDA3E" w:rsidR="00FA580B" w:rsidRPr="00BF61FF" w:rsidRDefault="00FA580B" w:rsidP="00901D65">
      <w:pPr>
        <w:spacing w:line="276" w:lineRule="auto"/>
        <w:ind w:left="360"/>
        <w:rPr>
          <w:rFonts w:asciiTheme="minorHAnsi" w:hAnsiTheme="minorHAnsi" w:cstheme="minorHAnsi"/>
          <w:sz w:val="24"/>
          <w:szCs w:val="24"/>
          <w:lang w:val="en-GB"/>
        </w:rPr>
      </w:pPr>
    </w:p>
    <w:p w14:paraId="426D5670" w14:textId="77777777" w:rsidR="00901D65" w:rsidRPr="00BF61FF" w:rsidRDefault="00901D65" w:rsidP="00901D65">
      <w:pPr>
        <w:spacing w:line="276" w:lineRule="auto"/>
        <w:ind w:left="360"/>
        <w:rPr>
          <w:rFonts w:asciiTheme="minorHAnsi" w:hAnsiTheme="minorHAnsi" w:cstheme="minorHAnsi"/>
          <w:sz w:val="24"/>
          <w:szCs w:val="24"/>
          <w:lang w:val="en-GB"/>
        </w:rPr>
      </w:pPr>
    </w:p>
    <w:tbl>
      <w:tblPr>
        <w:tblStyle w:val="TableGrid0"/>
        <w:tblW w:w="9219" w:type="dxa"/>
        <w:tblInd w:w="62" w:type="dxa"/>
        <w:tblCellMar>
          <w:top w:w="46" w:type="dxa"/>
          <w:right w:w="115" w:type="dxa"/>
        </w:tblCellMar>
        <w:tblLook w:val="04A0" w:firstRow="1" w:lastRow="0" w:firstColumn="1" w:lastColumn="0" w:noHBand="0" w:noVBand="1"/>
      </w:tblPr>
      <w:tblGrid>
        <w:gridCol w:w="658"/>
        <w:gridCol w:w="8561"/>
      </w:tblGrid>
      <w:tr w:rsidR="00FA580B" w:rsidRPr="00BF61FF" w14:paraId="76C8BA5A" w14:textId="77777777" w:rsidTr="00677F1A">
        <w:trPr>
          <w:trHeight w:val="370"/>
        </w:trPr>
        <w:tc>
          <w:tcPr>
            <w:tcW w:w="658" w:type="dxa"/>
            <w:tcBorders>
              <w:top w:val="nil"/>
              <w:left w:val="nil"/>
              <w:bottom w:val="nil"/>
              <w:right w:val="nil"/>
            </w:tcBorders>
            <w:shd w:val="clear" w:color="auto" w:fill="DEEAF6"/>
          </w:tcPr>
          <w:p w14:paraId="761CD7BA" w14:textId="77777777" w:rsidR="00FA580B" w:rsidRPr="00BF61FF" w:rsidRDefault="00FA580B" w:rsidP="00901D65">
            <w:pPr>
              <w:spacing w:line="276" w:lineRule="auto"/>
              <w:ind w:left="29"/>
              <w:rPr>
                <w:rFonts w:cstheme="minorHAnsi"/>
                <w:b/>
                <w:bCs/>
                <w:sz w:val="24"/>
                <w:szCs w:val="24"/>
                <w:lang w:val="en-GB"/>
              </w:rPr>
            </w:pPr>
            <w:r w:rsidRPr="00BF61FF">
              <w:rPr>
                <w:rFonts w:cstheme="minorHAnsi"/>
                <w:b/>
                <w:bCs/>
                <w:sz w:val="24"/>
                <w:szCs w:val="24"/>
                <w:lang w:val="en-GB"/>
              </w:rPr>
              <w:t>7.</w:t>
            </w:r>
            <w:r w:rsidRPr="00BF61FF">
              <w:rPr>
                <w:rFonts w:eastAsia="Arial" w:cstheme="minorHAnsi"/>
                <w:b/>
                <w:bCs/>
                <w:sz w:val="24"/>
                <w:szCs w:val="24"/>
                <w:lang w:val="en-GB"/>
              </w:rPr>
              <w:t xml:space="preserve"> </w:t>
            </w:r>
          </w:p>
        </w:tc>
        <w:tc>
          <w:tcPr>
            <w:tcW w:w="8561" w:type="dxa"/>
            <w:tcBorders>
              <w:top w:val="nil"/>
              <w:left w:val="nil"/>
              <w:bottom w:val="nil"/>
              <w:right w:val="nil"/>
            </w:tcBorders>
            <w:shd w:val="clear" w:color="auto" w:fill="DEEAF6"/>
          </w:tcPr>
          <w:p w14:paraId="4B8CE20C" w14:textId="66A4163A" w:rsidR="00FA580B" w:rsidRPr="00BF61FF" w:rsidRDefault="00CD63C7" w:rsidP="00901D65">
            <w:pPr>
              <w:spacing w:line="276" w:lineRule="auto"/>
              <w:rPr>
                <w:rFonts w:cstheme="minorHAnsi"/>
                <w:b/>
                <w:bCs/>
                <w:sz w:val="24"/>
                <w:szCs w:val="24"/>
                <w:lang w:val="en-GB"/>
              </w:rPr>
            </w:pPr>
            <w:r>
              <w:rPr>
                <w:rFonts w:cstheme="minorHAnsi"/>
                <w:b/>
                <w:bCs/>
                <w:sz w:val="24"/>
                <w:szCs w:val="24"/>
                <w:lang w:val="en-GB"/>
              </w:rPr>
              <w:t xml:space="preserve">Payment </w:t>
            </w:r>
            <w:r w:rsidR="006065F9">
              <w:rPr>
                <w:rFonts w:cstheme="minorHAnsi"/>
                <w:b/>
                <w:bCs/>
                <w:sz w:val="24"/>
                <w:szCs w:val="24"/>
                <w:lang w:val="en-GB"/>
              </w:rPr>
              <w:t>schedule</w:t>
            </w:r>
            <w:r w:rsidR="00FA580B" w:rsidRPr="00BF61FF">
              <w:rPr>
                <w:rFonts w:cstheme="minorHAnsi"/>
                <w:b/>
                <w:bCs/>
                <w:sz w:val="24"/>
                <w:szCs w:val="24"/>
                <w:lang w:val="en-GB"/>
              </w:rPr>
              <w:t xml:space="preserve"> </w:t>
            </w:r>
          </w:p>
        </w:tc>
      </w:tr>
    </w:tbl>
    <w:p w14:paraId="0DA2004A" w14:textId="77777777" w:rsidR="00FA580B" w:rsidRPr="00BF61FF" w:rsidRDefault="00FA580B" w:rsidP="00901D65">
      <w:pPr>
        <w:spacing w:after="9" w:line="276" w:lineRule="auto"/>
        <w:ind w:left="-5"/>
        <w:rPr>
          <w:rFonts w:asciiTheme="minorHAnsi" w:hAnsiTheme="minorHAnsi" w:cstheme="minorHAnsi"/>
          <w:sz w:val="24"/>
          <w:szCs w:val="24"/>
          <w:lang w:val="en-GB"/>
        </w:rPr>
      </w:pPr>
    </w:p>
    <w:p w14:paraId="74902C44" w14:textId="19270B58" w:rsidR="00E971C5" w:rsidRDefault="00E971C5" w:rsidP="006065F9">
      <w:pPr>
        <w:rPr>
          <w:rFonts w:asciiTheme="minorHAnsi" w:hAnsiTheme="minorHAnsi"/>
          <w:color w:val="000000" w:themeColor="text1"/>
          <w:sz w:val="24"/>
          <w:szCs w:val="24"/>
        </w:rPr>
      </w:pPr>
      <w:r>
        <w:rPr>
          <w:rFonts w:asciiTheme="minorHAnsi" w:hAnsiTheme="minorHAnsi"/>
          <w:color w:val="000000" w:themeColor="text1"/>
          <w:sz w:val="24"/>
          <w:szCs w:val="24"/>
        </w:rPr>
        <w:t xml:space="preserve">The assignment price shall be quoted on a lumpsum basis against each of the deliverables identified in the ToR. </w:t>
      </w:r>
      <w:proofErr w:type="spellStart"/>
      <w:r w:rsidR="009F64CF">
        <w:rPr>
          <w:rFonts w:asciiTheme="minorHAnsi" w:hAnsiTheme="minorHAnsi"/>
          <w:color w:val="000000" w:themeColor="text1"/>
          <w:sz w:val="24"/>
          <w:szCs w:val="24"/>
        </w:rPr>
        <w:t>IsDBI</w:t>
      </w:r>
      <w:proofErr w:type="spellEnd"/>
      <w:r w:rsidR="009F64CF">
        <w:rPr>
          <w:rFonts w:asciiTheme="minorHAnsi" w:hAnsiTheme="minorHAnsi"/>
          <w:color w:val="000000" w:themeColor="text1"/>
          <w:sz w:val="24"/>
          <w:szCs w:val="24"/>
        </w:rPr>
        <w:t xml:space="preserve"> won’t pay</w:t>
      </w:r>
      <w:r>
        <w:rPr>
          <w:rFonts w:asciiTheme="minorHAnsi" w:hAnsiTheme="minorHAnsi"/>
          <w:color w:val="000000" w:themeColor="text1"/>
          <w:sz w:val="24"/>
          <w:szCs w:val="24"/>
        </w:rPr>
        <w:t xml:space="preserve"> any taxes or customs fees, as per the grant agreement. Any taxes or fees shall be paid </w:t>
      </w:r>
      <w:r w:rsidR="008F013F">
        <w:rPr>
          <w:rFonts w:asciiTheme="minorHAnsi" w:hAnsiTheme="minorHAnsi"/>
          <w:color w:val="000000" w:themeColor="text1"/>
          <w:sz w:val="24"/>
          <w:szCs w:val="24"/>
        </w:rPr>
        <w:t>IIFM.</w:t>
      </w:r>
    </w:p>
    <w:p w14:paraId="40A8CA93" w14:textId="09EAF781" w:rsidR="006065F9" w:rsidRDefault="006065F9" w:rsidP="006065F9">
      <w:pPr>
        <w:rPr>
          <w:rFonts w:asciiTheme="minorHAnsi" w:hAnsiTheme="minorHAnsi"/>
          <w:color w:val="000000" w:themeColor="text1"/>
          <w:sz w:val="24"/>
          <w:szCs w:val="24"/>
        </w:rPr>
      </w:pPr>
      <w:r w:rsidRPr="00953266">
        <w:rPr>
          <w:rFonts w:asciiTheme="minorHAnsi" w:hAnsiTheme="minorHAnsi"/>
          <w:color w:val="000000" w:themeColor="text1"/>
          <w:sz w:val="24"/>
          <w:szCs w:val="24"/>
        </w:rPr>
        <w:t xml:space="preserve">The expected fee will be based on the number of draft documentations to be produced by the law firm so that the fee can be capped. The contract with the law firm will limit the number of drafts to be produced to five drafts and if any additional draft is required then IIFM secretariat coordinate with the legal counsel and ensure that there will be no significant cost </w:t>
      </w:r>
      <w:proofErr w:type="spellStart"/>
      <w:r w:rsidRPr="00953266">
        <w:rPr>
          <w:rFonts w:asciiTheme="minorHAnsi" w:hAnsiTheme="minorHAnsi"/>
          <w:color w:val="000000" w:themeColor="text1"/>
          <w:sz w:val="24"/>
          <w:szCs w:val="24"/>
        </w:rPr>
        <w:t>over run</w:t>
      </w:r>
      <w:proofErr w:type="spellEnd"/>
      <w:r w:rsidRPr="00953266">
        <w:rPr>
          <w:rFonts w:asciiTheme="minorHAnsi" w:hAnsiTheme="minorHAnsi"/>
          <w:color w:val="000000" w:themeColor="text1"/>
          <w:sz w:val="24"/>
          <w:szCs w:val="24"/>
        </w:rPr>
        <w:t xml:space="preserve"> and the project’s cost is kept as per the allocated budget. </w:t>
      </w:r>
    </w:p>
    <w:p w14:paraId="117EEB22" w14:textId="77777777" w:rsidR="000F59BD" w:rsidRDefault="000F59BD" w:rsidP="006065F9">
      <w:pPr>
        <w:rPr>
          <w:rFonts w:asciiTheme="minorHAnsi" w:hAnsiTheme="minorHAnsi"/>
          <w:color w:val="000000" w:themeColor="text1"/>
          <w:sz w:val="24"/>
          <w:szCs w:val="24"/>
        </w:rPr>
      </w:pPr>
    </w:p>
    <w:p w14:paraId="1625BCC0" w14:textId="0251A6F6" w:rsidR="009F64CF" w:rsidRDefault="009F64CF" w:rsidP="006065F9">
      <w:pPr>
        <w:rPr>
          <w:rFonts w:asciiTheme="minorHAnsi" w:hAnsiTheme="minorHAnsi"/>
          <w:color w:val="000000" w:themeColor="text1"/>
          <w:sz w:val="24"/>
          <w:szCs w:val="24"/>
        </w:rPr>
      </w:pPr>
      <w:r>
        <w:rPr>
          <w:rFonts w:asciiTheme="minorHAnsi" w:hAnsiTheme="minorHAnsi"/>
          <w:color w:val="000000" w:themeColor="text1"/>
          <w:sz w:val="24"/>
          <w:szCs w:val="24"/>
        </w:rPr>
        <w:t>The</w:t>
      </w:r>
      <w:r w:rsidR="00181D95">
        <w:rPr>
          <w:rFonts w:asciiTheme="minorHAnsi" w:hAnsiTheme="minorHAnsi"/>
          <w:color w:val="000000" w:themeColor="text1"/>
          <w:sz w:val="24"/>
          <w:szCs w:val="24"/>
        </w:rPr>
        <w:t xml:space="preserve"> payment will be done on a lumpsum basis as follows:</w:t>
      </w:r>
    </w:p>
    <w:p w14:paraId="5CCD00A9" w14:textId="77777777" w:rsidR="000F59BD" w:rsidRDefault="000F59BD" w:rsidP="006065F9">
      <w:pPr>
        <w:rPr>
          <w:rFonts w:asciiTheme="minorHAnsi" w:hAnsiTheme="minorHAnsi"/>
          <w:color w:val="000000" w:themeColor="text1"/>
          <w:sz w:val="24"/>
          <w:szCs w:val="24"/>
        </w:rPr>
      </w:pPr>
    </w:p>
    <w:p w14:paraId="551E1F92" w14:textId="72DADBC7" w:rsidR="00181D95" w:rsidRDefault="00477054" w:rsidP="00181D95">
      <w:pPr>
        <w:pStyle w:val="ListParagraph"/>
        <w:numPr>
          <w:ilvl w:val="0"/>
          <w:numId w:val="46"/>
        </w:numPr>
        <w:rPr>
          <w:rFonts w:asciiTheme="minorHAnsi" w:hAnsiTheme="minorHAnsi"/>
          <w:color w:val="000000" w:themeColor="text1"/>
          <w:sz w:val="24"/>
          <w:szCs w:val="24"/>
        </w:rPr>
      </w:pPr>
      <w:r w:rsidRPr="00477054">
        <w:rPr>
          <w:rFonts w:asciiTheme="minorHAnsi" w:hAnsiTheme="minorHAnsi"/>
          <w:color w:val="000000" w:themeColor="text1"/>
          <w:sz w:val="24"/>
          <w:szCs w:val="24"/>
        </w:rPr>
        <w:t>15</w:t>
      </w:r>
      <w:r w:rsidR="00181D95" w:rsidRPr="00477054">
        <w:rPr>
          <w:rFonts w:asciiTheme="minorHAnsi" w:hAnsiTheme="minorHAnsi"/>
          <w:color w:val="000000" w:themeColor="text1"/>
          <w:sz w:val="24"/>
          <w:szCs w:val="24"/>
        </w:rPr>
        <w:t xml:space="preserve">% of the contract amount against the IIFM acceptance on the </w:t>
      </w:r>
      <w:bookmarkStart w:id="2" w:name="_Hlk146546904"/>
      <w:r w:rsidR="00181D95" w:rsidRPr="00477054">
        <w:rPr>
          <w:rFonts w:asciiTheme="minorHAnsi" w:hAnsiTheme="minorHAnsi"/>
          <w:color w:val="000000" w:themeColor="text1"/>
          <w:sz w:val="24"/>
          <w:szCs w:val="24"/>
        </w:rPr>
        <w:t>1</w:t>
      </w:r>
      <w:r w:rsidR="00181D95" w:rsidRPr="00477054">
        <w:rPr>
          <w:rFonts w:asciiTheme="minorHAnsi" w:hAnsiTheme="minorHAnsi"/>
          <w:color w:val="000000" w:themeColor="text1"/>
          <w:sz w:val="24"/>
          <w:szCs w:val="24"/>
          <w:vertAlign w:val="superscript"/>
        </w:rPr>
        <w:t>st</w:t>
      </w:r>
      <w:r w:rsidR="00181D95" w:rsidRPr="00477054">
        <w:rPr>
          <w:rFonts w:asciiTheme="minorHAnsi" w:hAnsiTheme="minorHAnsi"/>
          <w:color w:val="000000" w:themeColor="text1"/>
          <w:sz w:val="24"/>
          <w:szCs w:val="24"/>
        </w:rPr>
        <w:t xml:space="preserve"> draft for Ijarah Syndication documentation </w:t>
      </w:r>
      <w:r w:rsidRPr="00477054">
        <w:rPr>
          <w:rFonts w:asciiTheme="minorHAnsi" w:hAnsiTheme="minorHAnsi"/>
          <w:color w:val="000000" w:themeColor="text1"/>
          <w:sz w:val="24"/>
          <w:szCs w:val="24"/>
        </w:rPr>
        <w:t>and 1</w:t>
      </w:r>
      <w:r w:rsidRPr="00477054">
        <w:rPr>
          <w:rFonts w:asciiTheme="minorHAnsi" w:hAnsiTheme="minorHAnsi"/>
          <w:color w:val="000000" w:themeColor="text1"/>
          <w:sz w:val="24"/>
          <w:szCs w:val="24"/>
          <w:vertAlign w:val="superscript"/>
        </w:rPr>
        <w:t>st</w:t>
      </w:r>
      <w:r w:rsidRPr="00477054">
        <w:rPr>
          <w:rFonts w:asciiTheme="minorHAnsi" w:hAnsiTheme="minorHAnsi"/>
          <w:color w:val="000000" w:themeColor="text1"/>
          <w:sz w:val="24"/>
          <w:szCs w:val="24"/>
        </w:rPr>
        <w:t xml:space="preserve"> draft of Murabahah Syndication documentation</w:t>
      </w:r>
      <w:bookmarkEnd w:id="2"/>
    </w:p>
    <w:p w14:paraId="1D65DA58" w14:textId="512E6803" w:rsidR="00FE255D" w:rsidRDefault="00FE255D" w:rsidP="00181D95">
      <w:pPr>
        <w:pStyle w:val="ListParagraph"/>
        <w:numPr>
          <w:ilvl w:val="0"/>
          <w:numId w:val="46"/>
        </w:numPr>
        <w:rPr>
          <w:rFonts w:asciiTheme="minorHAnsi" w:hAnsiTheme="minorHAnsi"/>
          <w:color w:val="000000" w:themeColor="text1"/>
          <w:sz w:val="24"/>
          <w:szCs w:val="24"/>
        </w:rPr>
      </w:pPr>
      <w:r w:rsidRPr="00FE255D">
        <w:rPr>
          <w:rFonts w:asciiTheme="minorHAnsi" w:hAnsiTheme="minorHAnsi"/>
          <w:color w:val="000000" w:themeColor="text1"/>
          <w:sz w:val="24"/>
          <w:szCs w:val="24"/>
        </w:rPr>
        <w:lastRenderedPageBreak/>
        <w:t>20% of the contract amount against the IIFM acceptance on the 2</w:t>
      </w:r>
      <w:r w:rsidRPr="00FE255D">
        <w:rPr>
          <w:rFonts w:asciiTheme="minorHAnsi" w:hAnsiTheme="minorHAnsi"/>
          <w:color w:val="000000" w:themeColor="text1"/>
          <w:sz w:val="24"/>
          <w:szCs w:val="24"/>
          <w:vertAlign w:val="superscript"/>
        </w:rPr>
        <w:t>nd</w:t>
      </w:r>
      <w:r w:rsidRPr="00FE255D">
        <w:rPr>
          <w:rFonts w:asciiTheme="minorHAnsi" w:hAnsiTheme="minorHAnsi"/>
          <w:color w:val="000000" w:themeColor="text1"/>
          <w:sz w:val="24"/>
          <w:szCs w:val="24"/>
        </w:rPr>
        <w:t xml:space="preserve"> draft for Ijarah Syndication documentation and 2</w:t>
      </w:r>
      <w:r w:rsidRPr="00FE255D">
        <w:rPr>
          <w:rFonts w:asciiTheme="minorHAnsi" w:hAnsiTheme="minorHAnsi"/>
          <w:color w:val="000000" w:themeColor="text1"/>
          <w:sz w:val="24"/>
          <w:szCs w:val="24"/>
          <w:vertAlign w:val="superscript"/>
        </w:rPr>
        <w:t>nd</w:t>
      </w:r>
      <w:r w:rsidRPr="00FE255D">
        <w:rPr>
          <w:rFonts w:asciiTheme="minorHAnsi" w:hAnsiTheme="minorHAnsi"/>
          <w:color w:val="000000" w:themeColor="text1"/>
          <w:sz w:val="24"/>
          <w:szCs w:val="24"/>
        </w:rPr>
        <w:t xml:space="preserve"> draft of Murabahah Syndication documentation</w:t>
      </w:r>
    </w:p>
    <w:p w14:paraId="02CA6964" w14:textId="5574DF94" w:rsidR="00FE255D" w:rsidRDefault="00FE255D" w:rsidP="00181D95">
      <w:pPr>
        <w:pStyle w:val="ListParagraph"/>
        <w:numPr>
          <w:ilvl w:val="0"/>
          <w:numId w:val="46"/>
        </w:numPr>
        <w:rPr>
          <w:rFonts w:asciiTheme="minorHAnsi" w:hAnsiTheme="minorHAnsi"/>
          <w:color w:val="000000" w:themeColor="text1"/>
          <w:sz w:val="24"/>
          <w:szCs w:val="24"/>
        </w:rPr>
      </w:pPr>
      <w:r>
        <w:rPr>
          <w:rFonts w:asciiTheme="minorHAnsi" w:hAnsiTheme="minorHAnsi"/>
          <w:color w:val="000000" w:themeColor="text1"/>
          <w:sz w:val="24"/>
          <w:szCs w:val="24"/>
        </w:rPr>
        <w:t>15</w:t>
      </w:r>
      <w:r w:rsidRPr="00FE255D">
        <w:rPr>
          <w:rFonts w:asciiTheme="minorHAnsi" w:hAnsiTheme="minorHAnsi"/>
          <w:color w:val="000000" w:themeColor="text1"/>
          <w:sz w:val="24"/>
          <w:szCs w:val="24"/>
        </w:rPr>
        <w:t xml:space="preserve">% of the contract amount against the IIFM acceptance on the </w:t>
      </w:r>
      <w:r>
        <w:rPr>
          <w:rFonts w:asciiTheme="minorHAnsi" w:hAnsiTheme="minorHAnsi"/>
          <w:color w:val="000000" w:themeColor="text1"/>
          <w:sz w:val="24"/>
          <w:szCs w:val="24"/>
        </w:rPr>
        <w:t>3</w:t>
      </w:r>
      <w:r w:rsidRPr="008C2292">
        <w:rPr>
          <w:rFonts w:asciiTheme="minorHAnsi" w:hAnsiTheme="minorHAnsi"/>
          <w:color w:val="000000" w:themeColor="text1"/>
          <w:sz w:val="24"/>
          <w:szCs w:val="24"/>
          <w:vertAlign w:val="superscript"/>
        </w:rPr>
        <w:t>rd</w:t>
      </w:r>
      <w:r>
        <w:rPr>
          <w:rFonts w:asciiTheme="minorHAnsi" w:hAnsiTheme="minorHAnsi"/>
          <w:color w:val="000000" w:themeColor="text1"/>
          <w:sz w:val="24"/>
          <w:szCs w:val="24"/>
        </w:rPr>
        <w:t xml:space="preserve"> </w:t>
      </w:r>
      <w:r w:rsidRPr="00FE255D">
        <w:rPr>
          <w:rFonts w:asciiTheme="minorHAnsi" w:hAnsiTheme="minorHAnsi"/>
          <w:color w:val="000000" w:themeColor="text1"/>
          <w:sz w:val="24"/>
          <w:szCs w:val="24"/>
        </w:rPr>
        <w:t xml:space="preserve">draft for Ijarah Syndication documentation and </w:t>
      </w:r>
      <w:r>
        <w:rPr>
          <w:rFonts w:asciiTheme="minorHAnsi" w:hAnsiTheme="minorHAnsi"/>
          <w:color w:val="000000" w:themeColor="text1"/>
          <w:sz w:val="24"/>
          <w:szCs w:val="24"/>
        </w:rPr>
        <w:t>3</w:t>
      </w:r>
      <w:r w:rsidRPr="008C2292">
        <w:rPr>
          <w:rFonts w:asciiTheme="minorHAnsi" w:hAnsiTheme="minorHAnsi"/>
          <w:color w:val="000000" w:themeColor="text1"/>
          <w:sz w:val="24"/>
          <w:szCs w:val="24"/>
          <w:vertAlign w:val="superscript"/>
        </w:rPr>
        <w:t>rd</w:t>
      </w:r>
      <w:r>
        <w:rPr>
          <w:rFonts w:asciiTheme="minorHAnsi" w:hAnsiTheme="minorHAnsi"/>
          <w:color w:val="000000" w:themeColor="text1"/>
          <w:sz w:val="24"/>
          <w:szCs w:val="24"/>
        </w:rPr>
        <w:t xml:space="preserve"> </w:t>
      </w:r>
      <w:r w:rsidRPr="00FE255D">
        <w:rPr>
          <w:rFonts w:asciiTheme="minorHAnsi" w:hAnsiTheme="minorHAnsi"/>
          <w:color w:val="000000" w:themeColor="text1"/>
          <w:sz w:val="24"/>
          <w:szCs w:val="24"/>
        </w:rPr>
        <w:t>draft of Murabahah Syndication documentation</w:t>
      </w:r>
      <w:r>
        <w:rPr>
          <w:rFonts w:asciiTheme="minorHAnsi" w:hAnsiTheme="minorHAnsi"/>
          <w:color w:val="000000" w:themeColor="text1"/>
          <w:sz w:val="24"/>
          <w:szCs w:val="24"/>
        </w:rPr>
        <w:t xml:space="preserve"> </w:t>
      </w:r>
    </w:p>
    <w:p w14:paraId="0CE8F36A" w14:textId="434CFDAB" w:rsidR="00FE255D" w:rsidRDefault="00FE255D" w:rsidP="00181D95">
      <w:pPr>
        <w:pStyle w:val="ListParagraph"/>
        <w:numPr>
          <w:ilvl w:val="0"/>
          <w:numId w:val="46"/>
        </w:numPr>
        <w:rPr>
          <w:rFonts w:asciiTheme="minorHAnsi" w:hAnsiTheme="minorHAnsi"/>
          <w:color w:val="000000" w:themeColor="text1"/>
          <w:sz w:val="24"/>
          <w:szCs w:val="24"/>
        </w:rPr>
      </w:pPr>
      <w:r w:rsidRPr="00FE255D">
        <w:rPr>
          <w:rFonts w:asciiTheme="minorHAnsi" w:hAnsiTheme="minorHAnsi"/>
          <w:color w:val="000000" w:themeColor="text1"/>
          <w:sz w:val="24"/>
          <w:szCs w:val="24"/>
        </w:rPr>
        <w:t xml:space="preserve">20% of the contract amount against the IIFM acceptance on the </w:t>
      </w:r>
      <w:r>
        <w:rPr>
          <w:rFonts w:asciiTheme="minorHAnsi" w:hAnsiTheme="minorHAnsi"/>
          <w:color w:val="000000" w:themeColor="text1"/>
          <w:sz w:val="24"/>
          <w:szCs w:val="24"/>
        </w:rPr>
        <w:t>4</w:t>
      </w:r>
      <w:r w:rsidRPr="008C2292">
        <w:rPr>
          <w:rFonts w:asciiTheme="minorHAnsi" w:hAnsiTheme="minorHAnsi"/>
          <w:color w:val="000000" w:themeColor="text1"/>
          <w:sz w:val="24"/>
          <w:szCs w:val="24"/>
          <w:vertAlign w:val="superscript"/>
        </w:rPr>
        <w:t>th</w:t>
      </w:r>
      <w:r>
        <w:rPr>
          <w:rFonts w:asciiTheme="minorHAnsi" w:hAnsiTheme="minorHAnsi"/>
          <w:color w:val="000000" w:themeColor="text1"/>
          <w:sz w:val="24"/>
          <w:szCs w:val="24"/>
        </w:rPr>
        <w:t xml:space="preserve"> </w:t>
      </w:r>
      <w:r w:rsidRPr="00FE255D">
        <w:rPr>
          <w:rFonts w:asciiTheme="minorHAnsi" w:hAnsiTheme="minorHAnsi"/>
          <w:color w:val="000000" w:themeColor="text1"/>
          <w:sz w:val="24"/>
          <w:szCs w:val="24"/>
        </w:rPr>
        <w:t xml:space="preserve">draft for Ijarah Syndication documentation and </w:t>
      </w:r>
      <w:r>
        <w:rPr>
          <w:rFonts w:asciiTheme="minorHAnsi" w:hAnsiTheme="minorHAnsi"/>
          <w:color w:val="000000" w:themeColor="text1"/>
          <w:sz w:val="24"/>
          <w:szCs w:val="24"/>
        </w:rPr>
        <w:t>4</w:t>
      </w:r>
      <w:r w:rsidRPr="008C2292">
        <w:rPr>
          <w:rFonts w:asciiTheme="minorHAnsi" w:hAnsiTheme="minorHAnsi"/>
          <w:color w:val="000000" w:themeColor="text1"/>
          <w:sz w:val="24"/>
          <w:szCs w:val="24"/>
          <w:vertAlign w:val="superscript"/>
        </w:rPr>
        <w:t>th</w:t>
      </w:r>
      <w:r>
        <w:rPr>
          <w:rFonts w:asciiTheme="minorHAnsi" w:hAnsiTheme="minorHAnsi"/>
          <w:color w:val="000000" w:themeColor="text1"/>
          <w:sz w:val="24"/>
          <w:szCs w:val="24"/>
        </w:rPr>
        <w:t xml:space="preserve"> </w:t>
      </w:r>
      <w:r w:rsidRPr="00FE255D">
        <w:rPr>
          <w:rFonts w:asciiTheme="minorHAnsi" w:hAnsiTheme="minorHAnsi"/>
          <w:color w:val="000000" w:themeColor="text1"/>
          <w:sz w:val="24"/>
          <w:szCs w:val="24"/>
        </w:rPr>
        <w:t>draft of Murabahah Syndication documentation</w:t>
      </w:r>
    </w:p>
    <w:p w14:paraId="6818B85E" w14:textId="043F76ED" w:rsidR="00FE255D" w:rsidRDefault="00FE255D" w:rsidP="00181D95">
      <w:pPr>
        <w:pStyle w:val="ListParagraph"/>
        <w:numPr>
          <w:ilvl w:val="0"/>
          <w:numId w:val="46"/>
        </w:numPr>
        <w:rPr>
          <w:rFonts w:asciiTheme="minorHAnsi" w:hAnsiTheme="minorHAnsi"/>
          <w:color w:val="000000" w:themeColor="text1"/>
          <w:sz w:val="24"/>
          <w:szCs w:val="24"/>
        </w:rPr>
      </w:pPr>
      <w:r w:rsidRPr="00FE255D">
        <w:rPr>
          <w:rFonts w:asciiTheme="minorHAnsi" w:hAnsiTheme="minorHAnsi"/>
          <w:color w:val="000000" w:themeColor="text1"/>
          <w:sz w:val="24"/>
          <w:szCs w:val="24"/>
        </w:rPr>
        <w:t>2</w:t>
      </w:r>
      <w:r>
        <w:rPr>
          <w:rFonts w:asciiTheme="minorHAnsi" w:hAnsiTheme="minorHAnsi"/>
          <w:color w:val="000000" w:themeColor="text1"/>
          <w:sz w:val="24"/>
          <w:szCs w:val="24"/>
        </w:rPr>
        <w:t>7</w:t>
      </w:r>
      <w:r w:rsidRPr="00FE255D">
        <w:rPr>
          <w:rFonts w:asciiTheme="minorHAnsi" w:hAnsiTheme="minorHAnsi"/>
          <w:color w:val="000000" w:themeColor="text1"/>
          <w:sz w:val="24"/>
          <w:szCs w:val="24"/>
        </w:rPr>
        <w:t xml:space="preserve">% of the contract amount against the IIFM acceptance on the </w:t>
      </w:r>
      <w:r>
        <w:rPr>
          <w:rFonts w:asciiTheme="minorHAnsi" w:hAnsiTheme="minorHAnsi"/>
          <w:color w:val="000000" w:themeColor="text1"/>
          <w:sz w:val="24"/>
          <w:szCs w:val="24"/>
        </w:rPr>
        <w:t>5</w:t>
      </w:r>
      <w:r w:rsidRPr="008C2292">
        <w:rPr>
          <w:rFonts w:asciiTheme="minorHAnsi" w:hAnsiTheme="minorHAnsi"/>
          <w:color w:val="000000" w:themeColor="text1"/>
          <w:sz w:val="24"/>
          <w:szCs w:val="24"/>
          <w:vertAlign w:val="superscript"/>
        </w:rPr>
        <w:t>th</w:t>
      </w:r>
      <w:r>
        <w:rPr>
          <w:rFonts w:asciiTheme="minorHAnsi" w:hAnsiTheme="minorHAnsi"/>
          <w:color w:val="000000" w:themeColor="text1"/>
          <w:sz w:val="24"/>
          <w:szCs w:val="24"/>
        </w:rPr>
        <w:t xml:space="preserve"> </w:t>
      </w:r>
      <w:r w:rsidRPr="00FE255D">
        <w:rPr>
          <w:rFonts w:asciiTheme="minorHAnsi" w:hAnsiTheme="minorHAnsi"/>
          <w:color w:val="000000" w:themeColor="text1"/>
          <w:sz w:val="24"/>
          <w:szCs w:val="24"/>
        </w:rPr>
        <w:t xml:space="preserve">draft for Ijarah Syndication documentation and </w:t>
      </w:r>
      <w:r>
        <w:rPr>
          <w:rFonts w:asciiTheme="minorHAnsi" w:hAnsiTheme="minorHAnsi"/>
          <w:color w:val="000000" w:themeColor="text1"/>
          <w:sz w:val="24"/>
          <w:szCs w:val="24"/>
        </w:rPr>
        <w:t>5</w:t>
      </w:r>
      <w:r w:rsidRPr="008C2292">
        <w:rPr>
          <w:rFonts w:asciiTheme="minorHAnsi" w:hAnsiTheme="minorHAnsi"/>
          <w:color w:val="000000" w:themeColor="text1"/>
          <w:sz w:val="24"/>
          <w:szCs w:val="24"/>
          <w:vertAlign w:val="superscript"/>
        </w:rPr>
        <w:t>th</w:t>
      </w:r>
      <w:r>
        <w:rPr>
          <w:rFonts w:asciiTheme="minorHAnsi" w:hAnsiTheme="minorHAnsi"/>
          <w:color w:val="000000" w:themeColor="text1"/>
          <w:sz w:val="24"/>
          <w:szCs w:val="24"/>
        </w:rPr>
        <w:t xml:space="preserve"> </w:t>
      </w:r>
      <w:r w:rsidRPr="00FE255D">
        <w:rPr>
          <w:rFonts w:asciiTheme="minorHAnsi" w:hAnsiTheme="minorHAnsi"/>
          <w:color w:val="000000" w:themeColor="text1"/>
          <w:sz w:val="24"/>
          <w:szCs w:val="24"/>
        </w:rPr>
        <w:t>draft of Murabahah Syndication documentation</w:t>
      </w:r>
      <w:r>
        <w:rPr>
          <w:rFonts w:asciiTheme="minorHAnsi" w:hAnsiTheme="minorHAnsi"/>
          <w:color w:val="000000" w:themeColor="text1"/>
          <w:sz w:val="24"/>
          <w:szCs w:val="24"/>
        </w:rPr>
        <w:t xml:space="preserve"> </w:t>
      </w:r>
    </w:p>
    <w:p w14:paraId="39F56E38" w14:textId="6CE33BB4" w:rsidR="00FE255D" w:rsidRDefault="00FE255D" w:rsidP="00181D95">
      <w:pPr>
        <w:pStyle w:val="ListParagraph"/>
        <w:numPr>
          <w:ilvl w:val="0"/>
          <w:numId w:val="46"/>
        </w:numPr>
        <w:rPr>
          <w:rFonts w:asciiTheme="minorHAnsi" w:hAnsiTheme="minorHAnsi"/>
          <w:color w:val="000000" w:themeColor="text1"/>
          <w:sz w:val="24"/>
          <w:szCs w:val="24"/>
        </w:rPr>
      </w:pPr>
      <w:r>
        <w:rPr>
          <w:rFonts w:asciiTheme="minorHAnsi" w:hAnsiTheme="minorHAnsi"/>
          <w:color w:val="000000" w:themeColor="text1"/>
          <w:sz w:val="24"/>
          <w:szCs w:val="24"/>
        </w:rPr>
        <w:t>3</w:t>
      </w:r>
      <w:r w:rsidRPr="00FE255D">
        <w:rPr>
          <w:rFonts w:asciiTheme="minorHAnsi" w:hAnsiTheme="minorHAnsi"/>
          <w:color w:val="000000" w:themeColor="text1"/>
          <w:sz w:val="24"/>
          <w:szCs w:val="24"/>
        </w:rPr>
        <w:t xml:space="preserve">% of the contract amount against the IIFM acceptance on </w:t>
      </w:r>
      <w:r>
        <w:rPr>
          <w:rFonts w:asciiTheme="minorHAnsi" w:hAnsiTheme="minorHAnsi"/>
          <w:color w:val="000000" w:themeColor="text1"/>
          <w:sz w:val="24"/>
          <w:szCs w:val="24"/>
        </w:rPr>
        <w:t>final sets of</w:t>
      </w:r>
      <w:r w:rsidRPr="00FE255D">
        <w:rPr>
          <w:rFonts w:asciiTheme="minorHAnsi" w:hAnsiTheme="minorHAnsi"/>
          <w:color w:val="000000" w:themeColor="text1"/>
          <w:sz w:val="24"/>
          <w:szCs w:val="24"/>
        </w:rPr>
        <w:t xml:space="preserve"> Ijarah Syndication documentation and Murabahah Syndication documentation</w:t>
      </w:r>
      <w:r>
        <w:rPr>
          <w:rFonts w:asciiTheme="minorHAnsi" w:hAnsiTheme="minorHAnsi"/>
          <w:color w:val="000000" w:themeColor="text1"/>
          <w:sz w:val="24"/>
          <w:szCs w:val="24"/>
        </w:rPr>
        <w:t xml:space="preserve"> as approved by IIFM Shariah Board.</w:t>
      </w:r>
    </w:p>
    <w:p w14:paraId="5347FA89" w14:textId="77777777" w:rsidR="006065F9" w:rsidRPr="00953266" w:rsidRDefault="006065F9" w:rsidP="006065F9">
      <w:pPr>
        <w:rPr>
          <w:rFonts w:asciiTheme="minorHAnsi" w:hAnsiTheme="minorHAnsi"/>
          <w:color w:val="000000" w:themeColor="text1"/>
          <w:sz w:val="24"/>
          <w:szCs w:val="24"/>
        </w:rPr>
      </w:pPr>
    </w:p>
    <w:p w14:paraId="267043D8" w14:textId="23C417BD" w:rsidR="006065F9" w:rsidRPr="00953266" w:rsidRDefault="006065F9" w:rsidP="006065F9">
      <w:pPr>
        <w:rPr>
          <w:rFonts w:asciiTheme="minorHAnsi" w:hAnsiTheme="minorHAnsi"/>
          <w:color w:val="000000" w:themeColor="text1"/>
          <w:sz w:val="24"/>
          <w:szCs w:val="24"/>
        </w:rPr>
      </w:pPr>
      <w:r w:rsidRPr="00953266">
        <w:rPr>
          <w:rFonts w:asciiTheme="minorHAnsi" w:hAnsiTheme="minorHAnsi"/>
          <w:color w:val="000000" w:themeColor="text1"/>
          <w:sz w:val="24"/>
          <w:szCs w:val="24"/>
        </w:rPr>
        <w:t xml:space="preserve">The legal firm </w:t>
      </w:r>
      <w:r w:rsidR="00181D95">
        <w:rPr>
          <w:rFonts w:asciiTheme="minorHAnsi" w:hAnsiTheme="minorHAnsi"/>
          <w:color w:val="000000" w:themeColor="text1"/>
          <w:sz w:val="24"/>
          <w:szCs w:val="24"/>
        </w:rPr>
        <w:t xml:space="preserve">shall include and consider in their </w:t>
      </w:r>
      <w:proofErr w:type="spellStart"/>
      <w:r w:rsidR="00181D95">
        <w:rPr>
          <w:rFonts w:asciiTheme="minorHAnsi" w:hAnsiTheme="minorHAnsi"/>
          <w:color w:val="000000" w:themeColor="text1"/>
          <w:sz w:val="24"/>
          <w:szCs w:val="24"/>
        </w:rPr>
        <w:t>lumsum</w:t>
      </w:r>
      <w:proofErr w:type="spellEnd"/>
      <w:r w:rsidR="00181D95">
        <w:rPr>
          <w:rFonts w:asciiTheme="minorHAnsi" w:hAnsiTheme="minorHAnsi"/>
          <w:color w:val="000000" w:themeColor="text1"/>
          <w:sz w:val="24"/>
          <w:szCs w:val="24"/>
        </w:rPr>
        <w:t xml:space="preserve"> price the following:</w:t>
      </w:r>
      <w:r w:rsidRPr="00953266">
        <w:rPr>
          <w:rFonts w:asciiTheme="minorHAnsi" w:hAnsiTheme="minorHAnsi"/>
          <w:color w:val="000000" w:themeColor="text1"/>
          <w:sz w:val="24"/>
          <w:szCs w:val="24"/>
        </w:rPr>
        <w:t xml:space="preserve"> </w:t>
      </w:r>
      <w:r w:rsidR="00E848F8">
        <w:rPr>
          <w:rFonts w:asciiTheme="minorHAnsi" w:hAnsiTheme="minorHAnsi"/>
          <w:color w:val="000000" w:themeColor="text1"/>
          <w:sz w:val="24"/>
          <w:szCs w:val="24"/>
        </w:rPr>
        <w:t>documentation</w:t>
      </w:r>
      <w:r w:rsidR="00E848F8" w:rsidRPr="00953266">
        <w:rPr>
          <w:rFonts w:asciiTheme="minorHAnsi" w:hAnsiTheme="minorHAnsi"/>
          <w:color w:val="000000" w:themeColor="text1"/>
          <w:sz w:val="24"/>
          <w:szCs w:val="24"/>
        </w:rPr>
        <w:t xml:space="preserve"> </w:t>
      </w:r>
      <w:r w:rsidRPr="00953266">
        <w:rPr>
          <w:rFonts w:asciiTheme="minorHAnsi" w:hAnsiTheme="minorHAnsi"/>
          <w:color w:val="000000" w:themeColor="text1"/>
          <w:sz w:val="24"/>
          <w:szCs w:val="24"/>
        </w:rPr>
        <w:t xml:space="preserve">draft charges, time spend in attending the working group meetings, amended draft documentation related charges, any discussion with IIFM management, meetings of Shariah Board and so on till the approval of standard by the Shariah Board and the production of the final approved </w:t>
      </w:r>
      <w:r w:rsidR="003F15BE">
        <w:rPr>
          <w:rFonts w:asciiTheme="minorHAnsi" w:hAnsiTheme="minorHAnsi"/>
          <w:color w:val="000000" w:themeColor="text1"/>
          <w:sz w:val="24"/>
          <w:szCs w:val="24"/>
        </w:rPr>
        <w:t xml:space="preserve">Syndication documentation </w:t>
      </w:r>
      <w:r w:rsidRPr="00953266">
        <w:rPr>
          <w:rFonts w:asciiTheme="minorHAnsi" w:hAnsiTheme="minorHAnsi"/>
          <w:color w:val="000000" w:themeColor="text1"/>
          <w:sz w:val="24"/>
          <w:szCs w:val="24"/>
        </w:rPr>
        <w:t xml:space="preserve">standard and the guidance note.    </w:t>
      </w:r>
    </w:p>
    <w:p w14:paraId="48DCF584" w14:textId="77777777" w:rsidR="00FA580B" w:rsidRPr="00BF61FF" w:rsidRDefault="00FA580B" w:rsidP="00901D65">
      <w:pPr>
        <w:pStyle w:val="ListParagraph"/>
        <w:spacing w:before="100" w:beforeAutospacing="1" w:line="276" w:lineRule="auto"/>
        <w:rPr>
          <w:rFonts w:asciiTheme="minorHAnsi" w:hAnsiTheme="minorHAnsi" w:cstheme="minorHAnsi"/>
          <w:sz w:val="24"/>
          <w:szCs w:val="24"/>
          <w:lang w:val="en-GB"/>
        </w:rPr>
      </w:pPr>
    </w:p>
    <w:tbl>
      <w:tblPr>
        <w:tblStyle w:val="TableGrid0"/>
        <w:tblW w:w="9328" w:type="dxa"/>
        <w:tblInd w:w="62" w:type="dxa"/>
        <w:tblCellMar>
          <w:top w:w="46" w:type="dxa"/>
          <w:right w:w="115" w:type="dxa"/>
        </w:tblCellMar>
        <w:tblLook w:val="04A0" w:firstRow="1" w:lastRow="0" w:firstColumn="1" w:lastColumn="0" w:noHBand="0" w:noVBand="1"/>
      </w:tblPr>
      <w:tblGrid>
        <w:gridCol w:w="658"/>
        <w:gridCol w:w="8670"/>
      </w:tblGrid>
      <w:tr w:rsidR="00FA580B" w:rsidRPr="00BF61FF" w14:paraId="16E3A845" w14:textId="77777777" w:rsidTr="00677F1A">
        <w:trPr>
          <w:trHeight w:val="370"/>
        </w:trPr>
        <w:tc>
          <w:tcPr>
            <w:tcW w:w="658" w:type="dxa"/>
            <w:tcBorders>
              <w:top w:val="nil"/>
              <w:left w:val="nil"/>
              <w:bottom w:val="nil"/>
              <w:right w:val="nil"/>
            </w:tcBorders>
            <w:shd w:val="clear" w:color="auto" w:fill="DEEAF6"/>
          </w:tcPr>
          <w:p w14:paraId="5FC3B12D" w14:textId="21732539" w:rsidR="00FA580B" w:rsidRPr="00BF61FF" w:rsidRDefault="008F5DB8" w:rsidP="00901D65">
            <w:pPr>
              <w:spacing w:line="276" w:lineRule="auto"/>
              <w:ind w:left="29"/>
              <w:rPr>
                <w:rFonts w:cstheme="minorHAnsi"/>
                <w:b/>
                <w:bCs/>
                <w:sz w:val="24"/>
                <w:szCs w:val="24"/>
                <w:lang w:val="en-GB"/>
              </w:rPr>
            </w:pPr>
            <w:r>
              <w:rPr>
                <w:rFonts w:cstheme="minorHAnsi"/>
                <w:b/>
                <w:bCs/>
                <w:sz w:val="24"/>
                <w:szCs w:val="24"/>
                <w:lang w:val="en-GB"/>
              </w:rPr>
              <w:t>8</w:t>
            </w:r>
            <w:r w:rsidR="00FA580B" w:rsidRPr="00BF61FF">
              <w:rPr>
                <w:rFonts w:cstheme="minorHAnsi"/>
                <w:b/>
                <w:bCs/>
                <w:sz w:val="24"/>
                <w:szCs w:val="24"/>
                <w:lang w:val="en-GB"/>
              </w:rPr>
              <w:t>.</w:t>
            </w:r>
            <w:r w:rsidR="00FA580B" w:rsidRPr="00BF61FF">
              <w:rPr>
                <w:rFonts w:eastAsia="Arial" w:cstheme="minorHAnsi"/>
                <w:b/>
                <w:bCs/>
                <w:sz w:val="24"/>
                <w:szCs w:val="24"/>
                <w:lang w:val="en-GB"/>
              </w:rPr>
              <w:t xml:space="preserve"> </w:t>
            </w:r>
          </w:p>
        </w:tc>
        <w:tc>
          <w:tcPr>
            <w:tcW w:w="8670" w:type="dxa"/>
            <w:tcBorders>
              <w:top w:val="nil"/>
              <w:left w:val="nil"/>
              <w:bottom w:val="nil"/>
              <w:right w:val="nil"/>
            </w:tcBorders>
            <w:shd w:val="clear" w:color="auto" w:fill="DEEAF6"/>
          </w:tcPr>
          <w:p w14:paraId="7170FE96" w14:textId="77777777" w:rsidR="00FA580B" w:rsidRPr="00BF61FF" w:rsidRDefault="00FA580B" w:rsidP="00901D65">
            <w:pPr>
              <w:spacing w:line="276" w:lineRule="auto"/>
              <w:rPr>
                <w:rFonts w:cstheme="minorHAnsi"/>
                <w:b/>
                <w:bCs/>
                <w:sz w:val="24"/>
                <w:szCs w:val="24"/>
                <w:lang w:val="en-GB"/>
              </w:rPr>
            </w:pPr>
            <w:r w:rsidRPr="00BF61FF">
              <w:rPr>
                <w:rFonts w:cstheme="minorHAnsi"/>
                <w:b/>
                <w:bCs/>
                <w:sz w:val="24"/>
                <w:szCs w:val="24"/>
                <w:lang w:val="en-GB"/>
              </w:rPr>
              <w:t xml:space="preserve">Instructions to Consultant Firm </w:t>
            </w:r>
          </w:p>
        </w:tc>
      </w:tr>
    </w:tbl>
    <w:p w14:paraId="36BB2892" w14:textId="77777777" w:rsidR="00FA580B" w:rsidRPr="00BF61FF" w:rsidRDefault="00FA580B" w:rsidP="00901D65">
      <w:pPr>
        <w:pStyle w:val="NoSpacing"/>
        <w:spacing w:line="276" w:lineRule="auto"/>
        <w:rPr>
          <w:rFonts w:asciiTheme="minorHAnsi" w:hAnsiTheme="minorHAnsi" w:cstheme="minorHAnsi"/>
          <w:color w:val="auto"/>
          <w:szCs w:val="24"/>
          <w:lang w:val="en-GB"/>
        </w:rPr>
      </w:pPr>
    </w:p>
    <w:p w14:paraId="45104A25" w14:textId="7E8D2172" w:rsidR="00FA580B" w:rsidRPr="00BF61FF" w:rsidRDefault="00FA580B" w:rsidP="00901D65">
      <w:pPr>
        <w:pStyle w:val="NoSpacing"/>
        <w:spacing w:line="276" w:lineRule="auto"/>
        <w:rPr>
          <w:rFonts w:asciiTheme="minorHAnsi" w:hAnsiTheme="minorHAnsi" w:cstheme="minorHAnsi"/>
          <w:color w:val="auto"/>
          <w:szCs w:val="24"/>
          <w:lang w:val="en-GB"/>
        </w:rPr>
      </w:pPr>
      <w:r w:rsidRPr="00BF61FF">
        <w:rPr>
          <w:rFonts w:asciiTheme="minorHAnsi" w:hAnsiTheme="minorHAnsi" w:cstheme="minorHAnsi"/>
          <w:color w:val="auto"/>
          <w:szCs w:val="24"/>
          <w:lang w:val="en-GB"/>
        </w:rPr>
        <w:t xml:space="preserve">Prospective consulting firms are invited to submit a technical proposal (including company profile) and financial proposal, each in two different files no later than </w:t>
      </w:r>
      <w:r w:rsidR="00654C61" w:rsidRPr="00BF61FF">
        <w:rPr>
          <w:rFonts w:asciiTheme="minorHAnsi" w:hAnsiTheme="minorHAnsi" w:cstheme="minorHAnsi"/>
          <w:color w:val="auto"/>
          <w:szCs w:val="24"/>
          <w:lang w:val="en-GB"/>
        </w:rPr>
        <w:t>(</w:t>
      </w:r>
      <w:r w:rsidR="00036208">
        <w:rPr>
          <w:rFonts w:asciiTheme="minorHAnsi" w:hAnsiTheme="minorHAnsi" w:cstheme="minorHAnsi"/>
          <w:b/>
          <w:bCs/>
          <w:color w:val="auto"/>
          <w:szCs w:val="24"/>
          <w:lang w:val="en-GB"/>
        </w:rPr>
        <w:t>31 October 2023</w:t>
      </w:r>
      <w:r w:rsidR="00654C61" w:rsidRPr="00BF61FF">
        <w:rPr>
          <w:rFonts w:asciiTheme="minorHAnsi" w:hAnsiTheme="minorHAnsi" w:cstheme="minorHAnsi"/>
          <w:color w:val="auto"/>
          <w:szCs w:val="24"/>
          <w:lang w:val="en-GB"/>
        </w:rPr>
        <w:t>)</w:t>
      </w:r>
      <w:r w:rsidRPr="00BF61FF">
        <w:rPr>
          <w:rFonts w:asciiTheme="minorHAnsi" w:hAnsiTheme="minorHAnsi" w:cstheme="minorHAnsi"/>
          <w:color w:val="auto"/>
          <w:szCs w:val="24"/>
          <w:lang w:val="en-GB"/>
        </w:rPr>
        <w:t>. All proposals should be sent or submitted in person to the following addresses:</w:t>
      </w:r>
    </w:p>
    <w:p w14:paraId="1CF956DE" w14:textId="77777777" w:rsidR="00FA580B" w:rsidRPr="00BF61FF" w:rsidRDefault="00FA580B" w:rsidP="00901D65">
      <w:pPr>
        <w:pStyle w:val="NoSpacing"/>
        <w:spacing w:line="276" w:lineRule="auto"/>
        <w:rPr>
          <w:rFonts w:asciiTheme="minorHAnsi" w:eastAsia="PMingLiU" w:hAnsiTheme="minorHAnsi" w:cstheme="minorHAnsi"/>
          <w:b/>
          <w:bCs/>
          <w:color w:val="auto"/>
          <w:szCs w:val="24"/>
          <w:lang w:val="en-GB"/>
        </w:rPr>
      </w:pPr>
    </w:p>
    <w:p w14:paraId="14B46155" w14:textId="0F063737" w:rsidR="008F5DB8" w:rsidRPr="00953266" w:rsidRDefault="00953266" w:rsidP="00953266">
      <w:pPr>
        <w:spacing w:line="276" w:lineRule="auto"/>
        <w:rPr>
          <w:rFonts w:asciiTheme="minorHAnsi" w:hAnsiTheme="minorHAnsi"/>
          <w:b/>
          <w:bCs/>
          <w:sz w:val="24"/>
          <w:szCs w:val="24"/>
        </w:rPr>
      </w:pPr>
      <w:r w:rsidRPr="00953266">
        <w:rPr>
          <w:rFonts w:asciiTheme="minorHAnsi" w:hAnsiTheme="minorHAnsi"/>
          <w:b/>
          <w:bCs/>
          <w:sz w:val="24"/>
          <w:szCs w:val="24"/>
        </w:rPr>
        <w:t xml:space="preserve">Mr. </w:t>
      </w:r>
      <w:r w:rsidR="008F5DB8" w:rsidRPr="00953266">
        <w:rPr>
          <w:rFonts w:asciiTheme="minorHAnsi" w:hAnsiTheme="minorHAnsi"/>
          <w:b/>
          <w:bCs/>
          <w:sz w:val="24"/>
          <w:szCs w:val="24"/>
        </w:rPr>
        <w:t>Ijlal Ahmed Alvi</w:t>
      </w:r>
    </w:p>
    <w:p w14:paraId="6706C16F" w14:textId="3F4481F0" w:rsidR="008F5DB8" w:rsidRPr="003F15BE" w:rsidRDefault="008F5DB8" w:rsidP="00953266">
      <w:pPr>
        <w:spacing w:line="276" w:lineRule="auto"/>
        <w:rPr>
          <w:rFonts w:asciiTheme="minorHAnsi" w:hAnsiTheme="minorHAnsi"/>
          <w:sz w:val="24"/>
          <w:szCs w:val="24"/>
        </w:rPr>
      </w:pPr>
      <w:r w:rsidRPr="003F15BE">
        <w:rPr>
          <w:rFonts w:asciiTheme="minorHAnsi" w:hAnsiTheme="minorHAnsi"/>
          <w:sz w:val="24"/>
          <w:szCs w:val="24"/>
        </w:rPr>
        <w:t>Chief Executive Officer</w:t>
      </w:r>
    </w:p>
    <w:p w14:paraId="05463995" w14:textId="77777777" w:rsidR="003F15BE" w:rsidRDefault="008F5DB8" w:rsidP="00953266">
      <w:pPr>
        <w:spacing w:line="276" w:lineRule="auto"/>
        <w:rPr>
          <w:rFonts w:asciiTheme="minorHAnsi" w:hAnsiTheme="minorHAnsi"/>
          <w:sz w:val="24"/>
          <w:szCs w:val="24"/>
        </w:rPr>
      </w:pPr>
      <w:r w:rsidRPr="003F15BE">
        <w:rPr>
          <w:rFonts w:asciiTheme="minorHAnsi" w:hAnsiTheme="minorHAnsi"/>
          <w:sz w:val="24"/>
          <w:szCs w:val="24"/>
        </w:rPr>
        <w:t>International Islamic Financial Market (IIFM)</w:t>
      </w:r>
    </w:p>
    <w:p w14:paraId="25BE11B6" w14:textId="5A0DF2D2" w:rsidR="00EC5558" w:rsidRDefault="00EC5558" w:rsidP="00953266">
      <w:pPr>
        <w:spacing w:line="276" w:lineRule="auto"/>
        <w:rPr>
          <w:rFonts w:asciiTheme="minorHAnsi" w:hAnsiTheme="minorHAnsi"/>
          <w:sz w:val="24"/>
          <w:szCs w:val="24"/>
        </w:rPr>
      </w:pPr>
      <w:r>
        <w:rPr>
          <w:rFonts w:asciiTheme="minorHAnsi" w:hAnsiTheme="minorHAnsi"/>
          <w:sz w:val="24"/>
          <w:szCs w:val="24"/>
        </w:rPr>
        <w:t>Office 72, 7</w:t>
      </w:r>
      <w:r w:rsidRPr="00EC5558">
        <w:rPr>
          <w:rFonts w:asciiTheme="minorHAnsi" w:hAnsiTheme="minorHAnsi"/>
          <w:sz w:val="24"/>
          <w:szCs w:val="24"/>
          <w:vertAlign w:val="superscript"/>
        </w:rPr>
        <w:t>th</w:t>
      </w:r>
      <w:r>
        <w:rPr>
          <w:rFonts w:asciiTheme="minorHAnsi" w:hAnsiTheme="minorHAnsi"/>
          <w:sz w:val="24"/>
          <w:szCs w:val="24"/>
        </w:rPr>
        <w:t xml:space="preserve"> Floor, Zamil Tower</w:t>
      </w:r>
    </w:p>
    <w:p w14:paraId="1DF73DEE" w14:textId="28A181C2" w:rsidR="00EC5558" w:rsidRPr="003F15BE" w:rsidRDefault="00EC5558" w:rsidP="00953266">
      <w:pPr>
        <w:spacing w:line="276" w:lineRule="auto"/>
        <w:rPr>
          <w:rFonts w:asciiTheme="minorHAnsi" w:hAnsiTheme="minorHAnsi"/>
          <w:sz w:val="24"/>
          <w:szCs w:val="24"/>
        </w:rPr>
      </w:pPr>
      <w:r>
        <w:rPr>
          <w:rFonts w:asciiTheme="minorHAnsi" w:hAnsiTheme="minorHAnsi"/>
          <w:sz w:val="24"/>
          <w:szCs w:val="24"/>
        </w:rPr>
        <w:t>Government Avenue</w:t>
      </w:r>
    </w:p>
    <w:p w14:paraId="2C16E3E1" w14:textId="244BF4B0" w:rsidR="003F15BE" w:rsidRPr="003F15BE" w:rsidRDefault="003F15BE" w:rsidP="00953266">
      <w:pPr>
        <w:spacing w:line="276" w:lineRule="auto"/>
        <w:rPr>
          <w:rFonts w:asciiTheme="minorHAnsi" w:hAnsiTheme="minorHAnsi"/>
          <w:sz w:val="24"/>
          <w:szCs w:val="24"/>
        </w:rPr>
      </w:pPr>
      <w:r w:rsidRPr="003F15BE">
        <w:rPr>
          <w:rFonts w:asciiTheme="minorHAnsi" w:hAnsiTheme="minorHAnsi"/>
          <w:sz w:val="24"/>
          <w:szCs w:val="24"/>
        </w:rPr>
        <w:t>P.O. Box 11454, Manama, Kingdom of Bahrain</w:t>
      </w:r>
    </w:p>
    <w:p w14:paraId="2AA2ACB8" w14:textId="721BB5B5" w:rsidR="008F5DB8" w:rsidRPr="00953266" w:rsidRDefault="008F5DB8" w:rsidP="00953266">
      <w:pPr>
        <w:spacing w:line="276" w:lineRule="auto"/>
        <w:rPr>
          <w:rFonts w:asciiTheme="minorHAnsi" w:hAnsiTheme="minorHAnsi"/>
          <w:sz w:val="24"/>
          <w:szCs w:val="24"/>
        </w:rPr>
      </w:pPr>
      <w:r w:rsidRPr="00953266">
        <w:rPr>
          <w:rFonts w:asciiTheme="minorHAnsi" w:hAnsiTheme="minorHAnsi"/>
          <w:sz w:val="24"/>
          <w:szCs w:val="24"/>
        </w:rPr>
        <w:t xml:space="preserve">Tel: +973 17500161 </w:t>
      </w:r>
    </w:p>
    <w:p w14:paraId="329CD095" w14:textId="4E140355" w:rsidR="00953266" w:rsidRPr="00953266" w:rsidRDefault="00953266" w:rsidP="00953266">
      <w:pPr>
        <w:spacing w:line="276" w:lineRule="auto"/>
        <w:rPr>
          <w:rFonts w:asciiTheme="minorHAnsi" w:hAnsiTheme="minorHAnsi"/>
          <w:sz w:val="24"/>
          <w:szCs w:val="24"/>
        </w:rPr>
      </w:pPr>
      <w:r w:rsidRPr="00953266">
        <w:rPr>
          <w:rFonts w:asciiTheme="minorHAnsi" w:hAnsiTheme="minorHAnsi"/>
          <w:sz w:val="24"/>
          <w:szCs w:val="24"/>
        </w:rPr>
        <w:t xml:space="preserve">Email: </w:t>
      </w:r>
      <w:hyperlink r:id="rId8" w:history="1">
        <w:r w:rsidRPr="00953266">
          <w:rPr>
            <w:rStyle w:val="Hyperlink"/>
            <w:rFonts w:asciiTheme="minorHAnsi" w:hAnsiTheme="minorHAnsi"/>
            <w:sz w:val="24"/>
            <w:szCs w:val="24"/>
          </w:rPr>
          <w:t>ijlal.alvi@iifm.net</w:t>
        </w:r>
      </w:hyperlink>
      <w:r w:rsidRPr="00953266">
        <w:rPr>
          <w:rFonts w:asciiTheme="minorHAnsi" w:hAnsiTheme="minorHAnsi"/>
          <w:sz w:val="24"/>
          <w:szCs w:val="24"/>
        </w:rPr>
        <w:t xml:space="preserve"> </w:t>
      </w:r>
    </w:p>
    <w:p w14:paraId="7E0DFDD3" w14:textId="77777777" w:rsidR="008F5DB8" w:rsidRPr="00BF61FF" w:rsidRDefault="008F5DB8" w:rsidP="00901D65">
      <w:pPr>
        <w:pStyle w:val="NoSpacing"/>
        <w:spacing w:line="276" w:lineRule="auto"/>
        <w:rPr>
          <w:rFonts w:asciiTheme="minorHAnsi" w:hAnsiTheme="minorHAnsi" w:cstheme="minorHAnsi"/>
          <w:color w:val="auto"/>
          <w:szCs w:val="24"/>
          <w:lang w:val="en-GB"/>
        </w:rPr>
      </w:pPr>
    </w:p>
    <w:p w14:paraId="49C45EEE" w14:textId="4DD7DE27" w:rsidR="00901D65" w:rsidRPr="00BF61FF" w:rsidRDefault="00FA580B" w:rsidP="00901D65">
      <w:pPr>
        <w:pStyle w:val="NoSpacing"/>
        <w:spacing w:line="276" w:lineRule="auto"/>
        <w:rPr>
          <w:rFonts w:asciiTheme="minorHAnsi" w:hAnsiTheme="minorHAnsi" w:cstheme="minorHAnsi"/>
          <w:color w:val="auto"/>
          <w:szCs w:val="24"/>
          <w:lang w:val="en-GB"/>
        </w:rPr>
      </w:pPr>
      <w:r w:rsidRPr="00BF61FF">
        <w:rPr>
          <w:rFonts w:asciiTheme="minorHAnsi" w:hAnsiTheme="minorHAnsi" w:cstheme="minorHAnsi"/>
          <w:b/>
          <w:bCs/>
          <w:color w:val="auto"/>
          <w:szCs w:val="24"/>
          <w:lang w:val="en-GB"/>
        </w:rPr>
        <w:t>Clarification mechanism:</w:t>
      </w:r>
      <w:r w:rsidRPr="00BF61FF">
        <w:rPr>
          <w:rFonts w:asciiTheme="minorHAnsi" w:hAnsiTheme="minorHAnsi" w:cstheme="minorHAnsi"/>
          <w:color w:val="auto"/>
          <w:szCs w:val="24"/>
          <w:lang w:val="en-GB"/>
        </w:rPr>
        <w:t xml:space="preserve"> For any technical queries or clarification, the Consultant may send an email to the focal person on the </w:t>
      </w:r>
      <w:r w:rsidR="00901D65" w:rsidRPr="00BF61FF">
        <w:rPr>
          <w:rFonts w:asciiTheme="minorHAnsi" w:hAnsiTheme="minorHAnsi" w:cstheme="minorHAnsi"/>
          <w:color w:val="auto"/>
          <w:szCs w:val="24"/>
          <w:lang w:val="en-GB"/>
        </w:rPr>
        <w:t>above contact details.</w:t>
      </w:r>
    </w:p>
    <w:p w14:paraId="38AFDD71" w14:textId="18840F11" w:rsidR="00FA580B" w:rsidRPr="00BF61FF" w:rsidRDefault="00FA580B" w:rsidP="00901D65">
      <w:pPr>
        <w:pStyle w:val="NoSpacing"/>
        <w:spacing w:line="276" w:lineRule="auto"/>
        <w:rPr>
          <w:rFonts w:asciiTheme="minorHAnsi" w:hAnsiTheme="minorHAnsi" w:cstheme="minorHAnsi"/>
          <w:color w:val="auto"/>
          <w:szCs w:val="24"/>
          <w:lang w:val="en-GB"/>
        </w:rPr>
      </w:pPr>
    </w:p>
    <w:p w14:paraId="1D4FB998" w14:textId="77777777" w:rsidR="00FA580B" w:rsidRPr="00BF61FF" w:rsidRDefault="00FA580B" w:rsidP="00901D65">
      <w:pPr>
        <w:pStyle w:val="NoSpacing"/>
        <w:spacing w:line="276" w:lineRule="auto"/>
        <w:rPr>
          <w:rFonts w:asciiTheme="minorHAnsi" w:hAnsiTheme="minorHAnsi" w:cstheme="minorHAnsi"/>
          <w:color w:val="auto"/>
          <w:szCs w:val="24"/>
          <w:lang w:val="en-GB"/>
        </w:rPr>
      </w:pPr>
      <w:r w:rsidRPr="00BF61FF">
        <w:rPr>
          <w:rFonts w:asciiTheme="minorHAnsi" w:hAnsiTheme="minorHAnsi" w:cstheme="minorHAnsi"/>
          <w:b/>
          <w:bCs/>
          <w:color w:val="auto"/>
          <w:szCs w:val="24"/>
          <w:lang w:val="en-GB"/>
        </w:rPr>
        <w:t>Proposals Validity:</w:t>
      </w:r>
      <w:r w:rsidRPr="00BF61FF">
        <w:rPr>
          <w:rFonts w:asciiTheme="minorHAnsi" w:hAnsiTheme="minorHAnsi" w:cstheme="minorHAnsi"/>
          <w:color w:val="auto"/>
          <w:szCs w:val="24"/>
          <w:lang w:val="en-GB"/>
        </w:rPr>
        <w:t xml:space="preserve"> All submitted proposals shall remain valid for two (2) months after the above submission date.</w:t>
      </w:r>
    </w:p>
    <w:p w14:paraId="168FCD72" w14:textId="77777777" w:rsidR="00FA580B" w:rsidRPr="00BF61FF" w:rsidRDefault="00FA580B" w:rsidP="00901D65">
      <w:pPr>
        <w:pStyle w:val="NoSpacing"/>
        <w:spacing w:line="276" w:lineRule="auto"/>
        <w:rPr>
          <w:rFonts w:asciiTheme="minorHAnsi" w:hAnsiTheme="minorHAnsi" w:cstheme="minorHAnsi"/>
          <w:color w:val="auto"/>
          <w:szCs w:val="24"/>
          <w:lang w:val="en-GB"/>
        </w:rPr>
      </w:pPr>
    </w:p>
    <w:p w14:paraId="25C93DFF" w14:textId="77777777" w:rsidR="00FA580B" w:rsidRPr="00BF61FF" w:rsidRDefault="00FA580B" w:rsidP="00901D65">
      <w:pPr>
        <w:pStyle w:val="NoSpacing"/>
        <w:spacing w:line="276" w:lineRule="auto"/>
        <w:rPr>
          <w:rFonts w:asciiTheme="minorHAnsi" w:hAnsiTheme="minorHAnsi" w:cstheme="minorHAnsi"/>
          <w:color w:val="auto"/>
          <w:szCs w:val="24"/>
          <w:lang w:val="en-GB"/>
        </w:rPr>
      </w:pPr>
      <w:r w:rsidRPr="00BF61FF">
        <w:rPr>
          <w:rFonts w:asciiTheme="minorHAnsi" w:hAnsiTheme="minorHAnsi" w:cstheme="minorHAnsi"/>
          <w:color w:val="auto"/>
          <w:szCs w:val="24"/>
          <w:lang w:val="en-GB"/>
        </w:rPr>
        <w:t xml:space="preserve">The consultant is expected to have fully read and understood </w:t>
      </w:r>
      <w:r w:rsidRPr="00BF61FF">
        <w:rPr>
          <w:rFonts w:asciiTheme="minorHAnsi" w:hAnsiTheme="minorHAnsi" w:cstheme="minorHAnsi"/>
          <w:b/>
          <w:bCs/>
          <w:color w:val="auto"/>
          <w:szCs w:val="24"/>
          <w:u w:val="single"/>
          <w:lang w:val="en-GB"/>
        </w:rPr>
        <w:t>ALL sections</w:t>
      </w:r>
      <w:r w:rsidRPr="00BF61FF">
        <w:rPr>
          <w:rFonts w:asciiTheme="minorHAnsi" w:hAnsiTheme="minorHAnsi" w:cstheme="minorHAnsi"/>
          <w:color w:val="auto"/>
          <w:szCs w:val="24"/>
          <w:lang w:val="en-GB"/>
        </w:rPr>
        <w:t xml:space="preserve"> of this ToR document to comprehend the expectations of the hiring department from this project.</w:t>
      </w:r>
    </w:p>
    <w:p w14:paraId="345C203A" w14:textId="77777777" w:rsidR="00FA580B" w:rsidRPr="00BF61FF" w:rsidRDefault="00FA580B" w:rsidP="00FA580B">
      <w:pPr>
        <w:spacing w:line="259" w:lineRule="auto"/>
        <w:rPr>
          <w:rFonts w:asciiTheme="majorBidi" w:hAnsiTheme="majorBidi" w:cstheme="majorBidi"/>
          <w:lang w:val="en-GB"/>
        </w:rPr>
      </w:pPr>
    </w:p>
    <w:p w14:paraId="28FA16A7" w14:textId="30373EB7" w:rsidR="005B5F29" w:rsidRPr="00BF61FF" w:rsidRDefault="00FA580B" w:rsidP="00953266">
      <w:pPr>
        <w:spacing w:line="259" w:lineRule="auto"/>
        <w:rPr>
          <w:rFonts w:asciiTheme="majorBidi" w:hAnsiTheme="majorBidi" w:cstheme="majorBidi"/>
          <w:rtl/>
          <w:lang w:val="en-GB"/>
        </w:rPr>
      </w:pPr>
      <w:r w:rsidRPr="00BF61FF">
        <w:rPr>
          <w:rFonts w:asciiTheme="majorBidi" w:hAnsiTheme="majorBidi" w:cstheme="majorBidi"/>
          <w:lang w:val="en-GB"/>
        </w:rPr>
        <w:t xml:space="preserve"> </w:t>
      </w:r>
    </w:p>
    <w:sectPr w:rsidR="005B5F29" w:rsidRPr="00BF61FF" w:rsidSect="00E50AE7">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477A7" w14:textId="77777777" w:rsidR="004A0D49" w:rsidRDefault="004A0D49">
      <w:r>
        <w:separator/>
      </w:r>
    </w:p>
  </w:endnote>
  <w:endnote w:type="continuationSeparator" w:id="0">
    <w:p w14:paraId="76FE52E6" w14:textId="77777777" w:rsidR="004A0D49" w:rsidRDefault="004A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Zar">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DD8A" w14:textId="77777777" w:rsidR="00916291" w:rsidRDefault="00916291" w:rsidP="00966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8FE2CE" w14:textId="77777777" w:rsidR="00916291" w:rsidRDefault="00916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C73B" w14:textId="77777777" w:rsidR="00916291" w:rsidRPr="005578B5" w:rsidRDefault="00916291" w:rsidP="00BF05A4">
    <w:pPr>
      <w:pStyle w:val="Footer"/>
      <w:bidi/>
      <w:jc w:val="center"/>
      <w:rPr>
        <w:szCs w:val="16"/>
        <w:lang w:bidi="prs-AF"/>
      </w:rPr>
    </w:pPr>
  </w:p>
  <w:p w14:paraId="39B2D29D" w14:textId="77777777" w:rsidR="00916291" w:rsidRPr="001408C4" w:rsidRDefault="00916291" w:rsidP="00735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88DA" w14:textId="77777777" w:rsidR="00916291" w:rsidRPr="005A6D44" w:rsidRDefault="00916291" w:rsidP="004C1382">
    <w:pPr>
      <w:pStyle w:val="Footer"/>
      <w:jc w:val="center"/>
      <w:rPr>
        <w:sz w:val="16"/>
        <w:szCs w:val="16"/>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E43C" w14:textId="77777777" w:rsidR="004A0D49" w:rsidRDefault="004A0D49">
      <w:r>
        <w:separator/>
      </w:r>
    </w:p>
  </w:footnote>
  <w:footnote w:type="continuationSeparator" w:id="0">
    <w:p w14:paraId="05B54D65" w14:textId="77777777" w:rsidR="004A0D49" w:rsidRDefault="004A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A254" w14:textId="666F8ADB" w:rsidR="00F60212" w:rsidRDefault="00F60212">
    <w:pPr>
      <w:pStyle w:val="Header"/>
    </w:pPr>
    <w:r>
      <w:rPr>
        <w:noProof/>
      </w:rPr>
      <mc:AlternateContent>
        <mc:Choice Requires="wps">
          <w:drawing>
            <wp:anchor distT="0" distB="0" distL="114300" distR="114300" simplePos="0" relativeHeight="251659264" behindDoc="0" locked="0" layoutInCell="0" allowOverlap="1" wp14:anchorId="602EF269" wp14:editId="2D8DB4C6">
              <wp:simplePos x="0" y="0"/>
              <wp:positionH relativeFrom="page">
                <wp:posOffset>0</wp:posOffset>
              </wp:positionH>
              <wp:positionV relativeFrom="page">
                <wp:posOffset>190500</wp:posOffset>
              </wp:positionV>
              <wp:extent cx="7562215" cy="273050"/>
              <wp:effectExtent l="0" t="0" r="0" b="12700"/>
              <wp:wrapNone/>
              <wp:docPr id="1" name="MSIPCM3244418c8a22e33dcf7bec54"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4DA168" w14:textId="3B2DA13E"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2EF269" id="_x0000_t202" coordsize="21600,21600" o:spt="202" path="m,l,21600r21600,l21600,xe">
              <v:stroke joinstyle="miter"/>
              <v:path gradientshapeok="t" o:connecttype="rect"/>
            </v:shapetype>
            <v:shape id="MSIPCM3244418c8a22e33dcf7bec54" o:spid="_x0000_s1026" type="#_x0000_t202" alt="{&quot;HashCode&quot;:-1813103172,&quot;Height&quot;:841.0,&quot;Width&quot;:595.0,&quot;Placement&quot;:&quot;Header&quot;,&quot;Index&quot;:&quot;Primary&quot;,&quot;Section&quot;:1,&quot;Top&quot;:0.0,&quot;Left&quot;:0.0}" style="position:absolute;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354DA168" w14:textId="3B2DA13E"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21CC" w14:textId="76A0C653" w:rsidR="00F60212" w:rsidRDefault="00F60212">
    <w:pPr>
      <w:pStyle w:val="Header"/>
    </w:pPr>
    <w:r>
      <w:rPr>
        <w:noProof/>
      </w:rPr>
      <mc:AlternateContent>
        <mc:Choice Requires="wps">
          <w:drawing>
            <wp:anchor distT="0" distB="0" distL="114300" distR="114300" simplePos="0" relativeHeight="251660288" behindDoc="0" locked="0" layoutInCell="0" allowOverlap="1" wp14:anchorId="10E54615" wp14:editId="7332AF85">
              <wp:simplePos x="0" y="0"/>
              <wp:positionH relativeFrom="page">
                <wp:posOffset>0</wp:posOffset>
              </wp:positionH>
              <wp:positionV relativeFrom="page">
                <wp:posOffset>190500</wp:posOffset>
              </wp:positionV>
              <wp:extent cx="7562215" cy="273050"/>
              <wp:effectExtent l="0" t="0" r="0" b="12700"/>
              <wp:wrapNone/>
              <wp:docPr id="2" name="MSIPCMf9904593a63c2c1833ee901e" descr="{&quot;HashCode&quot;:-18131031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11393" w14:textId="1D2E85A6"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0E54615" id="_x0000_t202" coordsize="21600,21600" o:spt="202" path="m,l,21600r21600,l21600,xe">
              <v:stroke joinstyle="miter"/>
              <v:path gradientshapeok="t" o:connecttype="rect"/>
            </v:shapetype>
            <v:shape id="MSIPCMf9904593a63c2c1833ee901e" o:spid="_x0000_s1027" type="#_x0000_t202" alt="{&quot;HashCode&quot;:-1813103172,&quot;Height&quot;:841.0,&quot;Width&quot;:595.0,&quot;Placement&quot;:&quot;Header&quot;,&quot;Index&quot;:&quot;FirstPage&quot;,&quot;Section&quot;:1,&quot;Top&quot;:0.0,&quot;Left&quot;:0.0}" style="position:absolute;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" o:allowincell="f" filled="f" stroked="f" strokeweight=".5pt">
              <v:textbox inset="20pt,0,,0">
                <w:txbxContent>
                  <w:p w14:paraId="27111393" w14:textId="1D2E85A6"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8C6"/>
    <w:multiLevelType w:val="hybridMultilevel"/>
    <w:tmpl w:val="64CC4C7E"/>
    <w:lvl w:ilvl="0" w:tplc="E0A0DE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6407CA"/>
    <w:multiLevelType w:val="hybridMultilevel"/>
    <w:tmpl w:val="3E8A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17C94"/>
    <w:multiLevelType w:val="hybridMultilevel"/>
    <w:tmpl w:val="2BB2ACAA"/>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3" w15:restartNumberingAfterBreak="0">
    <w:nsid w:val="0BC64F9F"/>
    <w:multiLevelType w:val="hybridMultilevel"/>
    <w:tmpl w:val="FEA22194"/>
    <w:lvl w:ilvl="0" w:tplc="07BAA540">
      <w:start w:val="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772A1"/>
    <w:multiLevelType w:val="hybridMultilevel"/>
    <w:tmpl w:val="C1185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F719B"/>
    <w:multiLevelType w:val="hybridMultilevel"/>
    <w:tmpl w:val="DD302F5C"/>
    <w:lvl w:ilvl="0" w:tplc="0809000B">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start w:val="1"/>
      <w:numFmt w:val="bullet"/>
      <w:lvlText w:val="o"/>
      <w:lvlJc w:val="left"/>
      <w:pPr>
        <w:ind w:left="4680" w:hanging="360"/>
      </w:pPr>
      <w:rPr>
        <w:rFonts w:ascii="Courier New" w:hAnsi="Courier New" w:cs="Courier New" w:hint="default"/>
      </w:rPr>
    </w:lvl>
    <w:lvl w:ilvl="5" w:tplc="FFFFFFFF">
      <w:start w:val="1"/>
      <w:numFmt w:val="bullet"/>
      <w:lvlText w:val=""/>
      <w:lvlJc w:val="left"/>
      <w:pPr>
        <w:ind w:left="5400" w:hanging="360"/>
      </w:pPr>
      <w:rPr>
        <w:rFonts w:ascii="Wingdings" w:hAnsi="Wingdings" w:hint="default"/>
      </w:rPr>
    </w:lvl>
    <w:lvl w:ilvl="6" w:tplc="FFFFFFFF">
      <w:start w:val="1"/>
      <w:numFmt w:val="bullet"/>
      <w:lvlText w:val=""/>
      <w:lvlJc w:val="left"/>
      <w:pPr>
        <w:ind w:left="6120" w:hanging="360"/>
      </w:pPr>
      <w:rPr>
        <w:rFonts w:ascii="Symbol" w:hAnsi="Symbol" w:hint="default"/>
      </w:rPr>
    </w:lvl>
    <w:lvl w:ilvl="7" w:tplc="FFFFFFFF">
      <w:start w:val="1"/>
      <w:numFmt w:val="bullet"/>
      <w:lvlText w:val="o"/>
      <w:lvlJc w:val="left"/>
      <w:pPr>
        <w:ind w:left="6840" w:hanging="360"/>
      </w:pPr>
      <w:rPr>
        <w:rFonts w:ascii="Courier New" w:hAnsi="Courier New" w:cs="Courier New" w:hint="default"/>
      </w:rPr>
    </w:lvl>
    <w:lvl w:ilvl="8" w:tplc="FFFFFFFF">
      <w:start w:val="1"/>
      <w:numFmt w:val="bullet"/>
      <w:lvlText w:val=""/>
      <w:lvlJc w:val="left"/>
      <w:pPr>
        <w:ind w:left="7560" w:hanging="360"/>
      </w:pPr>
      <w:rPr>
        <w:rFonts w:ascii="Wingdings" w:hAnsi="Wingdings" w:hint="default"/>
      </w:rPr>
    </w:lvl>
  </w:abstractNum>
  <w:abstractNum w:abstractNumId="6" w15:restartNumberingAfterBreak="0">
    <w:nsid w:val="0FDC2A84"/>
    <w:multiLevelType w:val="hybridMultilevel"/>
    <w:tmpl w:val="8774D778"/>
    <w:lvl w:ilvl="0" w:tplc="9F6C7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1377B"/>
    <w:multiLevelType w:val="hybridMultilevel"/>
    <w:tmpl w:val="4C0A8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E7B10"/>
    <w:multiLevelType w:val="hybridMultilevel"/>
    <w:tmpl w:val="372C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C1641"/>
    <w:multiLevelType w:val="hybridMultilevel"/>
    <w:tmpl w:val="0602FB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7D78A8"/>
    <w:multiLevelType w:val="hybridMultilevel"/>
    <w:tmpl w:val="1E9828C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F326959"/>
    <w:multiLevelType w:val="hybridMultilevel"/>
    <w:tmpl w:val="757CAD72"/>
    <w:lvl w:ilvl="0" w:tplc="76144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63BF2"/>
    <w:multiLevelType w:val="hybridMultilevel"/>
    <w:tmpl w:val="479A5670"/>
    <w:lvl w:ilvl="0" w:tplc="D228FF36">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87723"/>
    <w:multiLevelType w:val="hybridMultilevel"/>
    <w:tmpl w:val="20E2EF24"/>
    <w:lvl w:ilvl="0" w:tplc="45D8F100">
      <w:numFmt w:val="bullet"/>
      <w:lvlText w:val="-"/>
      <w:lvlJc w:val="left"/>
      <w:pPr>
        <w:ind w:left="720" w:hanging="360"/>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A1EE9"/>
    <w:multiLevelType w:val="hybridMultilevel"/>
    <w:tmpl w:val="E452DD66"/>
    <w:lvl w:ilvl="0" w:tplc="2F3ED304">
      <w:numFmt w:val="bullet"/>
      <w:lvlText w:val="-"/>
      <w:lvlJc w:val="left"/>
      <w:pPr>
        <w:ind w:left="405" w:hanging="360"/>
      </w:pPr>
      <w:rPr>
        <w:rFonts w:ascii="Arial" w:eastAsia="Times New Roman" w:hAnsi="Arial" w:cs="B Zar" w:hint="default"/>
        <w:b w:val="0"/>
        <w:sz w:val="26"/>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2E4965A0"/>
    <w:multiLevelType w:val="hybridMultilevel"/>
    <w:tmpl w:val="DFB010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455DF9"/>
    <w:multiLevelType w:val="hybridMultilevel"/>
    <w:tmpl w:val="3F809E40"/>
    <w:lvl w:ilvl="0" w:tplc="9528C132">
      <w:numFmt w:val="bullet"/>
      <w:lvlText w:val="-"/>
      <w:lvlJc w:val="left"/>
      <w:pPr>
        <w:ind w:left="720" w:hanging="360"/>
      </w:pPr>
      <w:rPr>
        <w:rFonts w:ascii="Arial" w:eastAsia="Times New Roman" w:hAnsi="Aria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AD5C10"/>
    <w:multiLevelType w:val="hybridMultilevel"/>
    <w:tmpl w:val="3E8A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25D28"/>
    <w:multiLevelType w:val="hybridMultilevel"/>
    <w:tmpl w:val="FD6CB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D2A4159"/>
    <w:multiLevelType w:val="multilevel"/>
    <w:tmpl w:val="153853F6"/>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36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0" w15:restartNumberingAfterBreak="0">
    <w:nsid w:val="3F4C0DA1"/>
    <w:multiLevelType w:val="hybridMultilevel"/>
    <w:tmpl w:val="2A22D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542F5"/>
    <w:multiLevelType w:val="hybridMultilevel"/>
    <w:tmpl w:val="3E62A9B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75404"/>
    <w:multiLevelType w:val="multilevel"/>
    <w:tmpl w:val="153853F6"/>
    <w:styleLink w:val="OutlineListA"/>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36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23" w15:restartNumberingAfterBreak="0">
    <w:nsid w:val="40611112"/>
    <w:multiLevelType w:val="hybridMultilevel"/>
    <w:tmpl w:val="353479E6"/>
    <w:lvl w:ilvl="0" w:tplc="D7406B50">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309B3"/>
    <w:multiLevelType w:val="hybridMultilevel"/>
    <w:tmpl w:val="81EE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C6B4F"/>
    <w:multiLevelType w:val="hybridMultilevel"/>
    <w:tmpl w:val="9DE83C8E"/>
    <w:lvl w:ilvl="0" w:tplc="257C5126">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AA5CF7"/>
    <w:multiLevelType w:val="hybridMultilevel"/>
    <w:tmpl w:val="EA1A8554"/>
    <w:lvl w:ilvl="0" w:tplc="5C8E0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5A7366"/>
    <w:multiLevelType w:val="hybridMultilevel"/>
    <w:tmpl w:val="2D3A7EB4"/>
    <w:lvl w:ilvl="0" w:tplc="4014A0FA">
      <w:start w:val="1"/>
      <w:numFmt w:val="decimal"/>
      <w:lvlText w:val="%1."/>
      <w:lvlJc w:val="left"/>
      <w:pPr>
        <w:ind w:left="99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BB2AC3"/>
    <w:multiLevelType w:val="hybridMultilevel"/>
    <w:tmpl w:val="3E8A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E6236"/>
    <w:multiLevelType w:val="hybridMultilevel"/>
    <w:tmpl w:val="64CC4C7E"/>
    <w:lvl w:ilvl="0" w:tplc="E0A0DE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54977CC3"/>
    <w:multiLevelType w:val="hybridMultilevel"/>
    <w:tmpl w:val="2D429132"/>
    <w:lvl w:ilvl="0" w:tplc="90A82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F87188"/>
    <w:multiLevelType w:val="hybridMultilevel"/>
    <w:tmpl w:val="74E2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432C0E"/>
    <w:multiLevelType w:val="hybridMultilevel"/>
    <w:tmpl w:val="7F8A5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9B3D23"/>
    <w:multiLevelType w:val="hybridMultilevel"/>
    <w:tmpl w:val="D49CFCCE"/>
    <w:lvl w:ilvl="0" w:tplc="6CF095F2">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4" w15:restartNumberingAfterBreak="0">
    <w:nsid w:val="640C7E49"/>
    <w:multiLevelType w:val="hybridMultilevel"/>
    <w:tmpl w:val="0B040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A6EF3"/>
    <w:multiLevelType w:val="hybridMultilevel"/>
    <w:tmpl w:val="57E69E4E"/>
    <w:lvl w:ilvl="0" w:tplc="1CCC133C">
      <w:numFmt w:val="bullet"/>
      <w:lvlText w:val="-"/>
      <w:lvlJc w:val="left"/>
      <w:pPr>
        <w:ind w:left="4185" w:hanging="3825"/>
      </w:pPr>
      <w:rPr>
        <w:rFonts w:ascii="Times New Roman" w:eastAsia="Times New Roman" w:hAnsi="Times New Roman"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D27C9"/>
    <w:multiLevelType w:val="hybridMultilevel"/>
    <w:tmpl w:val="276A6174"/>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7" w15:restartNumberingAfterBreak="0">
    <w:nsid w:val="681F3FEC"/>
    <w:multiLevelType w:val="hybridMultilevel"/>
    <w:tmpl w:val="69AA3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AB33452"/>
    <w:multiLevelType w:val="hybridMultilevel"/>
    <w:tmpl w:val="DD688992"/>
    <w:lvl w:ilvl="0" w:tplc="04090001">
      <w:start w:val="1"/>
      <w:numFmt w:val="bullet"/>
      <w:lvlText w:val=""/>
      <w:lvlJc w:val="left"/>
      <w:pPr>
        <w:ind w:left="1385" w:hanging="360"/>
      </w:pPr>
      <w:rPr>
        <w:rFonts w:ascii="Symbol" w:hAnsi="Symbol" w:hint="default"/>
      </w:rPr>
    </w:lvl>
    <w:lvl w:ilvl="1" w:tplc="04090003" w:tentative="1">
      <w:start w:val="1"/>
      <w:numFmt w:val="bullet"/>
      <w:lvlText w:val="o"/>
      <w:lvlJc w:val="left"/>
      <w:pPr>
        <w:ind w:left="2105" w:hanging="360"/>
      </w:pPr>
      <w:rPr>
        <w:rFonts w:ascii="Courier New" w:hAnsi="Courier New" w:cs="Courier New" w:hint="default"/>
      </w:rPr>
    </w:lvl>
    <w:lvl w:ilvl="2" w:tplc="04090005" w:tentative="1">
      <w:start w:val="1"/>
      <w:numFmt w:val="bullet"/>
      <w:lvlText w:val=""/>
      <w:lvlJc w:val="left"/>
      <w:pPr>
        <w:ind w:left="2825" w:hanging="360"/>
      </w:pPr>
      <w:rPr>
        <w:rFonts w:ascii="Wingdings" w:hAnsi="Wingdings" w:hint="default"/>
      </w:rPr>
    </w:lvl>
    <w:lvl w:ilvl="3" w:tplc="04090001" w:tentative="1">
      <w:start w:val="1"/>
      <w:numFmt w:val="bullet"/>
      <w:lvlText w:val=""/>
      <w:lvlJc w:val="left"/>
      <w:pPr>
        <w:ind w:left="3545" w:hanging="360"/>
      </w:pPr>
      <w:rPr>
        <w:rFonts w:ascii="Symbol" w:hAnsi="Symbol" w:hint="default"/>
      </w:rPr>
    </w:lvl>
    <w:lvl w:ilvl="4" w:tplc="04090003" w:tentative="1">
      <w:start w:val="1"/>
      <w:numFmt w:val="bullet"/>
      <w:lvlText w:val="o"/>
      <w:lvlJc w:val="left"/>
      <w:pPr>
        <w:ind w:left="4265" w:hanging="360"/>
      </w:pPr>
      <w:rPr>
        <w:rFonts w:ascii="Courier New" w:hAnsi="Courier New" w:cs="Courier New" w:hint="default"/>
      </w:rPr>
    </w:lvl>
    <w:lvl w:ilvl="5" w:tplc="04090005" w:tentative="1">
      <w:start w:val="1"/>
      <w:numFmt w:val="bullet"/>
      <w:lvlText w:val=""/>
      <w:lvlJc w:val="left"/>
      <w:pPr>
        <w:ind w:left="4985" w:hanging="360"/>
      </w:pPr>
      <w:rPr>
        <w:rFonts w:ascii="Wingdings" w:hAnsi="Wingdings" w:hint="default"/>
      </w:rPr>
    </w:lvl>
    <w:lvl w:ilvl="6" w:tplc="04090001" w:tentative="1">
      <w:start w:val="1"/>
      <w:numFmt w:val="bullet"/>
      <w:lvlText w:val=""/>
      <w:lvlJc w:val="left"/>
      <w:pPr>
        <w:ind w:left="5705" w:hanging="360"/>
      </w:pPr>
      <w:rPr>
        <w:rFonts w:ascii="Symbol" w:hAnsi="Symbol" w:hint="default"/>
      </w:rPr>
    </w:lvl>
    <w:lvl w:ilvl="7" w:tplc="04090003" w:tentative="1">
      <w:start w:val="1"/>
      <w:numFmt w:val="bullet"/>
      <w:lvlText w:val="o"/>
      <w:lvlJc w:val="left"/>
      <w:pPr>
        <w:ind w:left="6425" w:hanging="360"/>
      </w:pPr>
      <w:rPr>
        <w:rFonts w:ascii="Courier New" w:hAnsi="Courier New" w:cs="Courier New" w:hint="default"/>
      </w:rPr>
    </w:lvl>
    <w:lvl w:ilvl="8" w:tplc="04090005" w:tentative="1">
      <w:start w:val="1"/>
      <w:numFmt w:val="bullet"/>
      <w:lvlText w:val=""/>
      <w:lvlJc w:val="left"/>
      <w:pPr>
        <w:ind w:left="7145" w:hanging="360"/>
      </w:pPr>
      <w:rPr>
        <w:rFonts w:ascii="Wingdings" w:hAnsi="Wingdings" w:hint="default"/>
      </w:rPr>
    </w:lvl>
  </w:abstractNum>
  <w:abstractNum w:abstractNumId="39" w15:restartNumberingAfterBreak="0">
    <w:nsid w:val="6C9860EF"/>
    <w:multiLevelType w:val="hybridMultilevel"/>
    <w:tmpl w:val="6DF8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E491F"/>
    <w:multiLevelType w:val="hybridMultilevel"/>
    <w:tmpl w:val="EB0A6B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706538"/>
    <w:multiLevelType w:val="hybridMultilevel"/>
    <w:tmpl w:val="2D00AF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44D7FA6"/>
    <w:multiLevelType w:val="hybridMultilevel"/>
    <w:tmpl w:val="4F6C3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A53D34"/>
    <w:multiLevelType w:val="hybridMultilevel"/>
    <w:tmpl w:val="E33C32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7C63D1"/>
    <w:multiLevelType w:val="hybridMultilevel"/>
    <w:tmpl w:val="3AC05FB4"/>
    <w:lvl w:ilvl="0" w:tplc="898E7C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9931F1"/>
    <w:multiLevelType w:val="hybridMultilevel"/>
    <w:tmpl w:val="4FC8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63852">
    <w:abstractNumId w:val="44"/>
  </w:num>
  <w:num w:numId="2" w16cid:durableId="720787029">
    <w:abstractNumId w:val="9"/>
  </w:num>
  <w:num w:numId="3" w16cid:durableId="61486235">
    <w:abstractNumId w:val="40"/>
  </w:num>
  <w:num w:numId="4" w16cid:durableId="1861896396">
    <w:abstractNumId w:val="37"/>
  </w:num>
  <w:num w:numId="5" w16cid:durableId="1188369697">
    <w:abstractNumId w:val="25"/>
  </w:num>
  <w:num w:numId="6" w16cid:durableId="1560245265">
    <w:abstractNumId w:val="21"/>
  </w:num>
  <w:num w:numId="7" w16cid:durableId="378864285">
    <w:abstractNumId w:val="41"/>
  </w:num>
  <w:num w:numId="8" w16cid:durableId="13197193">
    <w:abstractNumId w:val="26"/>
  </w:num>
  <w:num w:numId="9" w16cid:durableId="672219973">
    <w:abstractNumId w:val="11"/>
  </w:num>
  <w:num w:numId="10" w16cid:durableId="253129274">
    <w:abstractNumId w:val="24"/>
  </w:num>
  <w:num w:numId="11" w16cid:durableId="1354577605">
    <w:abstractNumId w:val="30"/>
  </w:num>
  <w:num w:numId="12" w16cid:durableId="333533734">
    <w:abstractNumId w:val="35"/>
  </w:num>
  <w:num w:numId="13" w16cid:durableId="150602922">
    <w:abstractNumId w:val="16"/>
  </w:num>
  <w:num w:numId="14" w16cid:durableId="1858932016">
    <w:abstractNumId w:val="34"/>
  </w:num>
  <w:num w:numId="15" w16cid:durableId="551312752">
    <w:abstractNumId w:val="14"/>
  </w:num>
  <w:num w:numId="16" w16cid:durableId="874971639">
    <w:abstractNumId w:val="28"/>
  </w:num>
  <w:num w:numId="17" w16cid:durableId="1250887827">
    <w:abstractNumId w:val="1"/>
  </w:num>
  <w:num w:numId="18" w16cid:durableId="1910336975">
    <w:abstractNumId w:val="17"/>
  </w:num>
  <w:num w:numId="19" w16cid:durableId="1028144639">
    <w:abstractNumId w:val="4"/>
  </w:num>
  <w:num w:numId="20" w16cid:durableId="73017279">
    <w:abstractNumId w:val="18"/>
  </w:num>
  <w:num w:numId="21" w16cid:durableId="817770259">
    <w:abstractNumId w:val="39"/>
  </w:num>
  <w:num w:numId="22" w16cid:durableId="1301810857">
    <w:abstractNumId w:val="45"/>
  </w:num>
  <w:num w:numId="23" w16cid:durableId="1864126965">
    <w:abstractNumId w:val="8"/>
  </w:num>
  <w:num w:numId="24" w16cid:durableId="1813063697">
    <w:abstractNumId w:val="38"/>
  </w:num>
  <w:num w:numId="25" w16cid:durableId="1212885653">
    <w:abstractNumId w:val="31"/>
  </w:num>
  <w:num w:numId="26" w16cid:durableId="1902057063">
    <w:abstractNumId w:val="13"/>
  </w:num>
  <w:num w:numId="27" w16cid:durableId="91971760">
    <w:abstractNumId w:val="27"/>
  </w:num>
  <w:num w:numId="28" w16cid:durableId="1102920558">
    <w:abstractNumId w:val="7"/>
  </w:num>
  <w:num w:numId="29" w16cid:durableId="1758138691">
    <w:abstractNumId w:val="6"/>
  </w:num>
  <w:num w:numId="30" w16cid:durableId="90859619">
    <w:abstractNumId w:val="22"/>
  </w:num>
  <w:num w:numId="31" w16cid:durableId="1210189127">
    <w:abstractNumId w:val="19"/>
  </w:num>
  <w:num w:numId="32" w16cid:durableId="228200897">
    <w:abstractNumId w:val="12"/>
  </w:num>
  <w:num w:numId="33" w16cid:durableId="139008190">
    <w:abstractNumId w:val="20"/>
  </w:num>
  <w:num w:numId="34" w16cid:durableId="5743587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80417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50833082">
    <w:abstractNumId w:val="23"/>
  </w:num>
  <w:num w:numId="37" w16cid:durableId="1896306348">
    <w:abstractNumId w:val="32"/>
  </w:num>
  <w:num w:numId="38" w16cid:durableId="2161621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5244314">
    <w:abstractNumId w:val="10"/>
  </w:num>
  <w:num w:numId="40" w16cid:durableId="1786919111">
    <w:abstractNumId w:val="5"/>
  </w:num>
  <w:num w:numId="41" w16cid:durableId="506671254">
    <w:abstractNumId w:val="36"/>
  </w:num>
  <w:num w:numId="42" w16cid:durableId="1827041825">
    <w:abstractNumId w:val="2"/>
  </w:num>
  <w:num w:numId="43" w16cid:durableId="935987134">
    <w:abstractNumId w:val="43"/>
  </w:num>
  <w:num w:numId="44" w16cid:durableId="771556688">
    <w:abstractNumId w:val="33"/>
  </w:num>
  <w:num w:numId="45" w16cid:durableId="2029715775">
    <w:abstractNumId w:val="15"/>
  </w:num>
  <w:num w:numId="46" w16cid:durableId="764230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388"/>
    <w:rsid w:val="00002413"/>
    <w:rsid w:val="0000408B"/>
    <w:rsid w:val="000053F7"/>
    <w:rsid w:val="0000636E"/>
    <w:rsid w:val="000108AF"/>
    <w:rsid w:val="000136C4"/>
    <w:rsid w:val="00015023"/>
    <w:rsid w:val="00015ECB"/>
    <w:rsid w:val="00017CC5"/>
    <w:rsid w:val="00020428"/>
    <w:rsid w:val="00021B21"/>
    <w:rsid w:val="000233E1"/>
    <w:rsid w:val="00024BD3"/>
    <w:rsid w:val="00025542"/>
    <w:rsid w:val="000258C0"/>
    <w:rsid w:val="00036208"/>
    <w:rsid w:val="0004043D"/>
    <w:rsid w:val="00040912"/>
    <w:rsid w:val="00041062"/>
    <w:rsid w:val="0005307B"/>
    <w:rsid w:val="00053852"/>
    <w:rsid w:val="00055230"/>
    <w:rsid w:val="000565C0"/>
    <w:rsid w:val="00060687"/>
    <w:rsid w:val="00061FC9"/>
    <w:rsid w:val="00063EB1"/>
    <w:rsid w:val="00065296"/>
    <w:rsid w:val="00067482"/>
    <w:rsid w:val="000705F3"/>
    <w:rsid w:val="00070C15"/>
    <w:rsid w:val="00072BE5"/>
    <w:rsid w:val="000738D4"/>
    <w:rsid w:val="0007756E"/>
    <w:rsid w:val="000778F0"/>
    <w:rsid w:val="00081680"/>
    <w:rsid w:val="00082EB3"/>
    <w:rsid w:val="00083023"/>
    <w:rsid w:val="000850DA"/>
    <w:rsid w:val="00086EC2"/>
    <w:rsid w:val="00091401"/>
    <w:rsid w:val="00092E48"/>
    <w:rsid w:val="000958B5"/>
    <w:rsid w:val="00096CFE"/>
    <w:rsid w:val="000973AD"/>
    <w:rsid w:val="000A13DC"/>
    <w:rsid w:val="000A19FD"/>
    <w:rsid w:val="000A2605"/>
    <w:rsid w:val="000A49A9"/>
    <w:rsid w:val="000A4F16"/>
    <w:rsid w:val="000A7955"/>
    <w:rsid w:val="000A7DFA"/>
    <w:rsid w:val="000B0FC0"/>
    <w:rsid w:val="000B3985"/>
    <w:rsid w:val="000C1497"/>
    <w:rsid w:val="000C3ED3"/>
    <w:rsid w:val="000C5F8C"/>
    <w:rsid w:val="000D0134"/>
    <w:rsid w:val="000D506A"/>
    <w:rsid w:val="000D54E5"/>
    <w:rsid w:val="000D6754"/>
    <w:rsid w:val="000E060A"/>
    <w:rsid w:val="000E1890"/>
    <w:rsid w:val="000E3B62"/>
    <w:rsid w:val="000F108E"/>
    <w:rsid w:val="000F3274"/>
    <w:rsid w:val="000F4136"/>
    <w:rsid w:val="000F59BD"/>
    <w:rsid w:val="00101B58"/>
    <w:rsid w:val="001054C2"/>
    <w:rsid w:val="00105905"/>
    <w:rsid w:val="00106CCB"/>
    <w:rsid w:val="0011006E"/>
    <w:rsid w:val="001109BB"/>
    <w:rsid w:val="00111175"/>
    <w:rsid w:val="00111356"/>
    <w:rsid w:val="00111D59"/>
    <w:rsid w:val="00115063"/>
    <w:rsid w:val="00115AC8"/>
    <w:rsid w:val="00120A2C"/>
    <w:rsid w:val="0012338D"/>
    <w:rsid w:val="001239C4"/>
    <w:rsid w:val="001241B1"/>
    <w:rsid w:val="00124F99"/>
    <w:rsid w:val="001320E6"/>
    <w:rsid w:val="001326ED"/>
    <w:rsid w:val="00133C13"/>
    <w:rsid w:val="00135E38"/>
    <w:rsid w:val="001373B6"/>
    <w:rsid w:val="001408C4"/>
    <w:rsid w:val="001431B6"/>
    <w:rsid w:val="0014552C"/>
    <w:rsid w:val="001458C7"/>
    <w:rsid w:val="00145925"/>
    <w:rsid w:val="00151FAA"/>
    <w:rsid w:val="00152BD1"/>
    <w:rsid w:val="001530CC"/>
    <w:rsid w:val="00153CBF"/>
    <w:rsid w:val="00156BF1"/>
    <w:rsid w:val="0015748A"/>
    <w:rsid w:val="00160B2B"/>
    <w:rsid w:val="00161B7B"/>
    <w:rsid w:val="00164749"/>
    <w:rsid w:val="00165DB0"/>
    <w:rsid w:val="00170F6F"/>
    <w:rsid w:val="00172B8A"/>
    <w:rsid w:val="00175E7B"/>
    <w:rsid w:val="00181D95"/>
    <w:rsid w:val="001853C5"/>
    <w:rsid w:val="00186C2A"/>
    <w:rsid w:val="001911FD"/>
    <w:rsid w:val="00193526"/>
    <w:rsid w:val="00193748"/>
    <w:rsid w:val="00194385"/>
    <w:rsid w:val="00194601"/>
    <w:rsid w:val="00197CDF"/>
    <w:rsid w:val="00197DB4"/>
    <w:rsid w:val="001A0448"/>
    <w:rsid w:val="001A296F"/>
    <w:rsid w:val="001A6627"/>
    <w:rsid w:val="001A6B6E"/>
    <w:rsid w:val="001B099C"/>
    <w:rsid w:val="001B0DDA"/>
    <w:rsid w:val="001B13B9"/>
    <w:rsid w:val="001B2380"/>
    <w:rsid w:val="001B5FA6"/>
    <w:rsid w:val="001B7153"/>
    <w:rsid w:val="001B7E8E"/>
    <w:rsid w:val="001C2686"/>
    <w:rsid w:val="001C397C"/>
    <w:rsid w:val="001C47CC"/>
    <w:rsid w:val="001C5C8F"/>
    <w:rsid w:val="001C5C93"/>
    <w:rsid w:val="001D169D"/>
    <w:rsid w:val="001D2611"/>
    <w:rsid w:val="001D5352"/>
    <w:rsid w:val="001D681E"/>
    <w:rsid w:val="001D7F2B"/>
    <w:rsid w:val="001E01A3"/>
    <w:rsid w:val="001E1A69"/>
    <w:rsid w:val="001E216C"/>
    <w:rsid w:val="001E2241"/>
    <w:rsid w:val="001E26F5"/>
    <w:rsid w:val="001E5706"/>
    <w:rsid w:val="001E6E28"/>
    <w:rsid w:val="001E717C"/>
    <w:rsid w:val="001F1A5F"/>
    <w:rsid w:val="001F325A"/>
    <w:rsid w:val="001F35C5"/>
    <w:rsid w:val="001F3980"/>
    <w:rsid w:val="001F6424"/>
    <w:rsid w:val="001F7C0E"/>
    <w:rsid w:val="0020183E"/>
    <w:rsid w:val="00201A88"/>
    <w:rsid w:val="00203051"/>
    <w:rsid w:val="002077DE"/>
    <w:rsid w:val="0021524E"/>
    <w:rsid w:val="00216398"/>
    <w:rsid w:val="00216C66"/>
    <w:rsid w:val="002178C1"/>
    <w:rsid w:val="002256BE"/>
    <w:rsid w:val="00225738"/>
    <w:rsid w:val="0023043E"/>
    <w:rsid w:val="0023517E"/>
    <w:rsid w:val="00235BAD"/>
    <w:rsid w:val="002379EF"/>
    <w:rsid w:val="00241BC5"/>
    <w:rsid w:val="00241F03"/>
    <w:rsid w:val="0024230A"/>
    <w:rsid w:val="00243232"/>
    <w:rsid w:val="00243B3B"/>
    <w:rsid w:val="00246204"/>
    <w:rsid w:val="002463FA"/>
    <w:rsid w:val="00247774"/>
    <w:rsid w:val="00251456"/>
    <w:rsid w:val="00251E5C"/>
    <w:rsid w:val="00253F0E"/>
    <w:rsid w:val="00254A04"/>
    <w:rsid w:val="0026191E"/>
    <w:rsid w:val="00264024"/>
    <w:rsid w:val="002714BF"/>
    <w:rsid w:val="00283441"/>
    <w:rsid w:val="00283FDF"/>
    <w:rsid w:val="002852CA"/>
    <w:rsid w:val="002852F0"/>
    <w:rsid w:val="002937F8"/>
    <w:rsid w:val="00296FEA"/>
    <w:rsid w:val="002A0CEC"/>
    <w:rsid w:val="002A12B5"/>
    <w:rsid w:val="002A4A97"/>
    <w:rsid w:val="002A6051"/>
    <w:rsid w:val="002A7C5B"/>
    <w:rsid w:val="002B0B2C"/>
    <w:rsid w:val="002B2BED"/>
    <w:rsid w:val="002B4D1B"/>
    <w:rsid w:val="002B5A15"/>
    <w:rsid w:val="002B63B9"/>
    <w:rsid w:val="002B7AC0"/>
    <w:rsid w:val="002C04DD"/>
    <w:rsid w:val="002C2325"/>
    <w:rsid w:val="002C4C16"/>
    <w:rsid w:val="002C501D"/>
    <w:rsid w:val="002C5BDC"/>
    <w:rsid w:val="002C6C03"/>
    <w:rsid w:val="002D39DF"/>
    <w:rsid w:val="002D4B0E"/>
    <w:rsid w:val="002D5308"/>
    <w:rsid w:val="002D57F1"/>
    <w:rsid w:val="002D61FA"/>
    <w:rsid w:val="002D69D2"/>
    <w:rsid w:val="002D6E34"/>
    <w:rsid w:val="002E4C42"/>
    <w:rsid w:val="002E5EC3"/>
    <w:rsid w:val="002E6183"/>
    <w:rsid w:val="002F0B10"/>
    <w:rsid w:val="002F0D47"/>
    <w:rsid w:val="002F261C"/>
    <w:rsid w:val="002F7947"/>
    <w:rsid w:val="003013F8"/>
    <w:rsid w:val="00302520"/>
    <w:rsid w:val="00303401"/>
    <w:rsid w:val="00304146"/>
    <w:rsid w:val="00304FB1"/>
    <w:rsid w:val="00305FCF"/>
    <w:rsid w:val="00306212"/>
    <w:rsid w:val="00306564"/>
    <w:rsid w:val="0031030E"/>
    <w:rsid w:val="00310483"/>
    <w:rsid w:val="003117BE"/>
    <w:rsid w:val="00311A0F"/>
    <w:rsid w:val="00311A91"/>
    <w:rsid w:val="00316491"/>
    <w:rsid w:val="00321E03"/>
    <w:rsid w:val="00321E1A"/>
    <w:rsid w:val="00322D5A"/>
    <w:rsid w:val="003257AE"/>
    <w:rsid w:val="00326247"/>
    <w:rsid w:val="00330AAA"/>
    <w:rsid w:val="00330EF6"/>
    <w:rsid w:val="00331999"/>
    <w:rsid w:val="003323DA"/>
    <w:rsid w:val="00337C7F"/>
    <w:rsid w:val="00342036"/>
    <w:rsid w:val="0034492F"/>
    <w:rsid w:val="00344E8E"/>
    <w:rsid w:val="00354BDF"/>
    <w:rsid w:val="00355140"/>
    <w:rsid w:val="003568EE"/>
    <w:rsid w:val="0035795B"/>
    <w:rsid w:val="0036064A"/>
    <w:rsid w:val="00365A16"/>
    <w:rsid w:val="00367206"/>
    <w:rsid w:val="00367E1E"/>
    <w:rsid w:val="00372539"/>
    <w:rsid w:val="00373168"/>
    <w:rsid w:val="00375D9E"/>
    <w:rsid w:val="0037746B"/>
    <w:rsid w:val="003815EA"/>
    <w:rsid w:val="00381CAF"/>
    <w:rsid w:val="0038519D"/>
    <w:rsid w:val="0038674E"/>
    <w:rsid w:val="00386895"/>
    <w:rsid w:val="003868D5"/>
    <w:rsid w:val="00386BEE"/>
    <w:rsid w:val="00392983"/>
    <w:rsid w:val="00392CB0"/>
    <w:rsid w:val="0039408C"/>
    <w:rsid w:val="00394895"/>
    <w:rsid w:val="00397446"/>
    <w:rsid w:val="00397D2E"/>
    <w:rsid w:val="003A2E6F"/>
    <w:rsid w:val="003A2F18"/>
    <w:rsid w:val="003A2FFC"/>
    <w:rsid w:val="003B17E8"/>
    <w:rsid w:val="003B3357"/>
    <w:rsid w:val="003B7073"/>
    <w:rsid w:val="003B7DDD"/>
    <w:rsid w:val="003C1FF5"/>
    <w:rsid w:val="003C38D1"/>
    <w:rsid w:val="003D0E1F"/>
    <w:rsid w:val="003D20A4"/>
    <w:rsid w:val="003D2730"/>
    <w:rsid w:val="003D27E0"/>
    <w:rsid w:val="003D2AC2"/>
    <w:rsid w:val="003D6393"/>
    <w:rsid w:val="003E2CFD"/>
    <w:rsid w:val="003E361C"/>
    <w:rsid w:val="003E4BFD"/>
    <w:rsid w:val="003F15BE"/>
    <w:rsid w:val="003F38C7"/>
    <w:rsid w:val="003F3AF6"/>
    <w:rsid w:val="003F3C84"/>
    <w:rsid w:val="003F5AEF"/>
    <w:rsid w:val="003F633B"/>
    <w:rsid w:val="00400484"/>
    <w:rsid w:val="004004E8"/>
    <w:rsid w:val="00402B3E"/>
    <w:rsid w:val="00402DFB"/>
    <w:rsid w:val="0040304F"/>
    <w:rsid w:val="00403250"/>
    <w:rsid w:val="00404390"/>
    <w:rsid w:val="004048F0"/>
    <w:rsid w:val="00404B88"/>
    <w:rsid w:val="00410A06"/>
    <w:rsid w:val="00410B61"/>
    <w:rsid w:val="00413420"/>
    <w:rsid w:val="00414D2F"/>
    <w:rsid w:val="004157DE"/>
    <w:rsid w:val="00417209"/>
    <w:rsid w:val="004257D4"/>
    <w:rsid w:val="00427C83"/>
    <w:rsid w:val="004336D2"/>
    <w:rsid w:val="004363FF"/>
    <w:rsid w:val="00436C19"/>
    <w:rsid w:val="0044437D"/>
    <w:rsid w:val="004458EE"/>
    <w:rsid w:val="0044663E"/>
    <w:rsid w:val="004470D6"/>
    <w:rsid w:val="004505C9"/>
    <w:rsid w:val="00451C13"/>
    <w:rsid w:val="0045294B"/>
    <w:rsid w:val="00454853"/>
    <w:rsid w:val="004553B3"/>
    <w:rsid w:val="00456158"/>
    <w:rsid w:val="00456C2B"/>
    <w:rsid w:val="00456E86"/>
    <w:rsid w:val="00462A50"/>
    <w:rsid w:val="0046312C"/>
    <w:rsid w:val="00464A75"/>
    <w:rsid w:val="0046591D"/>
    <w:rsid w:val="00467C0F"/>
    <w:rsid w:val="0047076A"/>
    <w:rsid w:val="004710C2"/>
    <w:rsid w:val="00471CC2"/>
    <w:rsid w:val="004727BB"/>
    <w:rsid w:val="00472B89"/>
    <w:rsid w:val="00477054"/>
    <w:rsid w:val="00480847"/>
    <w:rsid w:val="00480899"/>
    <w:rsid w:val="00482FFC"/>
    <w:rsid w:val="0048717E"/>
    <w:rsid w:val="00487B50"/>
    <w:rsid w:val="00491F55"/>
    <w:rsid w:val="0049540C"/>
    <w:rsid w:val="004A0D49"/>
    <w:rsid w:val="004A0DA6"/>
    <w:rsid w:val="004A4AD9"/>
    <w:rsid w:val="004B2693"/>
    <w:rsid w:val="004C0D5D"/>
    <w:rsid w:val="004C1382"/>
    <w:rsid w:val="004C267E"/>
    <w:rsid w:val="004C4288"/>
    <w:rsid w:val="004C732F"/>
    <w:rsid w:val="004C7DC2"/>
    <w:rsid w:val="004D2CFB"/>
    <w:rsid w:val="004D3856"/>
    <w:rsid w:val="004D3B84"/>
    <w:rsid w:val="004D3CD9"/>
    <w:rsid w:val="004D420A"/>
    <w:rsid w:val="004D4341"/>
    <w:rsid w:val="004D538B"/>
    <w:rsid w:val="004D5F48"/>
    <w:rsid w:val="004D671C"/>
    <w:rsid w:val="004D7211"/>
    <w:rsid w:val="004E00CA"/>
    <w:rsid w:val="004E0859"/>
    <w:rsid w:val="004E11AE"/>
    <w:rsid w:val="004E1EAE"/>
    <w:rsid w:val="004E2D8F"/>
    <w:rsid w:val="004E6F18"/>
    <w:rsid w:val="004E7B2C"/>
    <w:rsid w:val="004F0ABD"/>
    <w:rsid w:val="004F3253"/>
    <w:rsid w:val="004F5128"/>
    <w:rsid w:val="004F5FFE"/>
    <w:rsid w:val="004F63C5"/>
    <w:rsid w:val="004F6C64"/>
    <w:rsid w:val="004F75A7"/>
    <w:rsid w:val="00502F64"/>
    <w:rsid w:val="0050576C"/>
    <w:rsid w:val="0050691B"/>
    <w:rsid w:val="0050758C"/>
    <w:rsid w:val="005076B6"/>
    <w:rsid w:val="0051039A"/>
    <w:rsid w:val="00513B03"/>
    <w:rsid w:val="005154E4"/>
    <w:rsid w:val="00516396"/>
    <w:rsid w:val="00517418"/>
    <w:rsid w:val="00522DB0"/>
    <w:rsid w:val="00525A10"/>
    <w:rsid w:val="00537732"/>
    <w:rsid w:val="005409BE"/>
    <w:rsid w:val="00541E95"/>
    <w:rsid w:val="0054584D"/>
    <w:rsid w:val="00552327"/>
    <w:rsid w:val="00552DA1"/>
    <w:rsid w:val="00555EFC"/>
    <w:rsid w:val="00556722"/>
    <w:rsid w:val="0055758B"/>
    <w:rsid w:val="005578B5"/>
    <w:rsid w:val="005579E0"/>
    <w:rsid w:val="00561958"/>
    <w:rsid w:val="00565B2A"/>
    <w:rsid w:val="0056649C"/>
    <w:rsid w:val="00571696"/>
    <w:rsid w:val="005717B8"/>
    <w:rsid w:val="0057361F"/>
    <w:rsid w:val="00574886"/>
    <w:rsid w:val="00576743"/>
    <w:rsid w:val="0057689B"/>
    <w:rsid w:val="005800F7"/>
    <w:rsid w:val="00581FAA"/>
    <w:rsid w:val="00583871"/>
    <w:rsid w:val="00585847"/>
    <w:rsid w:val="0058637D"/>
    <w:rsid w:val="00586CD7"/>
    <w:rsid w:val="00591D82"/>
    <w:rsid w:val="00593AF9"/>
    <w:rsid w:val="00594CAD"/>
    <w:rsid w:val="005954AA"/>
    <w:rsid w:val="005970ED"/>
    <w:rsid w:val="00597F4B"/>
    <w:rsid w:val="005A3F41"/>
    <w:rsid w:val="005A43ED"/>
    <w:rsid w:val="005A4873"/>
    <w:rsid w:val="005A6384"/>
    <w:rsid w:val="005A6D44"/>
    <w:rsid w:val="005A70FE"/>
    <w:rsid w:val="005A743B"/>
    <w:rsid w:val="005B3DF3"/>
    <w:rsid w:val="005B49EE"/>
    <w:rsid w:val="005B580F"/>
    <w:rsid w:val="005B5F29"/>
    <w:rsid w:val="005B7E41"/>
    <w:rsid w:val="005C02D6"/>
    <w:rsid w:val="005C27F3"/>
    <w:rsid w:val="005C2A26"/>
    <w:rsid w:val="005C705F"/>
    <w:rsid w:val="005D2469"/>
    <w:rsid w:val="005D2B76"/>
    <w:rsid w:val="005D2CFC"/>
    <w:rsid w:val="005D4764"/>
    <w:rsid w:val="005D50A9"/>
    <w:rsid w:val="005D68EB"/>
    <w:rsid w:val="005D78AA"/>
    <w:rsid w:val="005E1103"/>
    <w:rsid w:val="005E4DD7"/>
    <w:rsid w:val="005E5A0C"/>
    <w:rsid w:val="005E663C"/>
    <w:rsid w:val="005F424D"/>
    <w:rsid w:val="005F5821"/>
    <w:rsid w:val="005F685E"/>
    <w:rsid w:val="00601386"/>
    <w:rsid w:val="00605919"/>
    <w:rsid w:val="006065F9"/>
    <w:rsid w:val="006118F7"/>
    <w:rsid w:val="00611F2E"/>
    <w:rsid w:val="006129AD"/>
    <w:rsid w:val="006140CB"/>
    <w:rsid w:val="00615490"/>
    <w:rsid w:val="006175F0"/>
    <w:rsid w:val="00620726"/>
    <w:rsid w:val="00620DF9"/>
    <w:rsid w:val="0062480B"/>
    <w:rsid w:val="00626A54"/>
    <w:rsid w:val="00627A85"/>
    <w:rsid w:val="006302D1"/>
    <w:rsid w:val="00631188"/>
    <w:rsid w:val="00633A11"/>
    <w:rsid w:val="006401E7"/>
    <w:rsid w:val="00641D53"/>
    <w:rsid w:val="00641DC0"/>
    <w:rsid w:val="006428D8"/>
    <w:rsid w:val="00643F26"/>
    <w:rsid w:val="006449EB"/>
    <w:rsid w:val="00645C8C"/>
    <w:rsid w:val="00654C61"/>
    <w:rsid w:val="0065750E"/>
    <w:rsid w:val="00657B41"/>
    <w:rsid w:val="00661834"/>
    <w:rsid w:val="0066471E"/>
    <w:rsid w:val="006654CD"/>
    <w:rsid w:val="0066586B"/>
    <w:rsid w:val="00675DFD"/>
    <w:rsid w:val="00677996"/>
    <w:rsid w:val="00687147"/>
    <w:rsid w:val="006911EA"/>
    <w:rsid w:val="006921A9"/>
    <w:rsid w:val="00692A48"/>
    <w:rsid w:val="00692CC4"/>
    <w:rsid w:val="00693172"/>
    <w:rsid w:val="006942D8"/>
    <w:rsid w:val="00696078"/>
    <w:rsid w:val="00697698"/>
    <w:rsid w:val="006978AB"/>
    <w:rsid w:val="00697BD5"/>
    <w:rsid w:val="006A26E3"/>
    <w:rsid w:val="006A3A81"/>
    <w:rsid w:val="006A63A1"/>
    <w:rsid w:val="006A68BC"/>
    <w:rsid w:val="006A69A8"/>
    <w:rsid w:val="006B18DE"/>
    <w:rsid w:val="006B38C4"/>
    <w:rsid w:val="006B48F7"/>
    <w:rsid w:val="006B7360"/>
    <w:rsid w:val="006B798D"/>
    <w:rsid w:val="006B7B09"/>
    <w:rsid w:val="006B7EC0"/>
    <w:rsid w:val="006C052C"/>
    <w:rsid w:val="006C0637"/>
    <w:rsid w:val="006C1C01"/>
    <w:rsid w:val="006C2983"/>
    <w:rsid w:val="006C3AF8"/>
    <w:rsid w:val="006C64CF"/>
    <w:rsid w:val="006C6E79"/>
    <w:rsid w:val="006C72ED"/>
    <w:rsid w:val="006C7C44"/>
    <w:rsid w:val="006D1955"/>
    <w:rsid w:val="006D1B4E"/>
    <w:rsid w:val="006D2C70"/>
    <w:rsid w:val="006D3A0C"/>
    <w:rsid w:val="006D4674"/>
    <w:rsid w:val="006D477F"/>
    <w:rsid w:val="006D4B4C"/>
    <w:rsid w:val="006D5CE0"/>
    <w:rsid w:val="006D5D33"/>
    <w:rsid w:val="006D7A00"/>
    <w:rsid w:val="006D7BCE"/>
    <w:rsid w:val="006E0B02"/>
    <w:rsid w:val="006E1B37"/>
    <w:rsid w:val="006E498D"/>
    <w:rsid w:val="006E4C9E"/>
    <w:rsid w:val="006E7B68"/>
    <w:rsid w:val="006F1DE1"/>
    <w:rsid w:val="006F49F5"/>
    <w:rsid w:val="006F575E"/>
    <w:rsid w:val="007020D5"/>
    <w:rsid w:val="0070538B"/>
    <w:rsid w:val="00707C3B"/>
    <w:rsid w:val="00710BAC"/>
    <w:rsid w:val="00710EB6"/>
    <w:rsid w:val="00713596"/>
    <w:rsid w:val="00713E44"/>
    <w:rsid w:val="00713F80"/>
    <w:rsid w:val="00714047"/>
    <w:rsid w:val="00714476"/>
    <w:rsid w:val="00716951"/>
    <w:rsid w:val="00716A5C"/>
    <w:rsid w:val="007170A4"/>
    <w:rsid w:val="00717DFA"/>
    <w:rsid w:val="0072110E"/>
    <w:rsid w:val="00733C11"/>
    <w:rsid w:val="00733E8E"/>
    <w:rsid w:val="00735727"/>
    <w:rsid w:val="00735F40"/>
    <w:rsid w:val="007372A7"/>
    <w:rsid w:val="00740128"/>
    <w:rsid w:val="0074121C"/>
    <w:rsid w:val="00741FF1"/>
    <w:rsid w:val="00743AB7"/>
    <w:rsid w:val="0074441D"/>
    <w:rsid w:val="00744444"/>
    <w:rsid w:val="007455ED"/>
    <w:rsid w:val="00746A5E"/>
    <w:rsid w:val="0075436F"/>
    <w:rsid w:val="00755A66"/>
    <w:rsid w:val="007571C8"/>
    <w:rsid w:val="00760A9E"/>
    <w:rsid w:val="00761D76"/>
    <w:rsid w:val="00764952"/>
    <w:rsid w:val="00767128"/>
    <w:rsid w:val="007750AE"/>
    <w:rsid w:val="00777FE4"/>
    <w:rsid w:val="00781FF1"/>
    <w:rsid w:val="00792411"/>
    <w:rsid w:val="00792D60"/>
    <w:rsid w:val="00793302"/>
    <w:rsid w:val="0079675F"/>
    <w:rsid w:val="00797A05"/>
    <w:rsid w:val="00797A73"/>
    <w:rsid w:val="007A0300"/>
    <w:rsid w:val="007A26B0"/>
    <w:rsid w:val="007A2ECF"/>
    <w:rsid w:val="007A3C97"/>
    <w:rsid w:val="007A4AFB"/>
    <w:rsid w:val="007A5AE2"/>
    <w:rsid w:val="007B4358"/>
    <w:rsid w:val="007B4F25"/>
    <w:rsid w:val="007B5A7E"/>
    <w:rsid w:val="007B6606"/>
    <w:rsid w:val="007C0CD2"/>
    <w:rsid w:val="007C1C2B"/>
    <w:rsid w:val="007C2483"/>
    <w:rsid w:val="007C3BEA"/>
    <w:rsid w:val="007C4841"/>
    <w:rsid w:val="007C6021"/>
    <w:rsid w:val="007D0DE0"/>
    <w:rsid w:val="007D190F"/>
    <w:rsid w:val="007D1DDF"/>
    <w:rsid w:val="007D3C82"/>
    <w:rsid w:val="007D7018"/>
    <w:rsid w:val="007D7CA0"/>
    <w:rsid w:val="007D7D51"/>
    <w:rsid w:val="007E1543"/>
    <w:rsid w:val="007E3AFA"/>
    <w:rsid w:val="007E470C"/>
    <w:rsid w:val="007E6B05"/>
    <w:rsid w:val="007F0D9D"/>
    <w:rsid w:val="007F115A"/>
    <w:rsid w:val="007F44AE"/>
    <w:rsid w:val="007F61E1"/>
    <w:rsid w:val="00800842"/>
    <w:rsid w:val="008009CF"/>
    <w:rsid w:val="00803C95"/>
    <w:rsid w:val="00804F22"/>
    <w:rsid w:val="00807403"/>
    <w:rsid w:val="00810039"/>
    <w:rsid w:val="00810839"/>
    <w:rsid w:val="00813245"/>
    <w:rsid w:val="00817BA8"/>
    <w:rsid w:val="0082051F"/>
    <w:rsid w:val="00821B39"/>
    <w:rsid w:val="00821B5C"/>
    <w:rsid w:val="00823B9F"/>
    <w:rsid w:val="00826D1B"/>
    <w:rsid w:val="00826EC0"/>
    <w:rsid w:val="00837876"/>
    <w:rsid w:val="008409BA"/>
    <w:rsid w:val="008409ED"/>
    <w:rsid w:val="0084103F"/>
    <w:rsid w:val="00841127"/>
    <w:rsid w:val="00845244"/>
    <w:rsid w:val="008511C2"/>
    <w:rsid w:val="00852F6E"/>
    <w:rsid w:val="00853B2F"/>
    <w:rsid w:val="008607EF"/>
    <w:rsid w:val="0086120B"/>
    <w:rsid w:val="00862F6E"/>
    <w:rsid w:val="00863BE3"/>
    <w:rsid w:val="00863C57"/>
    <w:rsid w:val="00863EAC"/>
    <w:rsid w:val="0086429C"/>
    <w:rsid w:val="008645C9"/>
    <w:rsid w:val="00864A4C"/>
    <w:rsid w:val="008653E3"/>
    <w:rsid w:val="00865D70"/>
    <w:rsid w:val="00866EEA"/>
    <w:rsid w:val="00867F47"/>
    <w:rsid w:val="00870150"/>
    <w:rsid w:val="0087373F"/>
    <w:rsid w:val="008737AC"/>
    <w:rsid w:val="00875D28"/>
    <w:rsid w:val="008769A9"/>
    <w:rsid w:val="00877508"/>
    <w:rsid w:val="0088398E"/>
    <w:rsid w:val="008839A0"/>
    <w:rsid w:val="00884FB9"/>
    <w:rsid w:val="00887129"/>
    <w:rsid w:val="00887864"/>
    <w:rsid w:val="00892899"/>
    <w:rsid w:val="00893F14"/>
    <w:rsid w:val="00897A0C"/>
    <w:rsid w:val="00897AEB"/>
    <w:rsid w:val="008A295E"/>
    <w:rsid w:val="008A2F9A"/>
    <w:rsid w:val="008A563F"/>
    <w:rsid w:val="008A6B5B"/>
    <w:rsid w:val="008B2E4A"/>
    <w:rsid w:val="008C0038"/>
    <w:rsid w:val="008C1181"/>
    <w:rsid w:val="008C2292"/>
    <w:rsid w:val="008C2F03"/>
    <w:rsid w:val="008C3ED0"/>
    <w:rsid w:val="008C6CE5"/>
    <w:rsid w:val="008D08EA"/>
    <w:rsid w:val="008D0D15"/>
    <w:rsid w:val="008D138E"/>
    <w:rsid w:val="008D1FF2"/>
    <w:rsid w:val="008D2CE5"/>
    <w:rsid w:val="008D31A7"/>
    <w:rsid w:val="008D3E13"/>
    <w:rsid w:val="008D7A8C"/>
    <w:rsid w:val="008E2ACF"/>
    <w:rsid w:val="008E7A49"/>
    <w:rsid w:val="008F013F"/>
    <w:rsid w:val="008F10BF"/>
    <w:rsid w:val="008F1B46"/>
    <w:rsid w:val="008F20E0"/>
    <w:rsid w:val="008F56B3"/>
    <w:rsid w:val="008F5BFA"/>
    <w:rsid w:val="008F5DB8"/>
    <w:rsid w:val="008F60F5"/>
    <w:rsid w:val="008F7748"/>
    <w:rsid w:val="00901B98"/>
    <w:rsid w:val="00901D65"/>
    <w:rsid w:val="00902A9B"/>
    <w:rsid w:val="00912C18"/>
    <w:rsid w:val="00915976"/>
    <w:rsid w:val="00915B91"/>
    <w:rsid w:val="00916291"/>
    <w:rsid w:val="00916648"/>
    <w:rsid w:val="00917075"/>
    <w:rsid w:val="00920388"/>
    <w:rsid w:val="00920621"/>
    <w:rsid w:val="00921455"/>
    <w:rsid w:val="00922565"/>
    <w:rsid w:val="00922856"/>
    <w:rsid w:val="00924817"/>
    <w:rsid w:val="00925323"/>
    <w:rsid w:val="009270D9"/>
    <w:rsid w:val="009273B8"/>
    <w:rsid w:val="00930C5D"/>
    <w:rsid w:val="00930D05"/>
    <w:rsid w:val="00935401"/>
    <w:rsid w:val="009357C8"/>
    <w:rsid w:val="00940E22"/>
    <w:rsid w:val="0094222E"/>
    <w:rsid w:val="0094372C"/>
    <w:rsid w:val="009454E1"/>
    <w:rsid w:val="00947DCB"/>
    <w:rsid w:val="009523D1"/>
    <w:rsid w:val="00952C69"/>
    <w:rsid w:val="00953266"/>
    <w:rsid w:val="00954E55"/>
    <w:rsid w:val="00956975"/>
    <w:rsid w:val="00956B8D"/>
    <w:rsid w:val="00960A18"/>
    <w:rsid w:val="0096122D"/>
    <w:rsid w:val="0096197B"/>
    <w:rsid w:val="00962361"/>
    <w:rsid w:val="0096321A"/>
    <w:rsid w:val="00963AF0"/>
    <w:rsid w:val="00965DE5"/>
    <w:rsid w:val="0096604E"/>
    <w:rsid w:val="00966074"/>
    <w:rsid w:val="00973E76"/>
    <w:rsid w:val="00974161"/>
    <w:rsid w:val="00974DAD"/>
    <w:rsid w:val="0098092F"/>
    <w:rsid w:val="00980BE7"/>
    <w:rsid w:val="00984397"/>
    <w:rsid w:val="00984E22"/>
    <w:rsid w:val="00985710"/>
    <w:rsid w:val="009860DD"/>
    <w:rsid w:val="009905FD"/>
    <w:rsid w:val="00991D53"/>
    <w:rsid w:val="009927D4"/>
    <w:rsid w:val="009932C5"/>
    <w:rsid w:val="009976A6"/>
    <w:rsid w:val="009A012D"/>
    <w:rsid w:val="009A220B"/>
    <w:rsid w:val="009A2965"/>
    <w:rsid w:val="009A3AFA"/>
    <w:rsid w:val="009A57DA"/>
    <w:rsid w:val="009A674D"/>
    <w:rsid w:val="009A7E1F"/>
    <w:rsid w:val="009B0E03"/>
    <w:rsid w:val="009B2459"/>
    <w:rsid w:val="009B3463"/>
    <w:rsid w:val="009B42B8"/>
    <w:rsid w:val="009C77BE"/>
    <w:rsid w:val="009D1AF3"/>
    <w:rsid w:val="009D6ABC"/>
    <w:rsid w:val="009D7653"/>
    <w:rsid w:val="009D7770"/>
    <w:rsid w:val="009D7849"/>
    <w:rsid w:val="009E0B89"/>
    <w:rsid w:val="009E14D8"/>
    <w:rsid w:val="009E1D86"/>
    <w:rsid w:val="009E216D"/>
    <w:rsid w:val="009F14C2"/>
    <w:rsid w:val="009F2E6C"/>
    <w:rsid w:val="009F2E90"/>
    <w:rsid w:val="009F4B64"/>
    <w:rsid w:val="009F64CF"/>
    <w:rsid w:val="009F65D2"/>
    <w:rsid w:val="009F7561"/>
    <w:rsid w:val="00A00BA9"/>
    <w:rsid w:val="00A01B71"/>
    <w:rsid w:val="00A02497"/>
    <w:rsid w:val="00A07B43"/>
    <w:rsid w:val="00A07E60"/>
    <w:rsid w:val="00A10096"/>
    <w:rsid w:val="00A107E0"/>
    <w:rsid w:val="00A11BFD"/>
    <w:rsid w:val="00A12E7F"/>
    <w:rsid w:val="00A13029"/>
    <w:rsid w:val="00A145A7"/>
    <w:rsid w:val="00A171C0"/>
    <w:rsid w:val="00A216F9"/>
    <w:rsid w:val="00A226FD"/>
    <w:rsid w:val="00A255A1"/>
    <w:rsid w:val="00A26F05"/>
    <w:rsid w:val="00A30E91"/>
    <w:rsid w:val="00A37863"/>
    <w:rsid w:val="00A37F7B"/>
    <w:rsid w:val="00A40593"/>
    <w:rsid w:val="00A44152"/>
    <w:rsid w:val="00A46828"/>
    <w:rsid w:val="00A46A9F"/>
    <w:rsid w:val="00A50F86"/>
    <w:rsid w:val="00A5142E"/>
    <w:rsid w:val="00A53640"/>
    <w:rsid w:val="00A5714A"/>
    <w:rsid w:val="00A57DDE"/>
    <w:rsid w:val="00A60869"/>
    <w:rsid w:val="00A64592"/>
    <w:rsid w:val="00A653EA"/>
    <w:rsid w:val="00A66631"/>
    <w:rsid w:val="00A671B6"/>
    <w:rsid w:val="00A67E5E"/>
    <w:rsid w:val="00A7160B"/>
    <w:rsid w:val="00A72891"/>
    <w:rsid w:val="00A75830"/>
    <w:rsid w:val="00A77133"/>
    <w:rsid w:val="00A771C7"/>
    <w:rsid w:val="00A77834"/>
    <w:rsid w:val="00A77A95"/>
    <w:rsid w:val="00A77E9C"/>
    <w:rsid w:val="00A81CAE"/>
    <w:rsid w:val="00A82689"/>
    <w:rsid w:val="00A82D47"/>
    <w:rsid w:val="00A82EDB"/>
    <w:rsid w:val="00A85F0A"/>
    <w:rsid w:val="00A91835"/>
    <w:rsid w:val="00A9415E"/>
    <w:rsid w:val="00AA31BB"/>
    <w:rsid w:val="00AA4734"/>
    <w:rsid w:val="00AA4875"/>
    <w:rsid w:val="00AA5534"/>
    <w:rsid w:val="00AB1C01"/>
    <w:rsid w:val="00AB24CB"/>
    <w:rsid w:val="00AB251E"/>
    <w:rsid w:val="00AB2DEA"/>
    <w:rsid w:val="00AB3E00"/>
    <w:rsid w:val="00AB4232"/>
    <w:rsid w:val="00AB5852"/>
    <w:rsid w:val="00AB5C45"/>
    <w:rsid w:val="00AB6E59"/>
    <w:rsid w:val="00AC0E87"/>
    <w:rsid w:val="00AC161B"/>
    <w:rsid w:val="00AC1689"/>
    <w:rsid w:val="00AC1788"/>
    <w:rsid w:val="00AC2B7D"/>
    <w:rsid w:val="00AC3EB3"/>
    <w:rsid w:val="00AC44BE"/>
    <w:rsid w:val="00AC453E"/>
    <w:rsid w:val="00AC4778"/>
    <w:rsid w:val="00AC5890"/>
    <w:rsid w:val="00AD1547"/>
    <w:rsid w:val="00AD1F20"/>
    <w:rsid w:val="00AD313E"/>
    <w:rsid w:val="00AD34DE"/>
    <w:rsid w:val="00AD4B44"/>
    <w:rsid w:val="00AD69D0"/>
    <w:rsid w:val="00AE1E6F"/>
    <w:rsid w:val="00AE2CF1"/>
    <w:rsid w:val="00AE57E2"/>
    <w:rsid w:val="00AE7394"/>
    <w:rsid w:val="00AF30DB"/>
    <w:rsid w:val="00AF53B2"/>
    <w:rsid w:val="00AF63C1"/>
    <w:rsid w:val="00B00A66"/>
    <w:rsid w:val="00B011DA"/>
    <w:rsid w:val="00B01956"/>
    <w:rsid w:val="00B01B7E"/>
    <w:rsid w:val="00B045E2"/>
    <w:rsid w:val="00B059E7"/>
    <w:rsid w:val="00B05F02"/>
    <w:rsid w:val="00B1010A"/>
    <w:rsid w:val="00B10229"/>
    <w:rsid w:val="00B12876"/>
    <w:rsid w:val="00B12CEA"/>
    <w:rsid w:val="00B134AF"/>
    <w:rsid w:val="00B141D1"/>
    <w:rsid w:val="00B14E0E"/>
    <w:rsid w:val="00B16BA7"/>
    <w:rsid w:val="00B1766B"/>
    <w:rsid w:val="00B20CD8"/>
    <w:rsid w:val="00B2164E"/>
    <w:rsid w:val="00B21C57"/>
    <w:rsid w:val="00B2322B"/>
    <w:rsid w:val="00B23474"/>
    <w:rsid w:val="00B2549D"/>
    <w:rsid w:val="00B25D1E"/>
    <w:rsid w:val="00B25FC3"/>
    <w:rsid w:val="00B27C6F"/>
    <w:rsid w:val="00B27FBB"/>
    <w:rsid w:val="00B3121E"/>
    <w:rsid w:val="00B323F9"/>
    <w:rsid w:val="00B34050"/>
    <w:rsid w:val="00B35718"/>
    <w:rsid w:val="00B44126"/>
    <w:rsid w:val="00B45E2F"/>
    <w:rsid w:val="00B47674"/>
    <w:rsid w:val="00B51A64"/>
    <w:rsid w:val="00B569A2"/>
    <w:rsid w:val="00B57508"/>
    <w:rsid w:val="00B57A2F"/>
    <w:rsid w:val="00B63CD0"/>
    <w:rsid w:val="00B70BAB"/>
    <w:rsid w:val="00B712D7"/>
    <w:rsid w:val="00B749D0"/>
    <w:rsid w:val="00B74C33"/>
    <w:rsid w:val="00B768D0"/>
    <w:rsid w:val="00B81C0D"/>
    <w:rsid w:val="00B82E1D"/>
    <w:rsid w:val="00B83DFC"/>
    <w:rsid w:val="00B91E4A"/>
    <w:rsid w:val="00B97ABE"/>
    <w:rsid w:val="00B97C55"/>
    <w:rsid w:val="00BA0301"/>
    <w:rsid w:val="00BA07AB"/>
    <w:rsid w:val="00BA1642"/>
    <w:rsid w:val="00BA2F35"/>
    <w:rsid w:val="00BA3BE0"/>
    <w:rsid w:val="00BA43E8"/>
    <w:rsid w:val="00BA5D8F"/>
    <w:rsid w:val="00BB0604"/>
    <w:rsid w:val="00BB4C13"/>
    <w:rsid w:val="00BC36FB"/>
    <w:rsid w:val="00BC7E3A"/>
    <w:rsid w:val="00BD208B"/>
    <w:rsid w:val="00BD5579"/>
    <w:rsid w:val="00BD5B74"/>
    <w:rsid w:val="00BD5FF9"/>
    <w:rsid w:val="00BD7210"/>
    <w:rsid w:val="00BD73E1"/>
    <w:rsid w:val="00BE0017"/>
    <w:rsid w:val="00BE05C6"/>
    <w:rsid w:val="00BE24E0"/>
    <w:rsid w:val="00BE2BF4"/>
    <w:rsid w:val="00BE4AF1"/>
    <w:rsid w:val="00BE6DDC"/>
    <w:rsid w:val="00BE7E10"/>
    <w:rsid w:val="00BE7F5B"/>
    <w:rsid w:val="00BF05A4"/>
    <w:rsid w:val="00BF27E8"/>
    <w:rsid w:val="00BF4066"/>
    <w:rsid w:val="00BF454D"/>
    <w:rsid w:val="00BF5E9B"/>
    <w:rsid w:val="00BF61FF"/>
    <w:rsid w:val="00BF65A7"/>
    <w:rsid w:val="00BF73E2"/>
    <w:rsid w:val="00C009F3"/>
    <w:rsid w:val="00C00BD6"/>
    <w:rsid w:val="00C01007"/>
    <w:rsid w:val="00C02FE7"/>
    <w:rsid w:val="00C0386A"/>
    <w:rsid w:val="00C053A6"/>
    <w:rsid w:val="00C05762"/>
    <w:rsid w:val="00C1096E"/>
    <w:rsid w:val="00C10E77"/>
    <w:rsid w:val="00C122CE"/>
    <w:rsid w:val="00C13C7F"/>
    <w:rsid w:val="00C20AC8"/>
    <w:rsid w:val="00C25CC0"/>
    <w:rsid w:val="00C32012"/>
    <w:rsid w:val="00C321C5"/>
    <w:rsid w:val="00C34087"/>
    <w:rsid w:val="00C34D6F"/>
    <w:rsid w:val="00C36CDA"/>
    <w:rsid w:val="00C40101"/>
    <w:rsid w:val="00C404EB"/>
    <w:rsid w:val="00C41637"/>
    <w:rsid w:val="00C418F3"/>
    <w:rsid w:val="00C431CF"/>
    <w:rsid w:val="00C441B7"/>
    <w:rsid w:val="00C44B7F"/>
    <w:rsid w:val="00C45BA0"/>
    <w:rsid w:val="00C4631F"/>
    <w:rsid w:val="00C47969"/>
    <w:rsid w:val="00C5013F"/>
    <w:rsid w:val="00C516B5"/>
    <w:rsid w:val="00C53994"/>
    <w:rsid w:val="00C53EDF"/>
    <w:rsid w:val="00C57950"/>
    <w:rsid w:val="00C6095C"/>
    <w:rsid w:val="00C60FC4"/>
    <w:rsid w:val="00C6317C"/>
    <w:rsid w:val="00C6583D"/>
    <w:rsid w:val="00C71335"/>
    <w:rsid w:val="00C7481A"/>
    <w:rsid w:val="00C77351"/>
    <w:rsid w:val="00C7756D"/>
    <w:rsid w:val="00C80B59"/>
    <w:rsid w:val="00C810BD"/>
    <w:rsid w:val="00C8179F"/>
    <w:rsid w:val="00C8525E"/>
    <w:rsid w:val="00C87935"/>
    <w:rsid w:val="00C9218B"/>
    <w:rsid w:val="00C94BE9"/>
    <w:rsid w:val="00C95C16"/>
    <w:rsid w:val="00C970D3"/>
    <w:rsid w:val="00C97C08"/>
    <w:rsid w:val="00C97E85"/>
    <w:rsid w:val="00CA0549"/>
    <w:rsid w:val="00CA1D33"/>
    <w:rsid w:val="00CA3236"/>
    <w:rsid w:val="00CA3F66"/>
    <w:rsid w:val="00CA5035"/>
    <w:rsid w:val="00CB0784"/>
    <w:rsid w:val="00CB2C94"/>
    <w:rsid w:val="00CB43DA"/>
    <w:rsid w:val="00CB5505"/>
    <w:rsid w:val="00CB5C87"/>
    <w:rsid w:val="00CC1109"/>
    <w:rsid w:val="00CC121D"/>
    <w:rsid w:val="00CC1AFE"/>
    <w:rsid w:val="00CC367F"/>
    <w:rsid w:val="00CC5CBA"/>
    <w:rsid w:val="00CD11FC"/>
    <w:rsid w:val="00CD57F9"/>
    <w:rsid w:val="00CD63C7"/>
    <w:rsid w:val="00CD7490"/>
    <w:rsid w:val="00CE185E"/>
    <w:rsid w:val="00CE448C"/>
    <w:rsid w:val="00CE493F"/>
    <w:rsid w:val="00CE52AB"/>
    <w:rsid w:val="00CE70D7"/>
    <w:rsid w:val="00CE7AC1"/>
    <w:rsid w:val="00CE7F7F"/>
    <w:rsid w:val="00CF1FA8"/>
    <w:rsid w:val="00CF687E"/>
    <w:rsid w:val="00D02734"/>
    <w:rsid w:val="00D03525"/>
    <w:rsid w:val="00D03AFE"/>
    <w:rsid w:val="00D055EB"/>
    <w:rsid w:val="00D10407"/>
    <w:rsid w:val="00D1372F"/>
    <w:rsid w:val="00D15C0E"/>
    <w:rsid w:val="00D22CBE"/>
    <w:rsid w:val="00D22DE3"/>
    <w:rsid w:val="00D239A0"/>
    <w:rsid w:val="00D23B7A"/>
    <w:rsid w:val="00D244E7"/>
    <w:rsid w:val="00D24A86"/>
    <w:rsid w:val="00D3014F"/>
    <w:rsid w:val="00D30599"/>
    <w:rsid w:val="00D31110"/>
    <w:rsid w:val="00D3338A"/>
    <w:rsid w:val="00D34463"/>
    <w:rsid w:val="00D365AE"/>
    <w:rsid w:val="00D37894"/>
    <w:rsid w:val="00D4009B"/>
    <w:rsid w:val="00D40D85"/>
    <w:rsid w:val="00D418D6"/>
    <w:rsid w:val="00D41CDF"/>
    <w:rsid w:val="00D421F6"/>
    <w:rsid w:val="00D42724"/>
    <w:rsid w:val="00D43E4D"/>
    <w:rsid w:val="00D45E02"/>
    <w:rsid w:val="00D47F6D"/>
    <w:rsid w:val="00D526BA"/>
    <w:rsid w:val="00D54790"/>
    <w:rsid w:val="00D554F0"/>
    <w:rsid w:val="00D557F8"/>
    <w:rsid w:val="00D5656E"/>
    <w:rsid w:val="00D57741"/>
    <w:rsid w:val="00D577DE"/>
    <w:rsid w:val="00D578D2"/>
    <w:rsid w:val="00D618ED"/>
    <w:rsid w:val="00D6448F"/>
    <w:rsid w:val="00D64600"/>
    <w:rsid w:val="00D6516E"/>
    <w:rsid w:val="00D66DB1"/>
    <w:rsid w:val="00D704BA"/>
    <w:rsid w:val="00D7084C"/>
    <w:rsid w:val="00D727A4"/>
    <w:rsid w:val="00D72A14"/>
    <w:rsid w:val="00D75DFF"/>
    <w:rsid w:val="00D75FDC"/>
    <w:rsid w:val="00D77247"/>
    <w:rsid w:val="00D80883"/>
    <w:rsid w:val="00D81326"/>
    <w:rsid w:val="00D843BB"/>
    <w:rsid w:val="00D8548E"/>
    <w:rsid w:val="00D87D65"/>
    <w:rsid w:val="00D900E0"/>
    <w:rsid w:val="00D92649"/>
    <w:rsid w:val="00D93B36"/>
    <w:rsid w:val="00D93D9D"/>
    <w:rsid w:val="00D94155"/>
    <w:rsid w:val="00D954C1"/>
    <w:rsid w:val="00D95822"/>
    <w:rsid w:val="00D96185"/>
    <w:rsid w:val="00DA4593"/>
    <w:rsid w:val="00DA4AF6"/>
    <w:rsid w:val="00DA5C6E"/>
    <w:rsid w:val="00DA68CC"/>
    <w:rsid w:val="00DA7852"/>
    <w:rsid w:val="00DB1BB7"/>
    <w:rsid w:val="00DB2E1D"/>
    <w:rsid w:val="00DB418E"/>
    <w:rsid w:val="00DB435C"/>
    <w:rsid w:val="00DB43F9"/>
    <w:rsid w:val="00DC3032"/>
    <w:rsid w:val="00DC4172"/>
    <w:rsid w:val="00DC5A69"/>
    <w:rsid w:val="00DC6B97"/>
    <w:rsid w:val="00DD1859"/>
    <w:rsid w:val="00DD1EAF"/>
    <w:rsid w:val="00DD2211"/>
    <w:rsid w:val="00DE0F9A"/>
    <w:rsid w:val="00DE1891"/>
    <w:rsid w:val="00DE1DBB"/>
    <w:rsid w:val="00DE3A76"/>
    <w:rsid w:val="00DE3C24"/>
    <w:rsid w:val="00DE4565"/>
    <w:rsid w:val="00DF0D84"/>
    <w:rsid w:val="00DF2190"/>
    <w:rsid w:val="00DF222D"/>
    <w:rsid w:val="00DF42E4"/>
    <w:rsid w:val="00DF66F0"/>
    <w:rsid w:val="00E00474"/>
    <w:rsid w:val="00E02655"/>
    <w:rsid w:val="00E04A64"/>
    <w:rsid w:val="00E04AD8"/>
    <w:rsid w:val="00E055AC"/>
    <w:rsid w:val="00E05721"/>
    <w:rsid w:val="00E062D5"/>
    <w:rsid w:val="00E1007C"/>
    <w:rsid w:val="00E104E7"/>
    <w:rsid w:val="00E13F49"/>
    <w:rsid w:val="00E15548"/>
    <w:rsid w:val="00E16766"/>
    <w:rsid w:val="00E200E7"/>
    <w:rsid w:val="00E20852"/>
    <w:rsid w:val="00E22504"/>
    <w:rsid w:val="00E2560B"/>
    <w:rsid w:val="00E26064"/>
    <w:rsid w:val="00E263F5"/>
    <w:rsid w:val="00E27E6F"/>
    <w:rsid w:val="00E302E7"/>
    <w:rsid w:val="00E327F0"/>
    <w:rsid w:val="00E32E99"/>
    <w:rsid w:val="00E33A8C"/>
    <w:rsid w:val="00E36B24"/>
    <w:rsid w:val="00E432CE"/>
    <w:rsid w:val="00E439FD"/>
    <w:rsid w:val="00E45F8C"/>
    <w:rsid w:val="00E47DDD"/>
    <w:rsid w:val="00E50AE7"/>
    <w:rsid w:val="00E52D5F"/>
    <w:rsid w:val="00E53947"/>
    <w:rsid w:val="00E55889"/>
    <w:rsid w:val="00E55898"/>
    <w:rsid w:val="00E5625F"/>
    <w:rsid w:val="00E572FA"/>
    <w:rsid w:val="00E6043F"/>
    <w:rsid w:val="00E608ED"/>
    <w:rsid w:val="00E64FDF"/>
    <w:rsid w:val="00E71F74"/>
    <w:rsid w:val="00E7278E"/>
    <w:rsid w:val="00E72AF7"/>
    <w:rsid w:val="00E7661D"/>
    <w:rsid w:val="00E76D83"/>
    <w:rsid w:val="00E76F54"/>
    <w:rsid w:val="00E804FE"/>
    <w:rsid w:val="00E818FF"/>
    <w:rsid w:val="00E8233F"/>
    <w:rsid w:val="00E8283C"/>
    <w:rsid w:val="00E83D4C"/>
    <w:rsid w:val="00E848F8"/>
    <w:rsid w:val="00E8542F"/>
    <w:rsid w:val="00E86DF8"/>
    <w:rsid w:val="00E906C9"/>
    <w:rsid w:val="00E909DA"/>
    <w:rsid w:val="00E93DD8"/>
    <w:rsid w:val="00E940B1"/>
    <w:rsid w:val="00E94C72"/>
    <w:rsid w:val="00E95092"/>
    <w:rsid w:val="00E96FC4"/>
    <w:rsid w:val="00E971C5"/>
    <w:rsid w:val="00E973EA"/>
    <w:rsid w:val="00EA1EBE"/>
    <w:rsid w:val="00EA20C8"/>
    <w:rsid w:val="00EB117F"/>
    <w:rsid w:val="00EB3326"/>
    <w:rsid w:val="00EC00C8"/>
    <w:rsid w:val="00EC0315"/>
    <w:rsid w:val="00EC447E"/>
    <w:rsid w:val="00EC531B"/>
    <w:rsid w:val="00EC5558"/>
    <w:rsid w:val="00EC68A0"/>
    <w:rsid w:val="00ED01EC"/>
    <w:rsid w:val="00ED1DD3"/>
    <w:rsid w:val="00ED4369"/>
    <w:rsid w:val="00ED4DA4"/>
    <w:rsid w:val="00ED6718"/>
    <w:rsid w:val="00ED764E"/>
    <w:rsid w:val="00ED76E0"/>
    <w:rsid w:val="00EE3B2B"/>
    <w:rsid w:val="00EE5526"/>
    <w:rsid w:val="00EE605C"/>
    <w:rsid w:val="00EE74E3"/>
    <w:rsid w:val="00F00B63"/>
    <w:rsid w:val="00F00F65"/>
    <w:rsid w:val="00F0197D"/>
    <w:rsid w:val="00F0258B"/>
    <w:rsid w:val="00F02E0F"/>
    <w:rsid w:val="00F06E41"/>
    <w:rsid w:val="00F0795A"/>
    <w:rsid w:val="00F124DB"/>
    <w:rsid w:val="00F14553"/>
    <w:rsid w:val="00F22584"/>
    <w:rsid w:val="00F22B74"/>
    <w:rsid w:val="00F2303B"/>
    <w:rsid w:val="00F23167"/>
    <w:rsid w:val="00F24924"/>
    <w:rsid w:val="00F25025"/>
    <w:rsid w:val="00F25DD4"/>
    <w:rsid w:val="00F26FF7"/>
    <w:rsid w:val="00F2722D"/>
    <w:rsid w:val="00F30568"/>
    <w:rsid w:val="00F30B77"/>
    <w:rsid w:val="00F32DE6"/>
    <w:rsid w:val="00F32FA8"/>
    <w:rsid w:val="00F33EFC"/>
    <w:rsid w:val="00F354FE"/>
    <w:rsid w:val="00F36D51"/>
    <w:rsid w:val="00F42FBC"/>
    <w:rsid w:val="00F4517C"/>
    <w:rsid w:val="00F45381"/>
    <w:rsid w:val="00F456E0"/>
    <w:rsid w:val="00F45911"/>
    <w:rsid w:val="00F46ED5"/>
    <w:rsid w:val="00F507C4"/>
    <w:rsid w:val="00F5117A"/>
    <w:rsid w:val="00F51F67"/>
    <w:rsid w:val="00F52990"/>
    <w:rsid w:val="00F52C6B"/>
    <w:rsid w:val="00F535D8"/>
    <w:rsid w:val="00F542B7"/>
    <w:rsid w:val="00F545AF"/>
    <w:rsid w:val="00F557AE"/>
    <w:rsid w:val="00F57444"/>
    <w:rsid w:val="00F60212"/>
    <w:rsid w:val="00F6430D"/>
    <w:rsid w:val="00F65B36"/>
    <w:rsid w:val="00F71A10"/>
    <w:rsid w:val="00F74224"/>
    <w:rsid w:val="00F74B18"/>
    <w:rsid w:val="00F75C9E"/>
    <w:rsid w:val="00F77269"/>
    <w:rsid w:val="00F77321"/>
    <w:rsid w:val="00F80B06"/>
    <w:rsid w:val="00F822FC"/>
    <w:rsid w:val="00F84465"/>
    <w:rsid w:val="00F861EE"/>
    <w:rsid w:val="00F86EBD"/>
    <w:rsid w:val="00F912A0"/>
    <w:rsid w:val="00F9419C"/>
    <w:rsid w:val="00F95A07"/>
    <w:rsid w:val="00F97C3E"/>
    <w:rsid w:val="00FA1E5C"/>
    <w:rsid w:val="00FA2809"/>
    <w:rsid w:val="00FA28ED"/>
    <w:rsid w:val="00FA2A01"/>
    <w:rsid w:val="00FA38EF"/>
    <w:rsid w:val="00FA4962"/>
    <w:rsid w:val="00FA4983"/>
    <w:rsid w:val="00FA580B"/>
    <w:rsid w:val="00FB3BFA"/>
    <w:rsid w:val="00FB41C0"/>
    <w:rsid w:val="00FB4574"/>
    <w:rsid w:val="00FB582C"/>
    <w:rsid w:val="00FC0EDF"/>
    <w:rsid w:val="00FC4232"/>
    <w:rsid w:val="00FC42F6"/>
    <w:rsid w:val="00FC4D4D"/>
    <w:rsid w:val="00FC53E6"/>
    <w:rsid w:val="00FC5554"/>
    <w:rsid w:val="00FC6A4C"/>
    <w:rsid w:val="00FC76AA"/>
    <w:rsid w:val="00FD65C7"/>
    <w:rsid w:val="00FD797F"/>
    <w:rsid w:val="00FE0D2D"/>
    <w:rsid w:val="00FE15F2"/>
    <w:rsid w:val="00FE1834"/>
    <w:rsid w:val="00FE21A3"/>
    <w:rsid w:val="00FE255D"/>
    <w:rsid w:val="00FE4CF4"/>
    <w:rsid w:val="00FE55B9"/>
    <w:rsid w:val="00FF0911"/>
    <w:rsid w:val="00FF5767"/>
    <w:rsid w:val="00FF5D76"/>
    <w:rsid w:val="00FF62C5"/>
    <w:rsid w:val="00FF6CC3"/>
    <w:rsid w:val="00FF6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089C8"/>
  <w15:docId w15:val="{D473C0AD-87AA-4439-821D-B2B970A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D76"/>
  </w:style>
  <w:style w:type="paragraph" w:styleId="Heading1">
    <w:name w:val="heading 1"/>
    <w:next w:val="Normal"/>
    <w:link w:val="Heading1Char"/>
    <w:uiPriority w:val="9"/>
    <w:unhideWhenUsed/>
    <w:qFormat/>
    <w:rsid w:val="00FA580B"/>
    <w:pPr>
      <w:keepNext/>
      <w:keepLines/>
      <w:spacing w:line="259" w:lineRule="auto"/>
      <w:ind w:right="2"/>
      <w:jc w:val="center"/>
      <w:outlineLvl w:val="0"/>
    </w:pPr>
    <w:rPr>
      <w:rFonts w:ascii="Calibri" w:eastAsia="Calibri" w:hAnsi="Calibri" w:cs="Calibri"/>
      <w:color w:val="1F3864"/>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FF7"/>
    <w:pPr>
      <w:tabs>
        <w:tab w:val="center" w:pos="4320"/>
        <w:tab w:val="right" w:pos="8640"/>
      </w:tabs>
    </w:pPr>
  </w:style>
  <w:style w:type="paragraph" w:styleId="Footer">
    <w:name w:val="footer"/>
    <w:basedOn w:val="Normal"/>
    <w:rsid w:val="00F26FF7"/>
    <w:pPr>
      <w:tabs>
        <w:tab w:val="center" w:pos="4320"/>
        <w:tab w:val="right" w:pos="8640"/>
      </w:tabs>
    </w:pPr>
  </w:style>
  <w:style w:type="table" w:styleId="TableGrid">
    <w:name w:val="Table Grid"/>
    <w:basedOn w:val="TableNormal"/>
    <w:rsid w:val="0074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6384"/>
  </w:style>
  <w:style w:type="character" w:styleId="Hyperlink">
    <w:name w:val="Hyperlink"/>
    <w:rsid w:val="00F24924"/>
    <w:rPr>
      <w:color w:val="0000FF"/>
      <w:u w:val="single"/>
    </w:rPr>
  </w:style>
  <w:style w:type="paragraph" w:styleId="BalloonText">
    <w:name w:val="Balloon Text"/>
    <w:basedOn w:val="Normal"/>
    <w:semiHidden/>
    <w:rsid w:val="00A40593"/>
    <w:rPr>
      <w:rFonts w:ascii="Tahoma" w:hAnsi="Tahoma" w:cs="Tahoma"/>
      <w:sz w:val="16"/>
      <w:szCs w:val="16"/>
    </w:rPr>
  </w:style>
  <w:style w:type="paragraph" w:styleId="ListParagraph">
    <w:name w:val="List Paragraph"/>
    <w:basedOn w:val="Normal"/>
    <w:uiPriority w:val="34"/>
    <w:qFormat/>
    <w:rsid w:val="00E608ED"/>
    <w:pPr>
      <w:ind w:left="720"/>
      <w:contextualSpacing/>
    </w:pPr>
  </w:style>
  <w:style w:type="character" w:customStyle="1" w:styleId="Heading1Char">
    <w:name w:val="Heading 1 Char"/>
    <w:basedOn w:val="DefaultParagraphFont"/>
    <w:link w:val="Heading1"/>
    <w:uiPriority w:val="9"/>
    <w:rsid w:val="00FA580B"/>
    <w:rPr>
      <w:rFonts w:ascii="Calibri" w:eastAsia="Calibri" w:hAnsi="Calibri" w:cs="Calibri"/>
      <w:color w:val="1F3864"/>
      <w:sz w:val="32"/>
      <w:szCs w:val="22"/>
    </w:rPr>
  </w:style>
  <w:style w:type="table" w:customStyle="1" w:styleId="TableGrid0">
    <w:name w:val="TableGrid"/>
    <w:rsid w:val="00FA580B"/>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OutlineListA">
    <w:name w:val="Outline List A"/>
    <w:aliases w:val="a,i"/>
    <w:rsid w:val="00FA580B"/>
    <w:pPr>
      <w:numPr>
        <w:numId w:val="30"/>
      </w:numPr>
    </w:pPr>
  </w:style>
  <w:style w:type="paragraph" w:styleId="NoSpacing">
    <w:name w:val="No Spacing"/>
    <w:link w:val="NoSpacingChar"/>
    <w:uiPriority w:val="1"/>
    <w:qFormat/>
    <w:rsid w:val="00FA580B"/>
    <w:pPr>
      <w:ind w:left="10" w:right="2" w:hanging="10"/>
      <w:jc w:val="both"/>
    </w:pPr>
    <w:rPr>
      <w:rFonts w:ascii="Calibri" w:eastAsia="Calibri" w:hAnsi="Calibri" w:cs="Calibri"/>
      <w:color w:val="000000"/>
      <w:sz w:val="24"/>
      <w:szCs w:val="22"/>
    </w:rPr>
  </w:style>
  <w:style w:type="character" w:customStyle="1" w:styleId="NoSpacingChar">
    <w:name w:val="No Spacing Char"/>
    <w:basedOn w:val="DefaultParagraphFont"/>
    <w:link w:val="NoSpacing"/>
    <w:uiPriority w:val="1"/>
    <w:locked/>
    <w:rsid w:val="00FA580B"/>
    <w:rPr>
      <w:rFonts w:ascii="Calibri" w:eastAsia="Calibri" w:hAnsi="Calibri" w:cs="Calibri"/>
      <w:color w:val="000000"/>
      <w:sz w:val="24"/>
      <w:szCs w:val="22"/>
    </w:rPr>
  </w:style>
  <w:style w:type="character" w:styleId="CommentReference">
    <w:name w:val="annotation reference"/>
    <w:basedOn w:val="DefaultParagraphFont"/>
    <w:uiPriority w:val="99"/>
    <w:semiHidden/>
    <w:unhideWhenUsed/>
    <w:rsid w:val="00FA580B"/>
    <w:rPr>
      <w:sz w:val="16"/>
      <w:szCs w:val="16"/>
    </w:rPr>
  </w:style>
  <w:style w:type="paragraph" w:styleId="CommentText">
    <w:name w:val="annotation text"/>
    <w:basedOn w:val="Normal"/>
    <w:link w:val="CommentTextChar"/>
    <w:uiPriority w:val="99"/>
    <w:semiHidden/>
    <w:unhideWhenUsed/>
    <w:rsid w:val="00FA580B"/>
    <w:pPr>
      <w:spacing w:after="46"/>
      <w:ind w:left="10" w:right="2" w:hanging="10"/>
      <w:jc w:val="both"/>
    </w:pPr>
    <w:rPr>
      <w:rFonts w:ascii="Calibri" w:eastAsia="Calibri" w:hAnsi="Calibri" w:cs="Calibri"/>
      <w:color w:val="000000"/>
    </w:rPr>
  </w:style>
  <w:style w:type="character" w:customStyle="1" w:styleId="CommentTextChar">
    <w:name w:val="Comment Text Char"/>
    <w:basedOn w:val="DefaultParagraphFont"/>
    <w:link w:val="CommentText"/>
    <w:uiPriority w:val="99"/>
    <w:semiHidden/>
    <w:rsid w:val="00FA580B"/>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FA580B"/>
    <w:pPr>
      <w:spacing w:after="0"/>
      <w:ind w:left="0" w:right="0" w:firstLine="0"/>
      <w:jc w:val="left"/>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semiHidden/>
    <w:rsid w:val="00FA580B"/>
    <w:rPr>
      <w:rFonts w:ascii="Calibri" w:eastAsia="Calibri" w:hAnsi="Calibri" w:cs="Calibri"/>
      <w:b/>
      <w:bCs/>
      <w:color w:val="000000"/>
    </w:rPr>
  </w:style>
  <w:style w:type="character" w:styleId="UnresolvedMention">
    <w:name w:val="Unresolved Mention"/>
    <w:basedOn w:val="DefaultParagraphFont"/>
    <w:uiPriority w:val="99"/>
    <w:semiHidden/>
    <w:unhideWhenUsed/>
    <w:rsid w:val="00953266"/>
    <w:rPr>
      <w:color w:val="605E5C"/>
      <w:shd w:val="clear" w:color="auto" w:fill="E1DFDD"/>
    </w:rPr>
  </w:style>
  <w:style w:type="paragraph" w:styleId="Revision">
    <w:name w:val="Revision"/>
    <w:hidden/>
    <w:uiPriority w:val="99"/>
    <w:semiHidden/>
    <w:rsid w:val="00BE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76932">
      <w:bodyDiv w:val="1"/>
      <w:marLeft w:val="0"/>
      <w:marRight w:val="0"/>
      <w:marTop w:val="0"/>
      <w:marBottom w:val="0"/>
      <w:divBdr>
        <w:top w:val="none" w:sz="0" w:space="0" w:color="auto"/>
        <w:left w:val="none" w:sz="0" w:space="0" w:color="auto"/>
        <w:bottom w:val="none" w:sz="0" w:space="0" w:color="auto"/>
        <w:right w:val="none" w:sz="0" w:space="0" w:color="auto"/>
      </w:divBdr>
    </w:div>
    <w:div w:id="834759096">
      <w:bodyDiv w:val="1"/>
      <w:marLeft w:val="0"/>
      <w:marRight w:val="0"/>
      <w:marTop w:val="0"/>
      <w:marBottom w:val="0"/>
      <w:divBdr>
        <w:top w:val="none" w:sz="0" w:space="0" w:color="auto"/>
        <w:left w:val="none" w:sz="0" w:space="0" w:color="auto"/>
        <w:bottom w:val="none" w:sz="0" w:space="0" w:color="auto"/>
        <w:right w:val="none" w:sz="0" w:space="0" w:color="auto"/>
      </w:divBdr>
    </w:div>
    <w:div w:id="962420844">
      <w:bodyDiv w:val="1"/>
      <w:marLeft w:val="0"/>
      <w:marRight w:val="0"/>
      <w:marTop w:val="0"/>
      <w:marBottom w:val="0"/>
      <w:divBdr>
        <w:top w:val="none" w:sz="0" w:space="0" w:color="auto"/>
        <w:left w:val="none" w:sz="0" w:space="0" w:color="auto"/>
        <w:bottom w:val="none" w:sz="0" w:space="0" w:color="auto"/>
        <w:right w:val="none" w:sz="0" w:space="0" w:color="auto"/>
      </w:divBdr>
    </w:div>
    <w:div w:id="1413239418">
      <w:bodyDiv w:val="1"/>
      <w:marLeft w:val="0"/>
      <w:marRight w:val="0"/>
      <w:marTop w:val="0"/>
      <w:marBottom w:val="0"/>
      <w:divBdr>
        <w:top w:val="none" w:sz="0" w:space="0" w:color="auto"/>
        <w:left w:val="none" w:sz="0" w:space="0" w:color="auto"/>
        <w:bottom w:val="none" w:sz="0" w:space="0" w:color="auto"/>
        <w:right w:val="none" w:sz="0" w:space="0" w:color="auto"/>
      </w:divBdr>
    </w:div>
    <w:div w:id="19838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lal.alvi@iifm.ne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CoS\0%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000D9-CF2B-4137-91EE-144C703E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Brief</Template>
  <TotalTime>23</TotalTime>
  <Pages>7</Pages>
  <Words>2289</Words>
  <Characters>13052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mina.naikmal</dc:creator>
  <cp:lastModifiedBy>Tahseen Ali</cp:lastModifiedBy>
  <cp:revision>13</cp:revision>
  <cp:lastPrinted>2023-10-08T09:48:00Z</cp:lastPrinted>
  <dcterms:created xsi:type="dcterms:W3CDTF">2023-09-26T08:06:00Z</dcterms:created>
  <dcterms:modified xsi:type="dcterms:W3CDTF">2023-10-17T05:30:00Z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2023-09-25T08:07:46Z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5e4f781e-fac7-4ccd-8fef-34cbf73f53d5</vt:lpwstr>
  </property>
  <property fmtid="{D5CDD505-2E9C-101B-9397-08002B2CF9AE}" pid="8" name="MSIP_Label_9ef4adf7-25a7-4f52-a61a-df7190f1d881_ContentBits">
    <vt:lpwstr>1</vt:lpwstr>
  </property>
</Properties>
</file>