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AB1D" w14:textId="77777777" w:rsidR="00F9625A" w:rsidRPr="00AF179C" w:rsidRDefault="00F9625A" w:rsidP="00F9625A">
      <w:pPr>
        <w:jc w:val="center"/>
        <w:rPr>
          <w:rFonts w:ascii="Oswald" w:hAnsi="Oswald"/>
          <w:bCs/>
          <w:color w:val="171717" w:themeColor="background2" w:themeShade="1A"/>
        </w:rPr>
      </w:pPr>
      <w:r w:rsidRPr="00644B8A">
        <w:rPr>
          <w:rFonts w:ascii="Oswald" w:hAnsi="Oswald"/>
          <w:bCs/>
          <w:color w:val="171717" w:themeColor="background2" w:themeShade="1A"/>
          <w:sz w:val="36"/>
          <w:szCs w:val="36"/>
        </w:rPr>
        <w:t>PUBLICATION OF THE AWARD OF CONSULTANCY CONTRACTS FOR THE</w:t>
      </w:r>
      <w:r w:rsidRPr="00AF179C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 PROJECTS FINANCED BY THE ISLAMIC DEVELOPMENT BANK</w:t>
      </w:r>
    </w:p>
    <w:p w14:paraId="3F5A3487" w14:textId="0BAC3B6A" w:rsidR="00F9625A" w:rsidRDefault="00F9625A" w:rsidP="00456F11">
      <w:pPr>
        <w:tabs>
          <w:tab w:val="left" w:pos="1530"/>
          <w:tab w:val="left" w:pos="1890"/>
          <w:tab w:val="left" w:pos="8640"/>
          <w:tab w:val="left" w:pos="9450"/>
        </w:tabs>
        <w:ind w:right="14"/>
        <w:jc w:val="center"/>
        <w:rPr>
          <w:rFonts w:ascii="Times New Roman" w:eastAsia="Times New Roman" w:hAnsi="Times New Roman" w:cs="Times New Roman"/>
          <w:b w:val="0"/>
          <w:szCs w:val="24"/>
        </w:rPr>
      </w:pPr>
      <w:r>
        <w:rPr>
          <w:szCs w:val="24"/>
        </w:rPr>
        <w:t>Date</w:t>
      </w:r>
    </w:p>
    <w:p w14:paraId="029DF357" w14:textId="77777777" w:rsidR="00F9625A" w:rsidRDefault="00F9625A" w:rsidP="00456F11">
      <w:pPr>
        <w:tabs>
          <w:tab w:val="left" w:pos="1530"/>
          <w:tab w:val="left" w:pos="1890"/>
          <w:tab w:val="left" w:pos="8640"/>
          <w:tab w:val="left" w:pos="9450"/>
        </w:tabs>
        <w:ind w:right="14"/>
        <w:jc w:val="center"/>
        <w:rPr>
          <w:b w:val="0"/>
          <w:szCs w:val="28"/>
        </w:rPr>
      </w:pPr>
      <w:r w:rsidRPr="0054560D">
        <w:rPr>
          <w:szCs w:val="28"/>
        </w:rPr>
        <w:t>INFORMATION NOTE</w:t>
      </w:r>
    </w:p>
    <w:tbl>
      <w:tblPr>
        <w:tblW w:w="1041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6390"/>
      </w:tblGrid>
      <w:tr w:rsidR="00F9625A" w14:paraId="13EA9002" w14:textId="77777777" w:rsidTr="00644B8A">
        <w:trPr>
          <w:trHeight w:val="56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8D1159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>Publication date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346A" w14:textId="67A327A2" w:rsidR="00F9625A" w:rsidRPr="00AF179C" w:rsidRDefault="00560C0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 October 2023</w:t>
            </w:r>
          </w:p>
        </w:tc>
      </w:tr>
      <w:tr w:rsidR="00F9625A" w14:paraId="286F5700" w14:textId="77777777" w:rsidTr="00644B8A">
        <w:trPr>
          <w:trHeight w:val="49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A36ABB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Country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3EC9" w14:textId="684192F2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Saudi Arabia</w:t>
            </w:r>
          </w:p>
        </w:tc>
      </w:tr>
      <w:tr w:rsidR="00F9625A" w14:paraId="4033EA07" w14:textId="77777777" w:rsidTr="00644B8A">
        <w:trPr>
          <w:trHeight w:val="60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695465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Executing agency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85C7" w14:textId="1DBFDBF8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Islamic Development Bank Institute</w:t>
            </w:r>
          </w:p>
        </w:tc>
      </w:tr>
      <w:tr w:rsidR="00F9625A" w14:paraId="26F5D990" w14:textId="77777777" w:rsidTr="00644B8A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A5D401" w14:textId="77777777" w:rsidR="00F9625A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Name of Project / Study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2EC73" w14:textId="2518F073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Islamic Finance Pavilion Marketplace</w:t>
            </w:r>
          </w:p>
        </w:tc>
      </w:tr>
      <w:tr w:rsidR="00F9625A" w14:paraId="2F90F92E" w14:textId="77777777" w:rsidTr="00644B8A">
        <w:trPr>
          <w:trHeight w:val="76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81E5D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Mode of Financing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A058" w14:textId="7C74F919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ZZZ2678</w:t>
            </w:r>
          </w:p>
        </w:tc>
      </w:tr>
      <w:tr w:rsidR="00F9625A" w14:paraId="79D2710B" w14:textId="77777777" w:rsidTr="00644B8A">
        <w:trPr>
          <w:trHeight w:val="72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B42FCD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Name of Request for Proposals (RFP)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C05D" w14:textId="67171E50" w:rsidR="00F9625A" w:rsidRPr="00AF179C" w:rsidRDefault="00644B8A" w:rsidP="00456F11">
            <w:pPr>
              <w:pStyle w:val="BodyTextIndent"/>
              <w:spacing w:after="0"/>
              <w:ind w:left="156" w:hanging="42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Consulting Services to Develop the Islamic Finance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644B8A">
              <w:rPr>
                <w:b/>
                <w:sz w:val="23"/>
                <w:szCs w:val="23"/>
              </w:rPr>
              <w:t>Pavilion Marketplace (IFPM)</w:t>
            </w:r>
          </w:p>
        </w:tc>
      </w:tr>
      <w:tr w:rsidR="00F9625A" w14:paraId="67EDE8F5" w14:textId="77777777" w:rsidTr="00644B8A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7BB38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Selection method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0F82" w14:textId="0829C7F8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Quality and Cost Based Selection (QCBS)</w:t>
            </w:r>
          </w:p>
        </w:tc>
      </w:tr>
      <w:tr w:rsidR="00644B8A" w14:paraId="588CC8BA" w14:textId="77777777" w:rsidTr="00644B8A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0EED3A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REOI publication date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84F7" w14:textId="76024163" w:rsidR="00644B8A" w:rsidRPr="00AF179C" w:rsidRDefault="00644B8A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29 July 2022</w:t>
            </w:r>
          </w:p>
        </w:tc>
      </w:tr>
      <w:tr w:rsidR="00644B8A" w14:paraId="22D06B87" w14:textId="77777777" w:rsidTr="00644B8A">
        <w:trPr>
          <w:trHeight w:val="81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FD6EF9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Issuance date of the RFP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1369" w14:textId="376C5969" w:rsidR="00644B8A" w:rsidRPr="00AF179C" w:rsidRDefault="00644B8A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 xml:space="preserve">5 </w:t>
            </w:r>
            <w:r w:rsidRPr="00644B8A">
              <w:rPr>
                <w:b/>
                <w:sz w:val="23"/>
                <w:szCs w:val="23"/>
              </w:rPr>
              <w:t>Dec</w:t>
            </w:r>
            <w:r>
              <w:rPr>
                <w:b/>
                <w:sz w:val="23"/>
                <w:szCs w:val="23"/>
              </w:rPr>
              <w:t xml:space="preserve">ember </w:t>
            </w:r>
            <w:r w:rsidRPr="00644B8A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02</w:t>
            </w:r>
            <w:r w:rsidRPr="00644B8A">
              <w:rPr>
                <w:b/>
                <w:sz w:val="23"/>
                <w:szCs w:val="23"/>
              </w:rPr>
              <w:t>2</w:t>
            </w:r>
          </w:p>
        </w:tc>
      </w:tr>
      <w:tr w:rsidR="00644B8A" w14:paraId="39238D47" w14:textId="77777777" w:rsidTr="00644B8A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B9DF5A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Opening date of technical proposals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5A35" w14:textId="3022FA53" w:rsidR="00644B8A" w:rsidRPr="00AF179C" w:rsidRDefault="00644B8A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19 February 202</w:t>
            </w:r>
            <w:r>
              <w:rPr>
                <w:b/>
                <w:sz w:val="23"/>
                <w:szCs w:val="23"/>
              </w:rPr>
              <w:t>3</w:t>
            </w:r>
          </w:p>
        </w:tc>
      </w:tr>
      <w:tr w:rsidR="00644B8A" w14:paraId="30C518DE" w14:textId="77777777" w:rsidTr="00644B8A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EFB775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Opening date of financial proposals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D51A" w14:textId="060A093E" w:rsidR="00644B8A" w:rsidRPr="00AF179C" w:rsidRDefault="00644B8A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4 April 2023</w:t>
            </w:r>
          </w:p>
        </w:tc>
      </w:tr>
      <w:tr w:rsidR="00644B8A" w14:paraId="0CE7E0F5" w14:textId="77777777" w:rsidTr="00644B8A">
        <w:trPr>
          <w:trHeight w:val="105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57CEFF" w14:textId="77777777" w:rsidR="00644B8A" w:rsidRPr="0054560D" w:rsidRDefault="00644B8A" w:rsidP="00644B8A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Date of approval by the Bank of the negotiated draft contract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D805" w14:textId="4ED973B9" w:rsidR="00644B8A" w:rsidRDefault="00644B8A" w:rsidP="00644B8A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 October 2023</w:t>
            </w:r>
          </w:p>
        </w:tc>
      </w:tr>
    </w:tbl>
    <w:p w14:paraId="36ADBFC4" w14:textId="77777777" w:rsidR="00F9625A" w:rsidRDefault="00F9625A" w:rsidP="00F9625A">
      <w:pPr>
        <w:pStyle w:val="BodyTextIndent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42A294D9" w14:textId="77777777" w:rsidR="00F9625A" w:rsidRDefault="00F9625A" w:rsidP="00F9625A">
      <w:pPr>
        <w:rPr>
          <w:b w:val="0"/>
          <w:iCs/>
        </w:rPr>
      </w:pPr>
      <w:r>
        <w:rPr>
          <w:b w:val="0"/>
          <w:iCs/>
        </w:rPr>
        <w:br w:type="page"/>
      </w:r>
    </w:p>
    <w:p w14:paraId="72353015" w14:textId="77777777" w:rsidR="00F9625A" w:rsidRDefault="00F9625A" w:rsidP="00F9625A">
      <w:pPr>
        <w:pStyle w:val="BodyTextIndent"/>
        <w:widowControl/>
        <w:numPr>
          <w:ilvl w:val="0"/>
          <w:numId w:val="1"/>
        </w:numPr>
        <w:autoSpaceDE/>
        <w:spacing w:before="120"/>
        <w:ind w:left="448" w:right="289" w:hanging="357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lastRenderedPageBreak/>
        <w:t>Successful Consultant</w:t>
      </w:r>
    </w:p>
    <w:tbl>
      <w:tblPr>
        <w:tblW w:w="1041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3"/>
        <w:gridCol w:w="6141"/>
      </w:tblGrid>
      <w:tr w:rsidR="00F9625A" w14:paraId="06703D34" w14:textId="77777777" w:rsidTr="00ED3E1F">
        <w:trPr>
          <w:trHeight w:hRule="exact" w:val="10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D827B01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5CC6D" w14:textId="727157E9" w:rsidR="00F9625A" w:rsidRDefault="00644B8A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EZ2BUSINESS CONSULTANCY</w:t>
            </w:r>
          </w:p>
        </w:tc>
      </w:tr>
      <w:tr w:rsidR="00F9625A" w14:paraId="2BFAAE43" w14:textId="77777777" w:rsidTr="00ED3E1F">
        <w:trPr>
          <w:trHeight w:hRule="exact" w:val="10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AE8B1EF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EE095" w14:textId="0B2CA82B" w:rsidR="00F9625A" w:rsidRDefault="00644B8A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Qatar</w:t>
            </w:r>
          </w:p>
        </w:tc>
      </w:tr>
      <w:tr w:rsidR="00F9625A" w14:paraId="7E6B9C9D" w14:textId="77777777" w:rsidTr="00ED3E1F">
        <w:trPr>
          <w:trHeight w:hRule="exact" w:val="9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AFC1D2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82336" w14:textId="486DC613" w:rsidR="00F9625A" w:rsidRDefault="00644B8A" w:rsidP="00EE7022">
            <w:pPr>
              <w:pStyle w:val="BodyTextIndent"/>
              <w:spacing w:after="0"/>
              <w:ind w:left="72"/>
              <w:rPr>
                <w:b/>
                <w:iCs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Tornado Tower, 28th Floor, Doha, Qatar</w:t>
            </w:r>
          </w:p>
        </w:tc>
      </w:tr>
      <w:tr w:rsidR="00F9625A" w14:paraId="35386DDA" w14:textId="77777777" w:rsidTr="00ED3E1F">
        <w:trPr>
          <w:trHeight w:hRule="exact" w:val="10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64369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FD702" w14:textId="0532AB8E" w:rsidR="00F9625A" w:rsidRPr="00AF179C" w:rsidRDefault="00644B8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644B8A">
              <w:rPr>
                <w:b/>
                <w:sz w:val="23"/>
                <w:szCs w:val="23"/>
              </w:rPr>
              <w:t>USD 275,950.00</w:t>
            </w:r>
          </w:p>
        </w:tc>
      </w:tr>
      <w:tr w:rsidR="00F9625A" w14:paraId="1D8BA66F" w14:textId="77777777" w:rsidTr="00ED3E1F">
        <w:trPr>
          <w:trHeight w:hRule="exact" w:val="10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DB0874" w14:textId="77777777" w:rsidR="00F9625A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</w:t>
            </w:r>
            <w:r w:rsidRPr="0054560D">
              <w:rPr>
                <w:iCs/>
                <w:sz w:val="23"/>
                <w:szCs w:val="23"/>
              </w:rPr>
              <w:t>s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0362F" w14:textId="2C12B2E1" w:rsidR="00F9625A" w:rsidRPr="00AF179C" w:rsidRDefault="00644B8A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22 October 2023</w:t>
            </w:r>
          </w:p>
        </w:tc>
      </w:tr>
      <w:tr w:rsidR="00F9625A" w14:paraId="509E842C" w14:textId="77777777" w:rsidTr="00ED3E1F">
        <w:trPr>
          <w:trHeight w:hRule="exact" w:val="1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7C9F75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Duration of execution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08A4" w14:textId="4C2D24B8" w:rsidR="00F9625A" w:rsidRPr="00AF179C" w:rsidRDefault="00ED3E1F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6 months</w:t>
            </w:r>
          </w:p>
        </w:tc>
      </w:tr>
      <w:tr w:rsidR="00F9625A" w14:paraId="7F7B6741" w14:textId="77777777" w:rsidTr="00ED3E1F">
        <w:trPr>
          <w:trHeight w:hRule="exact" w:val="13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C416AEB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9888" w14:textId="5A92DAB1" w:rsidR="00F9625A" w:rsidRPr="00ED3E1F" w:rsidRDefault="00ED3E1F" w:rsidP="00ED3E1F">
            <w:pPr>
              <w:tabs>
                <w:tab w:val="left" w:pos="451"/>
              </w:tabs>
              <w:spacing w:before="60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ED3E1F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The IsDBI is planning to conduct Market Assessment, Feasibility Study and Business Plan and develop the Islamic Finance Pavilion Marketplace. </w:t>
            </w:r>
          </w:p>
        </w:tc>
      </w:tr>
    </w:tbl>
    <w:p w14:paraId="3C351E40" w14:textId="77777777" w:rsidR="00F9625A" w:rsidRDefault="00F9625A" w:rsidP="00F9625A">
      <w:pPr>
        <w:rPr>
          <w:b w:val="0"/>
          <w:iCs/>
        </w:rPr>
      </w:pPr>
    </w:p>
    <w:p w14:paraId="5CD65DFB" w14:textId="79344FBC" w:rsidR="00F9625A" w:rsidRPr="00AF179C" w:rsidRDefault="00F9625A" w:rsidP="00F9625A">
      <w:pPr>
        <w:pStyle w:val="BodyTextIndent"/>
        <w:widowControl/>
        <w:numPr>
          <w:ilvl w:val="0"/>
          <w:numId w:val="1"/>
        </w:numPr>
        <w:autoSpaceDE/>
        <w:spacing w:before="60" w:after="60"/>
        <w:ind w:left="709" w:right="289" w:hanging="425"/>
        <w:rPr>
          <w:b/>
          <w:i/>
          <w:iCs/>
          <w:sz w:val="24"/>
          <w:szCs w:val="20"/>
          <w:lang w:val="en-GB"/>
        </w:rPr>
      </w:pPr>
      <w:r>
        <w:rPr>
          <w:b/>
          <w:iCs/>
        </w:rPr>
        <w:t xml:space="preserve">Unsuccessful Bidders </w:t>
      </w:r>
      <w:r w:rsidRPr="0054560D">
        <w:rPr>
          <w:b/>
          <w:iCs/>
        </w:rPr>
        <w:t xml:space="preserve">- Total number of </w:t>
      </w:r>
      <w:r>
        <w:rPr>
          <w:b/>
          <w:iCs/>
        </w:rPr>
        <w:t>P</w:t>
      </w:r>
      <w:r w:rsidRPr="0054560D">
        <w:rPr>
          <w:b/>
          <w:iCs/>
        </w:rPr>
        <w:t xml:space="preserve">articipated </w:t>
      </w:r>
      <w:r>
        <w:rPr>
          <w:b/>
          <w:iCs/>
        </w:rPr>
        <w:t>Bidders</w:t>
      </w:r>
      <w:r w:rsidRPr="0054560D">
        <w:rPr>
          <w:b/>
          <w:iCs/>
        </w:rPr>
        <w:t xml:space="preserve"> (</w:t>
      </w:r>
      <w:r w:rsidR="00512832">
        <w:rPr>
          <w:b/>
          <w:iCs/>
        </w:rPr>
        <w:t>3</w:t>
      </w:r>
      <w:r w:rsidRPr="0054560D">
        <w:rPr>
          <w:b/>
          <w:iCs/>
        </w:rPr>
        <w:t>)</w:t>
      </w:r>
    </w:p>
    <w:tbl>
      <w:tblPr>
        <w:tblW w:w="10980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21"/>
        <w:gridCol w:w="1612"/>
        <w:gridCol w:w="1450"/>
        <w:gridCol w:w="1385"/>
        <w:gridCol w:w="1478"/>
        <w:gridCol w:w="1144"/>
        <w:gridCol w:w="1254"/>
      </w:tblGrid>
      <w:tr w:rsidR="00F9625A" w14:paraId="1832BB5E" w14:textId="77777777" w:rsidTr="00456F11">
        <w:trPr>
          <w:trHeight w:val="650"/>
          <w:tblHeader/>
        </w:trPr>
        <w:tc>
          <w:tcPr>
            <w:tcW w:w="536" w:type="dxa"/>
            <w:shd w:val="clear" w:color="auto" w:fill="F2F2F2"/>
            <w:vAlign w:val="center"/>
            <w:hideMark/>
          </w:tcPr>
          <w:p w14:paraId="26E05322" w14:textId="77777777" w:rsidR="00F9625A" w:rsidRDefault="00F9625A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</w:p>
          <w:p w14:paraId="06E1F6E1" w14:textId="77777777" w:rsidR="00F9625A" w:rsidRPr="00783680" w:rsidRDefault="00F9625A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Sr</w:t>
            </w:r>
          </w:p>
        </w:tc>
        <w:tc>
          <w:tcPr>
            <w:tcW w:w="2121" w:type="dxa"/>
            <w:shd w:val="clear" w:color="auto" w:fill="F2F2F2"/>
            <w:vAlign w:val="center"/>
            <w:hideMark/>
          </w:tcPr>
          <w:p w14:paraId="25C8B9B5" w14:textId="77777777" w:rsidR="00F9625A" w:rsidRDefault="00F9625A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</w:p>
          <w:p w14:paraId="20890F6D" w14:textId="77777777" w:rsidR="00F9625A" w:rsidRPr="00783680" w:rsidRDefault="00F9625A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Name</w:t>
            </w:r>
          </w:p>
        </w:tc>
        <w:tc>
          <w:tcPr>
            <w:tcW w:w="1612" w:type="dxa"/>
            <w:shd w:val="clear" w:color="auto" w:fill="F2F2F2"/>
            <w:vAlign w:val="center"/>
          </w:tcPr>
          <w:p w14:paraId="452184B1" w14:textId="77777777" w:rsidR="00F9625A" w:rsidRDefault="00F9625A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</w:p>
          <w:p w14:paraId="31EC47B4" w14:textId="77777777" w:rsidR="00F9625A" w:rsidRPr="00783680" w:rsidRDefault="00F9625A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Nationality</w:t>
            </w:r>
          </w:p>
        </w:tc>
        <w:tc>
          <w:tcPr>
            <w:tcW w:w="1450" w:type="dxa"/>
            <w:shd w:val="clear" w:color="auto" w:fill="F2F2F2"/>
            <w:vAlign w:val="center"/>
          </w:tcPr>
          <w:p w14:paraId="50879038" w14:textId="77777777" w:rsidR="00F9625A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7BB48749" w14:textId="77777777" w:rsidR="00F9625A" w:rsidRPr="00783680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Address</w:t>
            </w:r>
          </w:p>
        </w:tc>
        <w:tc>
          <w:tcPr>
            <w:tcW w:w="1385" w:type="dxa"/>
            <w:shd w:val="clear" w:color="auto" w:fill="F2F2F2"/>
            <w:vAlign w:val="center"/>
          </w:tcPr>
          <w:p w14:paraId="57B6FEA5" w14:textId="77777777" w:rsidR="00F9625A" w:rsidRPr="00783680" w:rsidRDefault="00F9625A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Technical Scores</w:t>
            </w:r>
          </w:p>
        </w:tc>
        <w:tc>
          <w:tcPr>
            <w:tcW w:w="1478" w:type="dxa"/>
            <w:shd w:val="clear" w:color="auto" w:fill="F2F2F2"/>
            <w:vAlign w:val="center"/>
          </w:tcPr>
          <w:p w14:paraId="2253D4FD" w14:textId="58038CA0" w:rsidR="00F9625A" w:rsidRPr="00783680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Evaluated prices</w:t>
            </w:r>
            <w:r w:rsidR="00512832">
              <w:rPr>
                <w:b/>
                <w:bCs/>
                <w:iCs/>
              </w:rPr>
              <w:t xml:space="preserve"> (USD)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051EA79C" w14:textId="77777777" w:rsidR="00F9625A" w:rsidRPr="00783680" w:rsidRDefault="00F9625A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Final Scores</w:t>
            </w:r>
          </w:p>
        </w:tc>
        <w:tc>
          <w:tcPr>
            <w:tcW w:w="1254" w:type="dxa"/>
            <w:shd w:val="clear" w:color="auto" w:fill="F2F2F2"/>
            <w:vAlign w:val="center"/>
          </w:tcPr>
          <w:p w14:paraId="0410B9E8" w14:textId="77777777" w:rsidR="00F9625A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10B8AF88" w14:textId="77777777" w:rsidR="00F9625A" w:rsidRPr="00783680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Ranking</w:t>
            </w:r>
          </w:p>
        </w:tc>
      </w:tr>
      <w:tr w:rsidR="00F9625A" w14:paraId="479BBD92" w14:textId="77777777" w:rsidTr="00456F11">
        <w:trPr>
          <w:trHeight w:val="1668"/>
          <w:tblHeader/>
        </w:trPr>
        <w:tc>
          <w:tcPr>
            <w:tcW w:w="536" w:type="dxa"/>
            <w:vAlign w:val="center"/>
          </w:tcPr>
          <w:p w14:paraId="6D4AB925" w14:textId="77777777" w:rsidR="00F9625A" w:rsidRDefault="00F9625A" w:rsidP="00ED3E1F">
            <w:pPr>
              <w:pStyle w:val="BodyTextIndent"/>
              <w:numPr>
                <w:ilvl w:val="0"/>
                <w:numId w:val="2"/>
              </w:numPr>
              <w:spacing w:after="0"/>
              <w:ind w:right="33"/>
              <w:jc w:val="center"/>
              <w:rPr>
                <w:b/>
                <w:iCs/>
              </w:rPr>
            </w:pPr>
          </w:p>
        </w:tc>
        <w:tc>
          <w:tcPr>
            <w:tcW w:w="2121" w:type="dxa"/>
            <w:vAlign w:val="center"/>
            <w:hideMark/>
          </w:tcPr>
          <w:p w14:paraId="66ADC2E4" w14:textId="5E056462" w:rsidR="00F9625A" w:rsidRPr="0054560D" w:rsidRDefault="00ED3E1F" w:rsidP="00ED3E1F">
            <w:pPr>
              <w:pStyle w:val="BodyTextIndent"/>
              <w:spacing w:after="0"/>
              <w:ind w:left="72" w:right="29"/>
              <w:jc w:val="center"/>
              <w:rPr>
                <w:b/>
                <w:bCs/>
                <w:iCs/>
              </w:rPr>
            </w:pPr>
            <w:r w:rsidRPr="00ED3E1F">
              <w:rPr>
                <w:b/>
                <w:bCs/>
              </w:rPr>
              <w:t xml:space="preserve">4US (JV Leader) and </w:t>
            </w:r>
            <w:proofErr w:type="spellStart"/>
            <w:r w:rsidRPr="00ED3E1F">
              <w:rPr>
                <w:b/>
                <w:bCs/>
              </w:rPr>
              <w:t>Fineopolis</w:t>
            </w:r>
            <w:proofErr w:type="spellEnd"/>
            <w:r w:rsidRPr="00ED3E1F">
              <w:rPr>
                <w:b/>
                <w:bCs/>
              </w:rPr>
              <w:t xml:space="preserve"> &amp; </w:t>
            </w:r>
            <w:proofErr w:type="spellStart"/>
            <w:r>
              <w:rPr>
                <w:b/>
                <w:bCs/>
              </w:rPr>
              <w:t>A</w:t>
            </w:r>
            <w:r w:rsidRPr="00ED3E1F">
              <w:rPr>
                <w:b/>
                <w:bCs/>
              </w:rPr>
              <w:t>lmaali</w:t>
            </w:r>
            <w:proofErr w:type="spellEnd"/>
          </w:p>
        </w:tc>
        <w:tc>
          <w:tcPr>
            <w:tcW w:w="1612" w:type="dxa"/>
            <w:vAlign w:val="center"/>
          </w:tcPr>
          <w:p w14:paraId="331A87CF" w14:textId="684EAE5E" w:rsidR="00F9625A" w:rsidRPr="0054560D" w:rsidRDefault="00ED3E1F" w:rsidP="00ED3E1F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Morocco</w:t>
            </w:r>
          </w:p>
        </w:tc>
        <w:tc>
          <w:tcPr>
            <w:tcW w:w="1450" w:type="dxa"/>
            <w:vAlign w:val="center"/>
          </w:tcPr>
          <w:p w14:paraId="1BD8E805" w14:textId="583646A1" w:rsidR="00F9625A" w:rsidRPr="0054560D" w:rsidRDefault="00ED3E1F" w:rsidP="00ED3E1F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ED3E1F">
              <w:rPr>
                <w:b/>
                <w:bCs/>
              </w:rPr>
              <w:t xml:space="preserve">13, Avenue </w:t>
            </w:r>
            <w:proofErr w:type="spellStart"/>
            <w:r w:rsidRPr="00ED3E1F">
              <w:rPr>
                <w:b/>
                <w:bCs/>
              </w:rPr>
              <w:t>Doukkala</w:t>
            </w:r>
            <w:proofErr w:type="spellEnd"/>
            <w:r w:rsidRPr="00ED3E1F">
              <w:rPr>
                <w:b/>
                <w:bCs/>
              </w:rPr>
              <w:t>, Aviation, Rabat - Morocco</w:t>
            </w:r>
          </w:p>
        </w:tc>
        <w:tc>
          <w:tcPr>
            <w:tcW w:w="1385" w:type="dxa"/>
            <w:vAlign w:val="center"/>
          </w:tcPr>
          <w:p w14:paraId="6B49B6CB" w14:textId="1C7049AA" w:rsidR="00F9625A" w:rsidRPr="0054560D" w:rsidRDefault="00ED3E1F" w:rsidP="00ED3E1F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ED3E1F">
              <w:rPr>
                <w:b/>
                <w:bCs/>
                <w:iCs/>
              </w:rPr>
              <w:t>80.40</w:t>
            </w:r>
          </w:p>
        </w:tc>
        <w:tc>
          <w:tcPr>
            <w:tcW w:w="1478" w:type="dxa"/>
            <w:vAlign w:val="center"/>
          </w:tcPr>
          <w:p w14:paraId="05F685AE" w14:textId="66E3CFFD" w:rsidR="00ED3E1F" w:rsidRPr="0054560D" w:rsidRDefault="00512832" w:rsidP="00ED3E1F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486,450</w:t>
            </w:r>
          </w:p>
        </w:tc>
        <w:tc>
          <w:tcPr>
            <w:tcW w:w="1144" w:type="dxa"/>
            <w:vAlign w:val="center"/>
          </w:tcPr>
          <w:p w14:paraId="5D732878" w14:textId="49478C1C" w:rsidR="00F9625A" w:rsidRPr="0054560D" w:rsidRDefault="00ED3E1F" w:rsidP="00ED3E1F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ED3E1F">
              <w:rPr>
                <w:b/>
                <w:bCs/>
                <w:iCs/>
              </w:rPr>
              <w:t>77.34</w:t>
            </w:r>
          </w:p>
        </w:tc>
        <w:tc>
          <w:tcPr>
            <w:tcW w:w="1254" w:type="dxa"/>
            <w:vAlign w:val="center"/>
          </w:tcPr>
          <w:p w14:paraId="25E46FA4" w14:textId="2287780B" w:rsidR="00F9625A" w:rsidRPr="0054560D" w:rsidRDefault="00ED3E1F" w:rsidP="00ED3E1F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2</w:t>
            </w:r>
          </w:p>
        </w:tc>
      </w:tr>
      <w:tr w:rsidR="00512832" w14:paraId="1BE2AFBD" w14:textId="77777777" w:rsidTr="00456F11">
        <w:trPr>
          <w:trHeight w:val="1668"/>
          <w:tblHeader/>
        </w:trPr>
        <w:tc>
          <w:tcPr>
            <w:tcW w:w="536" w:type="dxa"/>
            <w:vAlign w:val="center"/>
          </w:tcPr>
          <w:p w14:paraId="442E20E7" w14:textId="77777777" w:rsidR="00512832" w:rsidRDefault="00512832" w:rsidP="00ED3E1F">
            <w:pPr>
              <w:pStyle w:val="BodyTextIndent"/>
              <w:numPr>
                <w:ilvl w:val="0"/>
                <w:numId w:val="2"/>
              </w:numPr>
              <w:spacing w:after="0"/>
              <w:ind w:right="33"/>
              <w:jc w:val="center"/>
              <w:rPr>
                <w:b/>
                <w:iCs/>
              </w:rPr>
            </w:pPr>
          </w:p>
        </w:tc>
        <w:tc>
          <w:tcPr>
            <w:tcW w:w="2121" w:type="dxa"/>
            <w:vAlign w:val="center"/>
          </w:tcPr>
          <w:p w14:paraId="38B10E2B" w14:textId="23E9BD2B" w:rsidR="00512832" w:rsidRPr="00ED3E1F" w:rsidRDefault="00512832" w:rsidP="00ED3E1F">
            <w:pPr>
              <w:pStyle w:val="BodyTextIndent"/>
              <w:spacing w:after="0"/>
              <w:ind w:left="72" w:right="29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Medrar</w:t>
            </w:r>
            <w:proofErr w:type="spellEnd"/>
            <w:r>
              <w:rPr>
                <w:b/>
                <w:bCs/>
              </w:rPr>
              <w:t xml:space="preserve"> (JV Leader) and Cairo Center for Development Benchmarking</w:t>
            </w:r>
          </w:p>
        </w:tc>
        <w:tc>
          <w:tcPr>
            <w:tcW w:w="1612" w:type="dxa"/>
            <w:vAlign w:val="center"/>
          </w:tcPr>
          <w:p w14:paraId="7B794FB3" w14:textId="0F309222" w:rsidR="00512832" w:rsidRDefault="00512832" w:rsidP="00ED3E1F">
            <w:pPr>
              <w:pStyle w:val="BodyTextIndent"/>
              <w:spacing w:after="0"/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Egypt</w:t>
            </w:r>
          </w:p>
        </w:tc>
        <w:tc>
          <w:tcPr>
            <w:tcW w:w="1450" w:type="dxa"/>
            <w:vAlign w:val="center"/>
          </w:tcPr>
          <w:p w14:paraId="77F37C30" w14:textId="4CAEFDF1" w:rsidR="00512832" w:rsidRPr="00ED3E1F" w:rsidRDefault="00560C0A" w:rsidP="00ED3E1F">
            <w:pPr>
              <w:pStyle w:val="BodyTextIndent"/>
              <w:spacing w:after="0"/>
              <w:ind w:left="72"/>
              <w:jc w:val="center"/>
              <w:rPr>
                <w:b/>
                <w:bCs/>
              </w:rPr>
            </w:pPr>
            <w:r w:rsidRPr="00560C0A">
              <w:rPr>
                <w:b/>
                <w:bCs/>
              </w:rPr>
              <w:t>47, Road 250 - Maadi - 11435, Cairo - Egypt</w:t>
            </w:r>
          </w:p>
        </w:tc>
        <w:tc>
          <w:tcPr>
            <w:tcW w:w="1385" w:type="dxa"/>
            <w:vAlign w:val="center"/>
          </w:tcPr>
          <w:p w14:paraId="52F02882" w14:textId="52426A41" w:rsidR="00512832" w:rsidRPr="00ED3E1F" w:rsidRDefault="00512832" w:rsidP="00ED3E1F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73.30</w:t>
            </w:r>
          </w:p>
        </w:tc>
        <w:tc>
          <w:tcPr>
            <w:tcW w:w="1478" w:type="dxa"/>
            <w:vAlign w:val="center"/>
          </w:tcPr>
          <w:p w14:paraId="624EF2CB" w14:textId="04149832" w:rsidR="00512832" w:rsidRPr="00ED3E1F" w:rsidDel="00512832" w:rsidRDefault="00512832" w:rsidP="00ED3E1F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___</w:t>
            </w:r>
          </w:p>
        </w:tc>
        <w:tc>
          <w:tcPr>
            <w:tcW w:w="1144" w:type="dxa"/>
            <w:vAlign w:val="center"/>
          </w:tcPr>
          <w:p w14:paraId="09C54159" w14:textId="716E7A1E" w:rsidR="00512832" w:rsidRPr="00ED3E1F" w:rsidRDefault="00512832" w:rsidP="00ED3E1F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___</w:t>
            </w:r>
          </w:p>
        </w:tc>
        <w:tc>
          <w:tcPr>
            <w:tcW w:w="1254" w:type="dxa"/>
            <w:vAlign w:val="center"/>
          </w:tcPr>
          <w:p w14:paraId="6F68A083" w14:textId="1FD3A526" w:rsidR="00512832" w:rsidRDefault="00512832" w:rsidP="00ED3E1F">
            <w:pPr>
              <w:pStyle w:val="BodyTextIndent"/>
              <w:spacing w:after="0"/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</w:p>
        </w:tc>
      </w:tr>
    </w:tbl>
    <w:p w14:paraId="3CC45F75" w14:textId="77777777" w:rsidR="00F9625A" w:rsidRDefault="00F9625A" w:rsidP="00F9625A">
      <w:pPr>
        <w:ind w:right="215"/>
        <w:rPr>
          <w:lang w:val="en-GB"/>
        </w:rPr>
      </w:pPr>
    </w:p>
    <w:p w14:paraId="548EE80A" w14:textId="77777777" w:rsidR="00F9625A" w:rsidRPr="00AF179C" w:rsidRDefault="00F9625A" w:rsidP="00F9625A">
      <w:pPr>
        <w:ind w:left="448" w:right="215" w:hanging="538"/>
        <w:rPr>
          <w:rFonts w:ascii="Roboto" w:hAnsi="Roboto"/>
          <w:color w:val="171717" w:themeColor="background2" w:themeShade="1A"/>
          <w:sz w:val="24"/>
          <w:szCs w:val="20"/>
        </w:rPr>
      </w:pPr>
      <w:r w:rsidRPr="00AF179C">
        <w:rPr>
          <w:rFonts w:ascii="Roboto" w:hAnsi="Roboto"/>
          <w:color w:val="171717" w:themeColor="background2" w:themeShade="1A"/>
          <w:sz w:val="24"/>
          <w:szCs w:val="20"/>
        </w:rPr>
        <w:t xml:space="preserve">Signature of </w:t>
      </w:r>
    </w:p>
    <w:p w14:paraId="0968ADFD" w14:textId="77777777" w:rsidR="00F9625A" w:rsidRPr="00AF179C" w:rsidRDefault="00F9625A" w:rsidP="00F9625A">
      <w:pPr>
        <w:ind w:left="448" w:right="215" w:hanging="538"/>
        <w:rPr>
          <w:rFonts w:ascii="Roboto" w:hAnsi="Roboto"/>
          <w:b w:val="0"/>
          <w:bCs/>
          <w:color w:val="171717" w:themeColor="background2" w:themeShade="1A"/>
          <w:sz w:val="24"/>
          <w:szCs w:val="20"/>
        </w:rPr>
      </w:pPr>
      <w:r w:rsidRPr="00AF179C">
        <w:rPr>
          <w:rFonts w:ascii="Roboto" w:hAnsi="Roboto"/>
          <w:bCs/>
          <w:color w:val="171717" w:themeColor="background2" w:themeShade="1A"/>
          <w:sz w:val="24"/>
          <w:szCs w:val="20"/>
        </w:rPr>
        <w:t>Head, Procurement Unit</w:t>
      </w:r>
      <w:r>
        <w:rPr>
          <w:rFonts w:ascii="Roboto" w:hAnsi="Roboto"/>
          <w:b w:val="0"/>
          <w:bCs/>
          <w:color w:val="171717" w:themeColor="background2" w:themeShade="1A"/>
          <w:sz w:val="24"/>
          <w:szCs w:val="20"/>
        </w:rPr>
        <w:t xml:space="preserve">, </w:t>
      </w:r>
      <w:r w:rsidRPr="00AF179C">
        <w:rPr>
          <w:rFonts w:ascii="Roboto" w:hAnsi="Roboto"/>
          <w:bCs/>
          <w:color w:val="171717" w:themeColor="background2" w:themeShade="1A"/>
          <w:sz w:val="24"/>
          <w:szCs w:val="20"/>
        </w:rPr>
        <w:t xml:space="preserve">Executing </w:t>
      </w:r>
      <w:proofErr w:type="gramStart"/>
      <w:r w:rsidRPr="00AF179C">
        <w:rPr>
          <w:rFonts w:ascii="Roboto" w:hAnsi="Roboto"/>
          <w:bCs/>
          <w:color w:val="171717" w:themeColor="background2" w:themeShade="1A"/>
          <w:sz w:val="24"/>
          <w:szCs w:val="20"/>
        </w:rPr>
        <w:t>Agency</w:t>
      </w:r>
      <w:proofErr w:type="gramEnd"/>
      <w:r w:rsidRPr="00AF179C">
        <w:rPr>
          <w:rFonts w:ascii="Roboto" w:hAnsi="Roboto"/>
          <w:bCs/>
          <w:color w:val="171717" w:themeColor="background2" w:themeShade="1A"/>
          <w:sz w:val="24"/>
          <w:szCs w:val="20"/>
        </w:rPr>
        <w:t xml:space="preserve"> or Project Management Unit</w:t>
      </w:r>
    </w:p>
    <w:p w14:paraId="0FE77B09" w14:textId="77777777" w:rsidR="00F9625A" w:rsidRDefault="00F9625A" w:rsidP="00F9625A">
      <w:pPr>
        <w:ind w:left="448" w:right="215" w:hanging="538"/>
        <w:rPr>
          <w:b w:val="0"/>
          <w:bCs/>
        </w:rPr>
      </w:pPr>
    </w:p>
    <w:p w14:paraId="2CE23CD4" w14:textId="77777777" w:rsidR="00F9625A" w:rsidRDefault="00F9625A" w:rsidP="00F9625A">
      <w:pPr>
        <w:tabs>
          <w:tab w:val="left" w:pos="2295"/>
        </w:tabs>
      </w:pPr>
    </w:p>
    <w:p w14:paraId="7E44501A" w14:textId="77777777" w:rsidR="00F9625A" w:rsidRDefault="00F9625A" w:rsidP="00F9625A">
      <w:pPr>
        <w:tabs>
          <w:tab w:val="left" w:pos="2295"/>
        </w:tabs>
      </w:pPr>
    </w:p>
    <w:p w14:paraId="1DC1F367" w14:textId="77777777" w:rsidR="00F9625A" w:rsidRDefault="00F9625A" w:rsidP="00F9625A">
      <w:pPr>
        <w:tabs>
          <w:tab w:val="left" w:pos="2295"/>
        </w:tabs>
        <w:rPr>
          <w:color w:val="171717" w:themeColor="background2" w:themeShade="1A"/>
          <w:sz w:val="22"/>
          <w:szCs w:val="18"/>
        </w:rPr>
      </w:pPr>
    </w:p>
    <w:p w14:paraId="34A376EF" w14:textId="77777777" w:rsidR="00F9625A" w:rsidRPr="00AF179C" w:rsidRDefault="00F9625A" w:rsidP="00F9625A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</w:pPr>
      <w:proofErr w:type="gramStart"/>
      <w:r w:rsidRPr="00AF179C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  <w:t>N.B .</w:t>
      </w:r>
      <w:proofErr w:type="gramEnd"/>
      <w:r w:rsidRPr="00AF179C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  <w:t xml:space="preserve">: Any consultant who wishes to know the reasons why his proposal was not selected must make a request to the Executing Agency. In any event, the Bank reserves the right to have any claim from a </w:t>
      </w:r>
      <w:proofErr w:type="gramStart"/>
      <w:r w:rsidRPr="00AF179C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  <w:t>participated</w:t>
      </w:r>
      <w:proofErr w:type="gramEnd"/>
      <w:r w:rsidRPr="00AF179C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  <w:t xml:space="preserve"> consultant examined at any time following the award of the contract.</w:t>
      </w:r>
    </w:p>
    <w:p w14:paraId="650335A5" w14:textId="77777777" w:rsidR="00F9625A" w:rsidRDefault="00F9625A" w:rsidP="00F9625A">
      <w:pPr>
        <w:tabs>
          <w:tab w:val="left" w:pos="2295"/>
        </w:tabs>
      </w:pPr>
    </w:p>
    <w:p w14:paraId="6B9844B8" w14:textId="77777777" w:rsidR="007E342F" w:rsidRDefault="007E342F"/>
    <w:sectPr w:rsidR="007E342F" w:rsidSect="00DF027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E41B" w14:textId="77777777" w:rsidR="00BF69D3" w:rsidRDefault="00BF69D3">
      <w:pPr>
        <w:spacing w:line="240" w:lineRule="auto"/>
      </w:pPr>
      <w:r>
        <w:separator/>
      </w:r>
    </w:p>
  </w:endnote>
  <w:endnote w:type="continuationSeparator" w:id="0">
    <w:p w14:paraId="2966071C" w14:textId="77777777" w:rsidR="00BF69D3" w:rsidRDefault="00BF6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altName w:val="Oswald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C55F" w14:textId="77777777" w:rsidR="00FC7E24" w:rsidRDefault="00F96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6E931E" w14:textId="77777777" w:rsidR="00FC7E24" w:rsidRDefault="00FC7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9134" w14:textId="77777777" w:rsidR="00BF69D3" w:rsidRDefault="00BF69D3">
      <w:pPr>
        <w:spacing w:line="240" w:lineRule="auto"/>
      </w:pPr>
      <w:r>
        <w:separator/>
      </w:r>
    </w:p>
  </w:footnote>
  <w:footnote w:type="continuationSeparator" w:id="0">
    <w:p w14:paraId="7341C713" w14:textId="77777777" w:rsidR="00BF69D3" w:rsidRDefault="00BF69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D7B4" w14:textId="0274FE3D" w:rsidR="002365BF" w:rsidRDefault="00236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4A189D" wp14:editId="5E9B040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8208626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9A292" w14:textId="6BFE945A" w:rsidR="002365BF" w:rsidRPr="002365BF" w:rsidRDefault="002365BF" w:rsidP="002365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5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A18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799A292" w14:textId="6BFE945A" w:rsidR="002365BF" w:rsidRPr="002365BF" w:rsidRDefault="002365BF" w:rsidP="002365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65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080C9E3D" w14:textId="77777777" w:rsidTr="0064441B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492E15F1" w14:textId="17C033AE" w:rsidR="00FC7E24" w:rsidRDefault="002365B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38B5B79" wp14:editId="68EC3127">
                    <wp:simplePos x="80010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8255" b="12065"/>
                    <wp:wrapNone/>
                    <wp:docPr id="780749573" name="Text Box 3" descr="Prote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80E559" w14:textId="22EB5748" w:rsidR="002365BF" w:rsidRPr="002365BF" w:rsidRDefault="002365BF" w:rsidP="002365B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365B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Protected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38B5B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      <v:textbox style="mso-fit-shape-to-text:t" inset="20pt,15pt,0,0">
                      <w:txbxContent>
                        <w:p w14:paraId="2380E559" w14:textId="22EB5748" w:rsidR="002365BF" w:rsidRPr="002365BF" w:rsidRDefault="002365BF" w:rsidP="002365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5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71F3BE9" w14:textId="77777777" w:rsidR="00FC7E24" w:rsidRDefault="00FC7E24" w:rsidP="00D07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B347" w14:textId="6286375D" w:rsidR="002365BF" w:rsidRDefault="00236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06CAEB" wp14:editId="69E7052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1050966652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663C2" w14:textId="61BDE051" w:rsidR="002365BF" w:rsidRPr="002365BF" w:rsidRDefault="002365BF" w:rsidP="002365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65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6CA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ED663C2" w14:textId="61BDE051" w:rsidR="002365BF" w:rsidRPr="002365BF" w:rsidRDefault="002365BF" w:rsidP="002365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65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539D6BF6"/>
    <w:multiLevelType w:val="hybridMultilevel"/>
    <w:tmpl w:val="3C32933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449520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360244">
    <w:abstractNumId w:val="1"/>
  </w:num>
  <w:num w:numId="3" w16cid:durableId="198906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5A"/>
    <w:rsid w:val="002365BF"/>
    <w:rsid w:val="00456F11"/>
    <w:rsid w:val="00512832"/>
    <w:rsid w:val="00560C0A"/>
    <w:rsid w:val="00644B8A"/>
    <w:rsid w:val="00743A08"/>
    <w:rsid w:val="007E342F"/>
    <w:rsid w:val="00827D03"/>
    <w:rsid w:val="009A1B8F"/>
    <w:rsid w:val="00AE7B24"/>
    <w:rsid w:val="00BF69D3"/>
    <w:rsid w:val="00ED3E1F"/>
    <w:rsid w:val="00F9625A"/>
    <w:rsid w:val="00FC7E24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F9625A"/>
  </w:style>
  <w:style w:type="character" w:customStyle="1" w:styleId="HeaderChar">
    <w:name w:val="Header Char"/>
    <w:basedOn w:val="DefaultParagraphFont"/>
    <w:link w:val="Header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ED3E1F"/>
    <w:pPr>
      <w:ind w:left="720"/>
      <w:contextualSpacing/>
    </w:pPr>
  </w:style>
  <w:style w:type="paragraph" w:styleId="Revision">
    <w:name w:val="Revision"/>
    <w:hidden/>
    <w:uiPriority w:val="99"/>
    <w:semiHidden/>
    <w:rsid w:val="00512832"/>
    <w:pPr>
      <w:spacing w:after="0" w:line="240" w:lineRule="auto"/>
    </w:pPr>
    <w:rPr>
      <w:rFonts w:eastAsiaTheme="minorEastAsia"/>
      <w:b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Mehmet Eken</cp:lastModifiedBy>
  <cp:revision>5</cp:revision>
  <dcterms:created xsi:type="dcterms:W3CDTF">2023-10-16T09:45:00Z</dcterms:created>
  <dcterms:modified xsi:type="dcterms:W3CDTF">2023-10-17T08:17:00Z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3ea47a7c,4e48977,2e894b05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2023-10-10T09:33:30Z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0a2ae650-6b28-4837-a7cb-e0ed29df0488</vt:lpwstr>
  </property>
  <property fmtid="{D5CDD505-2E9C-101B-9397-08002B2CF9AE}" pid="11" name="MSIP_Label_9ef4adf7-25a7-4f52-a61a-df7190f1d881_ContentBits">
    <vt:lpwstr>1</vt:lpwstr>
  </property>
</Properties>
</file>