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EA7" w:rsidRPr="001F08FF" w:rsidRDefault="009E4EA7" w:rsidP="009E4EA7">
      <w:pPr>
        <w:jc w:val="center"/>
        <w:rPr>
          <w:rFonts w:ascii="Maiandra GD" w:hAnsi="Maiandra GD" w:cs="Tahoma"/>
          <w:b/>
        </w:rPr>
      </w:pPr>
      <w:bookmarkStart w:id="0" w:name="_Hlk88745931"/>
      <w:r w:rsidRPr="008F1B8E">
        <w:rPr>
          <w:noProof/>
        </w:rPr>
        <w:drawing>
          <wp:inline distT="0" distB="0" distL="0" distR="0" wp14:anchorId="2DA065C1" wp14:editId="7D6C63EB">
            <wp:extent cx="744944" cy="648000"/>
            <wp:effectExtent l="0" t="19050" r="3619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spect="1" noChangeArrowheads="1"/>
                    </pic:cNvPicPr>
                  </pic:nvPicPr>
                  <pic:blipFill>
                    <a:blip r:embed="rId7" cstate="print">
                      <a:extLst>
                        <a:ext uri="{28A0092B-C50C-407E-A947-70E740481C1C}">
                          <a14:useLocalDpi xmlns:a14="http://schemas.microsoft.com/office/drawing/2010/main" val="0"/>
                        </a:ext>
                      </a:extLst>
                    </a:blip>
                    <a:srcRect b="-24"/>
                    <a:stretch>
                      <a:fillRect/>
                    </a:stretch>
                  </pic:blipFill>
                  <pic:spPr bwMode="auto">
                    <a:xfrm>
                      <a:off x="0" y="0"/>
                      <a:ext cx="744944" cy="648000"/>
                    </a:xfrm>
                    <a:prstGeom prst="rect">
                      <a:avLst/>
                    </a:prstGeom>
                    <a:noFill/>
                    <a:ln>
                      <a:noFill/>
                    </a:ln>
                    <a:effectLst>
                      <a:outerShdw dist="28398" dir="20006097" algn="ctr" rotWithShape="0">
                        <a:srgbClr val="808080"/>
                      </a:outerShdw>
                    </a:effectLst>
                  </pic:spPr>
                </pic:pic>
              </a:graphicData>
            </a:graphic>
          </wp:inline>
        </w:drawing>
      </w:r>
    </w:p>
    <w:bookmarkEnd w:id="0"/>
    <w:p w:rsidR="009E4EA7" w:rsidRPr="001F08FF" w:rsidRDefault="009E4EA7" w:rsidP="009E4EA7">
      <w:pPr>
        <w:tabs>
          <w:tab w:val="left" w:pos="0"/>
        </w:tabs>
        <w:rPr>
          <w:rFonts w:ascii="Maiandra GD" w:hAnsi="Maiandra GD"/>
          <w:b/>
          <w:sz w:val="22"/>
          <w:szCs w:val="22"/>
          <w:lang w:val="fr-FR"/>
        </w:rPr>
      </w:pPr>
    </w:p>
    <w:p w:rsidR="009E4EA7" w:rsidRPr="00D72746" w:rsidRDefault="009E4EA7" w:rsidP="009E4EA7">
      <w:pPr>
        <w:tabs>
          <w:tab w:val="left" w:pos="0"/>
        </w:tabs>
        <w:jc w:val="center"/>
        <w:rPr>
          <w:rFonts w:ascii="Maiandra GD" w:hAnsi="Maiandra GD"/>
          <w:b/>
          <w:caps/>
          <w:sz w:val="18"/>
          <w:szCs w:val="18"/>
          <w:lang w:val="fr-CA"/>
        </w:rPr>
      </w:pPr>
      <w:r w:rsidRPr="00D72746">
        <w:rPr>
          <w:rFonts w:ascii="Maiandra GD" w:hAnsi="Maiandra GD"/>
          <w:b/>
          <w:caps/>
          <w:sz w:val="18"/>
          <w:szCs w:val="18"/>
          <w:lang w:val="fr-CA"/>
        </w:rPr>
        <w:t>RéPUBLIQUE DE COTE D’IVOIRE</w:t>
      </w:r>
    </w:p>
    <w:p w:rsidR="009E4EA7" w:rsidRPr="00D72746" w:rsidRDefault="009E4EA7" w:rsidP="009E4EA7">
      <w:pPr>
        <w:tabs>
          <w:tab w:val="left" w:pos="0"/>
        </w:tabs>
        <w:jc w:val="center"/>
        <w:rPr>
          <w:rFonts w:ascii="Maiandra GD" w:hAnsi="Maiandra GD"/>
          <w:b/>
          <w:sz w:val="18"/>
          <w:szCs w:val="18"/>
          <w:lang w:val="fr-FR"/>
        </w:rPr>
      </w:pPr>
      <w:r w:rsidRPr="00D72746">
        <w:rPr>
          <w:rFonts w:ascii="Maiandra GD" w:hAnsi="Maiandra GD"/>
          <w:b/>
          <w:sz w:val="18"/>
          <w:szCs w:val="18"/>
          <w:lang w:val="fr-FR"/>
        </w:rPr>
        <w:t>Ministère de l’Equipement et de l’Entretien Routier</w:t>
      </w:r>
    </w:p>
    <w:p w:rsidR="009E4EA7" w:rsidRPr="00D72746" w:rsidRDefault="009E4EA7" w:rsidP="009E4EA7">
      <w:pPr>
        <w:tabs>
          <w:tab w:val="left" w:pos="0"/>
        </w:tabs>
        <w:jc w:val="center"/>
        <w:rPr>
          <w:rFonts w:ascii="Maiandra GD" w:hAnsi="Maiandra GD"/>
          <w:b/>
          <w:sz w:val="18"/>
          <w:szCs w:val="18"/>
          <w:lang w:val="fr-FR"/>
        </w:rPr>
      </w:pPr>
      <w:r w:rsidRPr="00D72746">
        <w:rPr>
          <w:rFonts w:ascii="Maiandra GD" w:hAnsi="Maiandra GD"/>
          <w:b/>
          <w:sz w:val="18"/>
          <w:szCs w:val="18"/>
          <w:lang w:val="fr-FR"/>
        </w:rPr>
        <w:t>Agence de Gestion des Routes</w:t>
      </w:r>
    </w:p>
    <w:p w:rsidR="009E4EA7" w:rsidRPr="00D72746" w:rsidRDefault="009E4EA7" w:rsidP="009E4EA7">
      <w:pPr>
        <w:tabs>
          <w:tab w:val="left" w:pos="0"/>
        </w:tabs>
        <w:jc w:val="center"/>
        <w:rPr>
          <w:rFonts w:ascii="Maiandra GD" w:hAnsi="Maiandra GD"/>
          <w:b/>
          <w:sz w:val="14"/>
          <w:szCs w:val="14"/>
          <w:lang w:val="fr-FR"/>
        </w:rPr>
      </w:pPr>
    </w:p>
    <w:p w:rsidR="009E4EA7" w:rsidRPr="001F08FF" w:rsidRDefault="009E4EA7" w:rsidP="009E4EA7">
      <w:pPr>
        <w:tabs>
          <w:tab w:val="left" w:pos="0"/>
        </w:tabs>
        <w:jc w:val="center"/>
        <w:rPr>
          <w:rFonts w:ascii="Maiandra GD" w:hAnsi="Maiandra GD"/>
          <w:lang w:val="fr-FR"/>
        </w:rPr>
      </w:pPr>
      <w:r w:rsidRPr="001F08FF">
        <w:rPr>
          <w:rFonts w:ascii="Maiandra GD" w:hAnsi="Maiandra GD"/>
          <w:lang w:val="fr-FR"/>
        </w:rPr>
        <w:t>-------------------------------------------------------------</w:t>
      </w:r>
    </w:p>
    <w:p w:rsidR="009E4EA7" w:rsidRPr="00D72746" w:rsidRDefault="009E4EA7" w:rsidP="009E4EA7">
      <w:pPr>
        <w:tabs>
          <w:tab w:val="center" w:pos="4560"/>
        </w:tabs>
        <w:suppressAutoHyphens/>
        <w:spacing w:before="60" w:after="60"/>
        <w:jc w:val="center"/>
        <w:rPr>
          <w:rFonts w:ascii="Garamond" w:hAnsi="Garamond"/>
          <w:b/>
          <w:spacing w:val="-3"/>
          <w:sz w:val="20"/>
          <w:szCs w:val="20"/>
          <w:lang w:val="fr-FR"/>
        </w:rPr>
      </w:pPr>
      <w:r w:rsidRPr="00D72746">
        <w:rPr>
          <w:rFonts w:ascii="Garamond" w:hAnsi="Garamond"/>
          <w:b/>
          <w:spacing w:val="-3"/>
          <w:sz w:val="20"/>
          <w:szCs w:val="20"/>
          <w:lang w:val="fr-FR"/>
        </w:rPr>
        <w:t>PROJET DE CONSTRUCTION DES ROUTES D’INTÉGRATION DU DISTRICT DES MONTAGNES : MAN – KOUIBLY (46 KM) ET GUIGLO – TAÏ (86 KM)</w:t>
      </w:r>
    </w:p>
    <w:p w:rsidR="009E4EA7" w:rsidRPr="001F08FF" w:rsidRDefault="009E4EA7" w:rsidP="009E4EA7">
      <w:pPr>
        <w:tabs>
          <w:tab w:val="left" w:pos="0"/>
        </w:tabs>
        <w:jc w:val="center"/>
        <w:rPr>
          <w:rFonts w:ascii="Maiandra GD" w:hAnsi="Maiandra GD"/>
          <w:b/>
          <w:lang w:val="fr-FR"/>
        </w:rPr>
      </w:pPr>
      <w:r w:rsidRPr="001F08FF">
        <w:rPr>
          <w:rFonts w:ascii="Maiandra GD" w:hAnsi="Maiandra GD"/>
          <w:b/>
          <w:lang w:val="fr-FR"/>
        </w:rPr>
        <w:t>-------------------------------------------------------------</w:t>
      </w:r>
    </w:p>
    <w:tbl>
      <w:tblPr>
        <w:tblStyle w:val="Grilledutableau"/>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81"/>
      </w:tblGrid>
      <w:tr w:rsidR="009E4EA7" w:rsidRPr="001F08FF" w:rsidTr="00F10BC4">
        <w:tc>
          <w:tcPr>
            <w:tcW w:w="3686" w:type="dxa"/>
            <w:vAlign w:val="center"/>
          </w:tcPr>
          <w:p w:rsidR="009E4EA7" w:rsidRPr="00D72746" w:rsidRDefault="009E4EA7" w:rsidP="00F10BC4">
            <w:pPr>
              <w:pStyle w:val="ChapterNumber"/>
              <w:tabs>
                <w:tab w:val="clear" w:pos="-720"/>
              </w:tabs>
              <w:ind w:right="-21"/>
              <w:jc w:val="right"/>
              <w:rPr>
                <w:rFonts w:ascii="Maiandra GD" w:hAnsi="Maiandra GD"/>
                <w:spacing w:val="-2"/>
                <w:sz w:val="18"/>
                <w:szCs w:val="18"/>
                <w:lang w:val="fr-FR"/>
              </w:rPr>
            </w:pPr>
            <w:r w:rsidRPr="00D72746">
              <w:rPr>
                <w:rFonts w:ascii="Maiandra GD" w:hAnsi="Maiandra GD"/>
                <w:sz w:val="18"/>
                <w:szCs w:val="18"/>
                <w:lang w:val="fr-FR"/>
              </w:rPr>
              <w:t>Secteur :</w:t>
            </w:r>
          </w:p>
        </w:tc>
        <w:tc>
          <w:tcPr>
            <w:tcW w:w="5381" w:type="dxa"/>
            <w:vAlign w:val="center"/>
          </w:tcPr>
          <w:p w:rsidR="009E4EA7" w:rsidRPr="00D72746" w:rsidRDefault="009E4EA7" w:rsidP="00F10BC4">
            <w:pPr>
              <w:pStyle w:val="ChapterNumber"/>
              <w:tabs>
                <w:tab w:val="clear" w:pos="-720"/>
              </w:tabs>
              <w:ind w:hanging="53"/>
              <w:rPr>
                <w:rFonts w:ascii="Maiandra GD" w:hAnsi="Maiandra GD"/>
                <w:b/>
                <w:bCs/>
                <w:spacing w:val="-2"/>
                <w:sz w:val="18"/>
                <w:szCs w:val="18"/>
                <w:lang w:val="fr-FR"/>
              </w:rPr>
            </w:pPr>
            <w:r w:rsidRPr="00D72746">
              <w:rPr>
                <w:rFonts w:ascii="Maiandra GD" w:hAnsi="Maiandra GD"/>
                <w:b/>
                <w:bCs/>
                <w:sz w:val="18"/>
                <w:szCs w:val="18"/>
                <w:lang w:val="fr-FR"/>
              </w:rPr>
              <w:t>Infrastructures des transports</w:t>
            </w:r>
          </w:p>
        </w:tc>
      </w:tr>
      <w:tr w:rsidR="009E4EA7" w:rsidRPr="001F08FF" w:rsidTr="00F10BC4">
        <w:tc>
          <w:tcPr>
            <w:tcW w:w="3686" w:type="dxa"/>
            <w:vAlign w:val="center"/>
          </w:tcPr>
          <w:p w:rsidR="009E4EA7" w:rsidRPr="00D72746" w:rsidRDefault="009E4EA7" w:rsidP="00F10BC4">
            <w:pPr>
              <w:pStyle w:val="ChapterNumber"/>
              <w:tabs>
                <w:tab w:val="clear" w:pos="-720"/>
              </w:tabs>
              <w:ind w:right="-21"/>
              <w:jc w:val="right"/>
              <w:rPr>
                <w:rFonts w:ascii="Maiandra GD" w:hAnsi="Maiandra GD"/>
                <w:spacing w:val="-2"/>
                <w:sz w:val="18"/>
                <w:szCs w:val="18"/>
                <w:lang w:val="fr-FR"/>
              </w:rPr>
            </w:pPr>
            <w:r w:rsidRPr="00D72746">
              <w:rPr>
                <w:rFonts w:ascii="Maiandra GD" w:hAnsi="Maiandra GD"/>
                <w:sz w:val="18"/>
                <w:szCs w:val="18"/>
                <w:lang w:val="fr-FR"/>
              </w:rPr>
              <w:t xml:space="preserve">N° de Financement du projet :     </w:t>
            </w:r>
          </w:p>
        </w:tc>
        <w:tc>
          <w:tcPr>
            <w:tcW w:w="5381" w:type="dxa"/>
            <w:vAlign w:val="center"/>
          </w:tcPr>
          <w:p w:rsidR="009E4EA7" w:rsidRPr="00D72746" w:rsidRDefault="00D72746" w:rsidP="00F10BC4">
            <w:pPr>
              <w:pStyle w:val="ChapterNumber"/>
              <w:tabs>
                <w:tab w:val="clear" w:pos="-720"/>
              </w:tabs>
              <w:ind w:hanging="53"/>
              <w:rPr>
                <w:rFonts w:ascii="Maiandra GD" w:hAnsi="Maiandra GD"/>
                <w:spacing w:val="-2"/>
                <w:sz w:val="18"/>
                <w:szCs w:val="18"/>
                <w:lang w:val="fr-FR"/>
              </w:rPr>
            </w:pPr>
            <w:r>
              <w:rPr>
                <w:rFonts w:ascii="Maiandra GD" w:hAnsi="Maiandra GD"/>
                <w:b/>
                <w:bCs/>
                <w:sz w:val="18"/>
                <w:szCs w:val="18"/>
                <w:lang w:val="fr-FR"/>
              </w:rPr>
              <w:t>CIV-1028</w:t>
            </w:r>
            <w:r w:rsidR="009E4EA7" w:rsidRPr="00D72746">
              <w:rPr>
                <w:rFonts w:ascii="Maiandra GD" w:hAnsi="Maiandra GD"/>
                <w:b/>
                <w:bCs/>
                <w:sz w:val="18"/>
                <w:szCs w:val="18"/>
                <w:lang w:val="fr-FR"/>
              </w:rPr>
              <w:t>.</w:t>
            </w:r>
          </w:p>
        </w:tc>
      </w:tr>
      <w:tr w:rsidR="009E4EA7" w:rsidRPr="00676853" w:rsidTr="00F10BC4">
        <w:tc>
          <w:tcPr>
            <w:tcW w:w="3686" w:type="dxa"/>
          </w:tcPr>
          <w:p w:rsidR="009E4EA7" w:rsidRPr="00D72746" w:rsidRDefault="009E4EA7" w:rsidP="00F10BC4">
            <w:pPr>
              <w:pStyle w:val="ChapterNumber"/>
              <w:tabs>
                <w:tab w:val="clear" w:pos="-720"/>
              </w:tabs>
              <w:ind w:right="-21"/>
              <w:jc w:val="right"/>
              <w:rPr>
                <w:rFonts w:ascii="Maiandra GD" w:hAnsi="Maiandra GD"/>
                <w:spacing w:val="-2"/>
                <w:sz w:val="18"/>
                <w:szCs w:val="18"/>
                <w:lang w:val="fr-FR"/>
              </w:rPr>
            </w:pPr>
            <w:r w:rsidRPr="00D72746">
              <w:rPr>
                <w:rFonts w:ascii="Maiandra GD" w:hAnsi="Maiandra GD"/>
                <w:sz w:val="18"/>
                <w:szCs w:val="18"/>
                <w:lang w:val="fr-FR"/>
              </w:rPr>
              <w:t>Financement :</w:t>
            </w:r>
          </w:p>
        </w:tc>
        <w:tc>
          <w:tcPr>
            <w:tcW w:w="5381" w:type="dxa"/>
            <w:vAlign w:val="center"/>
          </w:tcPr>
          <w:p w:rsidR="009E4EA7" w:rsidRPr="00D72746" w:rsidRDefault="009E4EA7" w:rsidP="00F10BC4">
            <w:pPr>
              <w:pStyle w:val="ChapterNumber"/>
              <w:tabs>
                <w:tab w:val="clear" w:pos="-720"/>
              </w:tabs>
              <w:ind w:hanging="53"/>
              <w:rPr>
                <w:rFonts w:ascii="Maiandra GD" w:hAnsi="Maiandra GD"/>
                <w:b/>
                <w:bCs/>
                <w:spacing w:val="-2"/>
                <w:sz w:val="18"/>
                <w:szCs w:val="18"/>
                <w:lang w:val="fr-FR"/>
              </w:rPr>
            </w:pPr>
            <w:r w:rsidRPr="00D72746">
              <w:rPr>
                <w:rFonts w:ascii="Maiandra GD" w:hAnsi="Maiandra GD"/>
                <w:b/>
                <w:bCs/>
                <w:sz w:val="18"/>
                <w:szCs w:val="18"/>
                <w:lang w:val="fr-FR"/>
              </w:rPr>
              <w:t>Banque Islamique de Développement et Etat de Côte d’Ivoire</w:t>
            </w:r>
          </w:p>
        </w:tc>
      </w:tr>
    </w:tbl>
    <w:p w:rsidR="009E4EA7" w:rsidRPr="001F08FF" w:rsidRDefault="009E4EA7" w:rsidP="009E4EA7">
      <w:pPr>
        <w:tabs>
          <w:tab w:val="left" w:pos="0"/>
        </w:tabs>
        <w:jc w:val="center"/>
        <w:rPr>
          <w:rFonts w:ascii="Maiandra GD" w:hAnsi="Maiandra GD"/>
          <w:b/>
          <w:lang w:val="fr-FR"/>
        </w:rPr>
      </w:pPr>
    </w:p>
    <w:p w:rsidR="009E4EA7" w:rsidRPr="00D72746" w:rsidRDefault="009E4EA7" w:rsidP="009E4EA7">
      <w:pPr>
        <w:shd w:val="clear" w:color="auto" w:fill="00B050"/>
        <w:tabs>
          <w:tab w:val="left" w:pos="0"/>
        </w:tabs>
        <w:jc w:val="center"/>
        <w:rPr>
          <w:rFonts w:ascii="Maiandra GD" w:hAnsi="Maiandra GD"/>
          <w:caps/>
          <w:sz w:val="32"/>
          <w:szCs w:val="32"/>
          <w:lang w:val="fr-CA"/>
        </w:rPr>
      </w:pPr>
      <w:r w:rsidRPr="00D72746">
        <w:rPr>
          <w:rFonts w:ascii="Maiandra GD" w:hAnsi="Maiandra GD"/>
          <w:b/>
          <w:caps/>
          <w:sz w:val="32"/>
          <w:szCs w:val="32"/>
          <w:lang w:val="fr-CA"/>
        </w:rPr>
        <w:t>AVIS Général DE PASSATION DES Marchés</w:t>
      </w:r>
    </w:p>
    <w:p w:rsidR="009E4EA7" w:rsidRPr="001F08FF" w:rsidRDefault="009E4EA7" w:rsidP="009E4EA7">
      <w:pPr>
        <w:rPr>
          <w:rFonts w:ascii="Maiandra GD" w:hAnsi="Maiandra GD"/>
          <w:spacing w:val="-2"/>
          <w:lang w:val="fr-FR"/>
        </w:rPr>
      </w:pPr>
      <w:r w:rsidRPr="001F08FF">
        <w:rPr>
          <w:rFonts w:ascii="Maiandra GD" w:hAnsi="Maiandra GD"/>
          <w:spacing w:val="-2"/>
          <w:lang w:val="fr-FR"/>
        </w:rPr>
        <w:t xml:space="preserve"> </w:t>
      </w:r>
    </w:p>
    <w:tbl>
      <w:tblPr>
        <w:tblStyle w:val="Grilledutableau"/>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396"/>
        <w:gridCol w:w="416"/>
        <w:gridCol w:w="8360"/>
        <w:gridCol w:w="570"/>
      </w:tblGrid>
      <w:tr w:rsidR="009E4EA7" w:rsidRPr="00D3045A" w:rsidTr="009E4EA7">
        <w:tc>
          <w:tcPr>
            <w:tcW w:w="846" w:type="dxa"/>
            <w:gridSpan w:val="3"/>
          </w:tcPr>
          <w:p w:rsidR="009E4EA7" w:rsidRPr="00EE1BEF" w:rsidRDefault="009E4EA7" w:rsidP="00F10BC4">
            <w:pPr>
              <w:jc w:val="right"/>
              <w:rPr>
                <w:b/>
                <w:bCs/>
                <w:sz w:val="20"/>
                <w:szCs w:val="20"/>
                <w:lang w:val="fr-FR"/>
              </w:rPr>
            </w:pPr>
            <w:r w:rsidRPr="00EE1BEF">
              <w:rPr>
                <w:b/>
                <w:bCs/>
                <w:sz w:val="20"/>
                <w:szCs w:val="20"/>
                <w:lang w:val="fr-FR"/>
              </w:rPr>
              <w:t>1.</w:t>
            </w:r>
          </w:p>
          <w:p w:rsidR="009E4EA7" w:rsidRPr="00EE1BEF" w:rsidRDefault="009E4EA7" w:rsidP="00F10BC4">
            <w:pPr>
              <w:rPr>
                <w:sz w:val="20"/>
                <w:szCs w:val="20"/>
                <w:lang w:val="fr-FR"/>
              </w:rPr>
            </w:pPr>
          </w:p>
          <w:p w:rsidR="009E4EA7" w:rsidRPr="00EE1BEF" w:rsidRDefault="009E4EA7" w:rsidP="00F10BC4">
            <w:pPr>
              <w:rPr>
                <w:sz w:val="20"/>
                <w:szCs w:val="20"/>
                <w:lang w:val="fr-FR"/>
              </w:rPr>
            </w:pPr>
          </w:p>
          <w:p w:rsidR="009E4EA7" w:rsidRPr="00EE1BEF" w:rsidRDefault="009E4EA7" w:rsidP="00F10BC4">
            <w:pPr>
              <w:rPr>
                <w:sz w:val="20"/>
                <w:szCs w:val="20"/>
                <w:lang w:val="fr-FR"/>
              </w:rPr>
            </w:pPr>
          </w:p>
          <w:p w:rsidR="009E4EA7" w:rsidRDefault="009E4EA7" w:rsidP="00F10BC4">
            <w:pPr>
              <w:rPr>
                <w:sz w:val="20"/>
                <w:szCs w:val="20"/>
                <w:lang w:val="fr-FR"/>
              </w:rPr>
            </w:pPr>
          </w:p>
          <w:p w:rsidR="00EE1BEF" w:rsidRDefault="00EE1BEF" w:rsidP="00F10BC4">
            <w:pPr>
              <w:rPr>
                <w:sz w:val="20"/>
                <w:szCs w:val="20"/>
                <w:lang w:val="fr-FR"/>
              </w:rPr>
            </w:pPr>
          </w:p>
          <w:p w:rsidR="00EE1BEF" w:rsidRPr="00EE1BEF" w:rsidRDefault="00EE1BEF" w:rsidP="00F10BC4">
            <w:pPr>
              <w:rPr>
                <w:sz w:val="20"/>
                <w:szCs w:val="20"/>
                <w:lang w:val="fr-FR"/>
              </w:rPr>
            </w:pPr>
          </w:p>
          <w:p w:rsidR="009E4EA7" w:rsidRPr="00EE1BEF" w:rsidRDefault="009E4EA7" w:rsidP="00F10BC4">
            <w:pPr>
              <w:rPr>
                <w:sz w:val="20"/>
                <w:szCs w:val="20"/>
                <w:lang w:val="fr-FR"/>
              </w:rPr>
            </w:pPr>
          </w:p>
          <w:p w:rsidR="009E4EA7" w:rsidRPr="00EE1BEF" w:rsidRDefault="00F5732E" w:rsidP="00F10BC4">
            <w:pPr>
              <w:tabs>
                <w:tab w:val="left" w:pos="300"/>
              </w:tabs>
              <w:rPr>
                <w:b/>
                <w:bCs/>
                <w:sz w:val="20"/>
                <w:szCs w:val="20"/>
                <w:lang w:val="fr-FR"/>
              </w:rPr>
            </w:pPr>
            <w:r w:rsidRPr="00EE1BEF">
              <w:rPr>
                <w:b/>
                <w:bCs/>
                <w:sz w:val="20"/>
                <w:szCs w:val="20"/>
                <w:lang w:val="fr-FR"/>
              </w:rPr>
              <w:t xml:space="preserve">    </w:t>
            </w:r>
            <w:r w:rsidR="009E4EA7" w:rsidRPr="00EE1BEF">
              <w:rPr>
                <w:b/>
                <w:bCs/>
                <w:sz w:val="20"/>
                <w:szCs w:val="20"/>
                <w:lang w:val="fr-FR"/>
              </w:rPr>
              <w:t xml:space="preserve">   2. </w:t>
            </w:r>
          </w:p>
          <w:p w:rsidR="009E4EA7" w:rsidRPr="00EE1BEF" w:rsidRDefault="009E4EA7" w:rsidP="00F10BC4">
            <w:pPr>
              <w:rPr>
                <w:b/>
                <w:bCs/>
                <w:sz w:val="20"/>
                <w:szCs w:val="20"/>
                <w:lang w:val="fr-FR"/>
              </w:rPr>
            </w:pPr>
          </w:p>
          <w:p w:rsidR="009E4EA7" w:rsidRPr="00EE1BEF" w:rsidRDefault="009E4EA7" w:rsidP="00F10BC4">
            <w:pPr>
              <w:rPr>
                <w:b/>
                <w:bCs/>
                <w:sz w:val="20"/>
                <w:szCs w:val="20"/>
                <w:lang w:val="fr-FR"/>
              </w:rPr>
            </w:pPr>
          </w:p>
          <w:p w:rsidR="009E4EA7" w:rsidRDefault="009E4EA7" w:rsidP="00F10BC4">
            <w:pPr>
              <w:rPr>
                <w:b/>
                <w:bCs/>
                <w:sz w:val="20"/>
                <w:szCs w:val="20"/>
                <w:lang w:val="fr-FR"/>
              </w:rPr>
            </w:pPr>
          </w:p>
          <w:p w:rsidR="00F5732E" w:rsidRPr="00EE1BEF" w:rsidRDefault="00F5732E" w:rsidP="00F10BC4">
            <w:pPr>
              <w:rPr>
                <w:b/>
                <w:bCs/>
                <w:sz w:val="20"/>
                <w:szCs w:val="20"/>
                <w:lang w:val="fr-FR"/>
              </w:rPr>
            </w:pPr>
          </w:p>
          <w:p w:rsidR="009E4EA7" w:rsidRPr="00EE1BEF" w:rsidRDefault="009E4EA7" w:rsidP="00F10BC4">
            <w:pPr>
              <w:tabs>
                <w:tab w:val="left" w:pos="432"/>
              </w:tabs>
              <w:rPr>
                <w:b/>
                <w:bCs/>
                <w:sz w:val="20"/>
                <w:szCs w:val="20"/>
                <w:lang w:val="fr-FR"/>
              </w:rPr>
            </w:pPr>
            <w:r w:rsidRPr="00EE1BEF">
              <w:rPr>
                <w:b/>
                <w:bCs/>
                <w:sz w:val="20"/>
                <w:szCs w:val="20"/>
                <w:lang w:val="fr-FR"/>
              </w:rPr>
              <w:t xml:space="preserve">  </w:t>
            </w:r>
            <w:r w:rsidR="00D72746" w:rsidRPr="00EE1BEF">
              <w:rPr>
                <w:b/>
                <w:bCs/>
                <w:sz w:val="20"/>
                <w:szCs w:val="20"/>
                <w:lang w:val="fr-FR"/>
              </w:rPr>
              <w:t xml:space="preserve"> </w:t>
            </w:r>
            <w:r w:rsidR="00F5732E" w:rsidRPr="00EE1BEF">
              <w:rPr>
                <w:b/>
                <w:bCs/>
                <w:sz w:val="20"/>
                <w:szCs w:val="20"/>
                <w:lang w:val="fr-FR"/>
              </w:rPr>
              <w:t xml:space="preserve">  </w:t>
            </w:r>
            <w:r w:rsidR="00D72746" w:rsidRPr="00EE1BEF">
              <w:rPr>
                <w:b/>
                <w:bCs/>
                <w:sz w:val="20"/>
                <w:szCs w:val="20"/>
                <w:lang w:val="fr-FR"/>
              </w:rPr>
              <w:t xml:space="preserve"> </w:t>
            </w:r>
            <w:r w:rsidRPr="00EE1BEF">
              <w:rPr>
                <w:b/>
                <w:bCs/>
                <w:sz w:val="20"/>
                <w:szCs w:val="20"/>
                <w:lang w:val="fr-FR"/>
              </w:rPr>
              <w:t xml:space="preserve"> 3. </w:t>
            </w:r>
          </w:p>
          <w:p w:rsidR="009E4EA7" w:rsidRPr="00EE1BEF" w:rsidRDefault="009E4EA7" w:rsidP="00F10BC4">
            <w:pPr>
              <w:rPr>
                <w:sz w:val="20"/>
                <w:szCs w:val="20"/>
                <w:lang w:val="fr-FR"/>
              </w:rPr>
            </w:pPr>
          </w:p>
          <w:p w:rsidR="00F5732E" w:rsidRPr="00EE1BEF" w:rsidRDefault="00F5732E" w:rsidP="00F10BC4">
            <w:pPr>
              <w:rPr>
                <w:sz w:val="20"/>
                <w:szCs w:val="20"/>
                <w:lang w:val="fr-FR"/>
              </w:rPr>
            </w:pPr>
          </w:p>
          <w:p w:rsidR="00F5732E" w:rsidRPr="00EE1BEF" w:rsidRDefault="00F5732E" w:rsidP="00F10BC4">
            <w:pPr>
              <w:rPr>
                <w:sz w:val="20"/>
                <w:szCs w:val="20"/>
                <w:lang w:val="fr-FR"/>
              </w:rPr>
            </w:pPr>
          </w:p>
          <w:p w:rsidR="00F5732E" w:rsidRDefault="00F5732E" w:rsidP="00F10BC4">
            <w:pPr>
              <w:rPr>
                <w:sz w:val="20"/>
                <w:szCs w:val="20"/>
                <w:lang w:val="fr-FR"/>
              </w:rPr>
            </w:pPr>
          </w:p>
          <w:p w:rsidR="00EE1BEF" w:rsidRDefault="00EE1BEF" w:rsidP="00F10BC4">
            <w:pPr>
              <w:rPr>
                <w:sz w:val="20"/>
                <w:szCs w:val="20"/>
                <w:lang w:val="fr-FR"/>
              </w:rPr>
            </w:pPr>
          </w:p>
          <w:p w:rsidR="00EE1BEF" w:rsidRPr="00EE1BEF" w:rsidRDefault="00EE1BEF" w:rsidP="00F10BC4">
            <w:pPr>
              <w:rPr>
                <w:sz w:val="20"/>
                <w:szCs w:val="20"/>
                <w:lang w:val="fr-FR"/>
              </w:rPr>
            </w:pPr>
          </w:p>
          <w:p w:rsidR="00F5732E" w:rsidRPr="00EE1BEF" w:rsidRDefault="00F5732E" w:rsidP="00F10BC4">
            <w:pPr>
              <w:rPr>
                <w:sz w:val="20"/>
                <w:szCs w:val="20"/>
                <w:lang w:val="fr-FR"/>
              </w:rPr>
            </w:pPr>
          </w:p>
          <w:p w:rsidR="009E4EA7" w:rsidRPr="00EE1BEF" w:rsidRDefault="009E4EA7" w:rsidP="00F10BC4">
            <w:pPr>
              <w:tabs>
                <w:tab w:val="left" w:pos="420"/>
              </w:tabs>
              <w:rPr>
                <w:sz w:val="20"/>
                <w:szCs w:val="20"/>
                <w:lang w:val="fr-FR"/>
              </w:rPr>
            </w:pPr>
            <w:r w:rsidRPr="00EE1BEF">
              <w:rPr>
                <w:sz w:val="20"/>
                <w:szCs w:val="20"/>
                <w:lang w:val="fr-FR"/>
              </w:rPr>
              <w:t xml:space="preserve">   </w:t>
            </w:r>
            <w:r w:rsidR="00F5732E" w:rsidRPr="00EE1BEF">
              <w:rPr>
                <w:sz w:val="20"/>
                <w:szCs w:val="20"/>
                <w:lang w:val="fr-FR"/>
              </w:rPr>
              <w:t xml:space="preserve"> </w:t>
            </w:r>
            <w:r w:rsidRPr="00EE1BEF">
              <w:rPr>
                <w:sz w:val="20"/>
                <w:szCs w:val="20"/>
                <w:lang w:val="fr-FR"/>
              </w:rPr>
              <w:t xml:space="preserve">   </w:t>
            </w:r>
            <w:r w:rsidRPr="00EE1BEF">
              <w:rPr>
                <w:b/>
                <w:bCs/>
                <w:sz w:val="20"/>
                <w:szCs w:val="20"/>
                <w:lang w:val="fr-FR"/>
              </w:rPr>
              <w:t>4.</w:t>
            </w:r>
            <w:r w:rsidRPr="00EE1BEF">
              <w:rPr>
                <w:sz w:val="20"/>
                <w:szCs w:val="20"/>
                <w:lang w:val="fr-FR"/>
              </w:rPr>
              <w:t xml:space="preserve"> </w:t>
            </w:r>
          </w:p>
        </w:tc>
        <w:tc>
          <w:tcPr>
            <w:tcW w:w="8930" w:type="dxa"/>
            <w:gridSpan w:val="2"/>
          </w:tcPr>
          <w:p w:rsidR="009E4EA7" w:rsidRPr="00D72746" w:rsidRDefault="009E4EA7" w:rsidP="00F10BC4">
            <w:pPr>
              <w:tabs>
                <w:tab w:val="left" w:pos="0"/>
              </w:tabs>
              <w:jc w:val="both"/>
              <w:rPr>
                <w:bCs/>
                <w:sz w:val="20"/>
                <w:szCs w:val="20"/>
                <w:lang w:val="fr-FR"/>
              </w:rPr>
            </w:pPr>
            <w:r w:rsidRPr="00D72746">
              <w:rPr>
                <w:b/>
                <w:sz w:val="20"/>
                <w:szCs w:val="20"/>
                <w:lang w:val="fr-FR"/>
              </w:rPr>
              <w:t>La République de Côte d’Ivoire</w:t>
            </w:r>
            <w:r w:rsidRPr="00D72746">
              <w:rPr>
                <w:bCs/>
                <w:sz w:val="20"/>
                <w:szCs w:val="20"/>
                <w:lang w:val="fr-FR"/>
              </w:rPr>
              <w:t xml:space="preserve">, a sollicité un prêt auprès de la Banque Islamique de Développement (BID) en vue du financement du </w:t>
            </w:r>
            <w:r w:rsidRPr="00D72746">
              <w:rPr>
                <w:b/>
                <w:sz w:val="20"/>
                <w:szCs w:val="20"/>
                <w:lang w:val="fr-FR"/>
              </w:rPr>
              <w:t>Projet de Construction de la Route d’Intégration du District des Montagnes : Man – Kouibly (46 km) et Guiglo – Taï (86 km)</w:t>
            </w:r>
            <w:r w:rsidRPr="00D72746">
              <w:rPr>
                <w:bCs/>
                <w:sz w:val="20"/>
                <w:szCs w:val="20"/>
                <w:lang w:val="fr-FR"/>
              </w:rPr>
              <w:t xml:space="preserve"> et à l’intention d’utiliser une partie de ce financement pour effectuer des paiements pour l’acquisition de biens, travaux et services connexes et de services de consultants nécessaires dans le cadre de ce projet. </w:t>
            </w:r>
            <w:r w:rsidRPr="00D72746">
              <w:rPr>
                <w:b/>
                <w:sz w:val="20"/>
                <w:szCs w:val="20"/>
                <w:lang w:val="fr-FR"/>
              </w:rPr>
              <w:t xml:space="preserve">Ce projet est financé conjointement par l’Etat Ivoirien pour un montant de </w:t>
            </w:r>
            <w:r w:rsidR="00473CB9" w:rsidRPr="00D72746">
              <w:rPr>
                <w:b/>
                <w:sz w:val="20"/>
                <w:szCs w:val="20"/>
                <w:lang w:val="fr-FR"/>
              </w:rPr>
              <w:t>16.5</w:t>
            </w:r>
            <w:r w:rsidRPr="00D72746">
              <w:rPr>
                <w:b/>
                <w:sz w:val="20"/>
                <w:szCs w:val="20"/>
                <w:lang w:val="fr-FR"/>
              </w:rPr>
              <w:t xml:space="preserve"> millions d’euro et la Banque Islamique de Développement pour un montant de </w:t>
            </w:r>
            <w:r w:rsidR="00C10F54" w:rsidRPr="00D72746">
              <w:rPr>
                <w:b/>
                <w:sz w:val="20"/>
                <w:szCs w:val="20"/>
                <w:lang w:val="fr-FR"/>
              </w:rPr>
              <w:t>176.58</w:t>
            </w:r>
            <w:r w:rsidRPr="00D72746">
              <w:rPr>
                <w:b/>
                <w:sz w:val="20"/>
                <w:szCs w:val="20"/>
                <w:lang w:val="fr-FR"/>
              </w:rPr>
              <w:t xml:space="preserve"> millions d’euro, ce qui porte le coût total du projet à </w:t>
            </w:r>
            <w:r w:rsidR="00C10F54" w:rsidRPr="00D72746">
              <w:rPr>
                <w:b/>
                <w:sz w:val="20"/>
                <w:szCs w:val="20"/>
                <w:lang w:val="fr-FR"/>
              </w:rPr>
              <w:t>193.08</w:t>
            </w:r>
            <w:r w:rsidRPr="00D72746">
              <w:rPr>
                <w:b/>
                <w:sz w:val="20"/>
                <w:szCs w:val="20"/>
                <w:lang w:val="fr-FR"/>
              </w:rPr>
              <w:t xml:space="preserve"> millions d’euro.</w:t>
            </w:r>
          </w:p>
          <w:p w:rsidR="009E4EA7" w:rsidRPr="00D72746" w:rsidRDefault="009E4EA7" w:rsidP="00F10BC4">
            <w:pPr>
              <w:tabs>
                <w:tab w:val="left" w:pos="0"/>
              </w:tabs>
              <w:jc w:val="both"/>
              <w:rPr>
                <w:bCs/>
                <w:sz w:val="20"/>
                <w:szCs w:val="20"/>
                <w:lang w:val="fr-FR"/>
              </w:rPr>
            </w:pPr>
          </w:p>
          <w:p w:rsidR="009E4EA7" w:rsidRPr="00D72746" w:rsidRDefault="009E4EA7" w:rsidP="00F10BC4">
            <w:pPr>
              <w:tabs>
                <w:tab w:val="left" w:pos="0"/>
              </w:tabs>
              <w:jc w:val="both"/>
              <w:rPr>
                <w:bCs/>
                <w:sz w:val="20"/>
                <w:szCs w:val="20"/>
                <w:lang w:val="fr-FR"/>
              </w:rPr>
            </w:pPr>
            <w:r w:rsidRPr="00D72746">
              <w:rPr>
                <w:bCs/>
                <w:sz w:val="20"/>
                <w:szCs w:val="20"/>
                <w:lang w:val="fr-FR"/>
              </w:rPr>
              <w:t>L’objectif général du projet est de renforcer le réseau routier national afin de faciliter les flux d’échanges économiques dans le pays. Ce projet permettra de dynamiser le potentiel économique local, de faciliter l’accès aux services de santé et de renforcer la cohésion sociale des populations. Il s’inscrit donc dans la politique du gouvernement relative à la lutte contre la pauvreté.</w:t>
            </w:r>
          </w:p>
          <w:p w:rsidR="009E4EA7" w:rsidRPr="00D72746" w:rsidRDefault="009E4EA7" w:rsidP="00F10BC4">
            <w:pPr>
              <w:tabs>
                <w:tab w:val="left" w:pos="0"/>
              </w:tabs>
              <w:jc w:val="both"/>
              <w:rPr>
                <w:bCs/>
                <w:sz w:val="20"/>
                <w:szCs w:val="20"/>
                <w:lang w:val="fr-FR"/>
              </w:rPr>
            </w:pPr>
          </w:p>
          <w:p w:rsidR="009E4EA7" w:rsidRPr="00D72746" w:rsidRDefault="009E4EA7" w:rsidP="00F10BC4">
            <w:pPr>
              <w:tabs>
                <w:tab w:val="left" w:pos="0"/>
              </w:tabs>
              <w:jc w:val="both"/>
              <w:rPr>
                <w:bCs/>
                <w:sz w:val="20"/>
                <w:szCs w:val="20"/>
                <w:lang w:val="fr-FR"/>
              </w:rPr>
            </w:pPr>
            <w:r w:rsidRPr="00D72746">
              <w:rPr>
                <w:bCs/>
                <w:sz w:val="20"/>
                <w:szCs w:val="20"/>
                <w:lang w:val="fr-FR"/>
              </w:rPr>
              <w:t>De façon spécifique, la réalisation du projet vise les objectifs suivants :</w:t>
            </w:r>
          </w:p>
          <w:p w:rsidR="009E4EA7" w:rsidRPr="00D72746" w:rsidRDefault="009E4EA7" w:rsidP="009E4EA7">
            <w:pPr>
              <w:numPr>
                <w:ilvl w:val="0"/>
                <w:numId w:val="1"/>
              </w:numPr>
              <w:tabs>
                <w:tab w:val="left" w:pos="0"/>
              </w:tabs>
              <w:jc w:val="both"/>
              <w:rPr>
                <w:bCs/>
                <w:sz w:val="20"/>
                <w:szCs w:val="20"/>
                <w:lang w:val="fr-FR"/>
              </w:rPr>
            </w:pPr>
            <w:r w:rsidRPr="00D72746">
              <w:rPr>
                <w:bCs/>
                <w:sz w:val="20"/>
                <w:szCs w:val="20"/>
                <w:lang w:val="fr-FR"/>
              </w:rPr>
              <w:t>assurer une bonne structuration du réseau routier national afin de soutenir pleinement la croissance économique du pays ;</w:t>
            </w:r>
          </w:p>
          <w:p w:rsidR="009E4EA7" w:rsidRPr="00D72746" w:rsidRDefault="009E4EA7" w:rsidP="009E4EA7">
            <w:pPr>
              <w:numPr>
                <w:ilvl w:val="0"/>
                <w:numId w:val="1"/>
              </w:numPr>
              <w:tabs>
                <w:tab w:val="left" w:pos="0"/>
              </w:tabs>
              <w:jc w:val="both"/>
              <w:rPr>
                <w:bCs/>
                <w:sz w:val="20"/>
                <w:szCs w:val="20"/>
                <w:lang w:val="fr-FR"/>
              </w:rPr>
            </w:pPr>
            <w:r w:rsidRPr="00D72746">
              <w:rPr>
                <w:bCs/>
                <w:sz w:val="20"/>
                <w:szCs w:val="20"/>
                <w:lang w:val="fr-FR"/>
              </w:rPr>
              <w:t>maintenir le réseau dans un bon état afin de diminuer les coûts d’exploitation des véhicules, d’accroître la sécurité des usagers et de faciliter la circulation des personnes et des biens ;</w:t>
            </w:r>
          </w:p>
          <w:p w:rsidR="009E4EA7" w:rsidRPr="00D72746" w:rsidRDefault="009E4EA7" w:rsidP="009E4EA7">
            <w:pPr>
              <w:numPr>
                <w:ilvl w:val="0"/>
                <w:numId w:val="1"/>
              </w:numPr>
              <w:tabs>
                <w:tab w:val="left" w:pos="0"/>
              </w:tabs>
              <w:jc w:val="both"/>
              <w:rPr>
                <w:bCs/>
                <w:sz w:val="20"/>
                <w:szCs w:val="20"/>
                <w:lang w:val="fr-FR"/>
              </w:rPr>
            </w:pPr>
            <w:r w:rsidRPr="00D72746">
              <w:rPr>
                <w:bCs/>
                <w:sz w:val="20"/>
                <w:szCs w:val="20"/>
                <w:lang w:val="fr-FR"/>
              </w:rPr>
              <w:t>désenclaver les régions qui ont des potentialités importantes en matière de production agropastorales, de richesses touristiques ou minières et de contribuer ainsi à la lutte contre la pauvreté.</w:t>
            </w:r>
          </w:p>
          <w:p w:rsidR="009E4EA7" w:rsidRPr="00D72746" w:rsidRDefault="009E4EA7" w:rsidP="00F10BC4">
            <w:pPr>
              <w:tabs>
                <w:tab w:val="left" w:pos="0"/>
              </w:tabs>
              <w:jc w:val="both"/>
              <w:rPr>
                <w:bCs/>
                <w:sz w:val="20"/>
                <w:szCs w:val="20"/>
                <w:lang w:val="fr-FR"/>
              </w:rPr>
            </w:pPr>
          </w:p>
          <w:p w:rsidR="009E4EA7" w:rsidRPr="00D72746" w:rsidRDefault="009E4EA7" w:rsidP="00F10BC4">
            <w:pPr>
              <w:tabs>
                <w:tab w:val="left" w:pos="0"/>
              </w:tabs>
              <w:jc w:val="both"/>
              <w:rPr>
                <w:b/>
                <w:sz w:val="20"/>
                <w:szCs w:val="20"/>
                <w:lang w:val="fr-FR"/>
              </w:rPr>
            </w:pPr>
            <w:r w:rsidRPr="00D72746">
              <w:rPr>
                <w:b/>
                <w:sz w:val="20"/>
                <w:szCs w:val="20"/>
                <w:lang w:val="fr-FR"/>
              </w:rPr>
              <w:t>Description du projet</w:t>
            </w:r>
          </w:p>
          <w:p w:rsidR="009E4EA7" w:rsidRPr="00D72746" w:rsidRDefault="009E4EA7" w:rsidP="00D72746">
            <w:pPr>
              <w:tabs>
                <w:tab w:val="left" w:pos="0"/>
              </w:tabs>
              <w:jc w:val="both"/>
              <w:rPr>
                <w:sz w:val="20"/>
                <w:szCs w:val="20"/>
                <w:lang w:val="fr-FR"/>
              </w:rPr>
            </w:pPr>
            <w:r w:rsidRPr="00D72746">
              <w:rPr>
                <w:bCs/>
                <w:sz w:val="20"/>
                <w:szCs w:val="20"/>
                <w:lang w:val="fr-FR"/>
              </w:rPr>
              <w:t>Le projet comporte les s</w:t>
            </w:r>
            <w:r w:rsidR="003A7F76" w:rsidRPr="00D72746">
              <w:rPr>
                <w:bCs/>
                <w:sz w:val="20"/>
                <w:szCs w:val="20"/>
                <w:lang w:val="fr-FR"/>
              </w:rPr>
              <w:t>ix</w:t>
            </w:r>
            <w:r w:rsidRPr="00D72746">
              <w:rPr>
                <w:bCs/>
                <w:sz w:val="20"/>
                <w:szCs w:val="20"/>
                <w:lang w:val="fr-FR"/>
              </w:rPr>
              <w:t xml:space="preserve"> (</w:t>
            </w:r>
            <w:r w:rsidR="003A7F76" w:rsidRPr="00D72746">
              <w:rPr>
                <w:bCs/>
                <w:sz w:val="20"/>
                <w:szCs w:val="20"/>
                <w:lang w:val="fr-FR"/>
              </w:rPr>
              <w:t>6</w:t>
            </w:r>
            <w:r w:rsidRPr="00D72746">
              <w:rPr>
                <w:bCs/>
                <w:sz w:val="20"/>
                <w:szCs w:val="20"/>
                <w:lang w:val="fr-FR"/>
              </w:rPr>
              <w:t xml:space="preserve">) </w:t>
            </w:r>
            <w:r w:rsidR="002D771F" w:rsidRPr="00D72746">
              <w:rPr>
                <w:bCs/>
                <w:sz w:val="20"/>
                <w:szCs w:val="20"/>
                <w:lang w:val="fr-FR"/>
              </w:rPr>
              <w:t>composantes suivantes</w:t>
            </w:r>
            <w:r w:rsidRPr="00D72746">
              <w:rPr>
                <w:bCs/>
                <w:sz w:val="20"/>
                <w:szCs w:val="20"/>
                <w:lang w:val="fr-FR"/>
              </w:rPr>
              <w:t xml:space="preserve"> : </w:t>
            </w:r>
          </w:p>
        </w:tc>
      </w:tr>
      <w:tr w:rsidR="009E4EA7" w:rsidRPr="00D3045A" w:rsidTr="009E4EA7">
        <w:tc>
          <w:tcPr>
            <w:tcW w:w="846" w:type="dxa"/>
            <w:gridSpan w:val="3"/>
          </w:tcPr>
          <w:p w:rsidR="009E4EA7" w:rsidRPr="00EE1BEF" w:rsidRDefault="009E4EA7" w:rsidP="00F10BC4">
            <w:pPr>
              <w:jc w:val="both"/>
              <w:rPr>
                <w:sz w:val="20"/>
                <w:szCs w:val="20"/>
                <w:lang w:val="fr-FR"/>
              </w:rPr>
            </w:pPr>
          </w:p>
        </w:tc>
        <w:tc>
          <w:tcPr>
            <w:tcW w:w="8930" w:type="dxa"/>
            <w:gridSpan w:val="2"/>
          </w:tcPr>
          <w:p w:rsidR="009E4EA7" w:rsidRPr="00D72746" w:rsidRDefault="009E4EA7" w:rsidP="00F10BC4">
            <w:pPr>
              <w:spacing w:before="60"/>
              <w:jc w:val="both"/>
              <w:rPr>
                <w:spacing w:val="-3"/>
                <w:sz w:val="20"/>
                <w:szCs w:val="20"/>
                <w:lang w:val="fr-FR"/>
              </w:rPr>
            </w:pPr>
            <w:r w:rsidRPr="00D72746">
              <w:rPr>
                <w:rFonts w:ascii="Segoe UI Symbol" w:hAnsi="Segoe UI Symbol" w:cs="Segoe UI Symbol"/>
                <w:sz w:val="20"/>
                <w:szCs w:val="20"/>
                <w:lang w:val="fr-FR"/>
              </w:rPr>
              <w:t>➢</w:t>
            </w:r>
            <w:r w:rsidRPr="00D72746">
              <w:rPr>
                <w:sz w:val="20"/>
                <w:szCs w:val="20"/>
                <w:lang w:val="fr-FR"/>
              </w:rPr>
              <w:t xml:space="preserve"> </w:t>
            </w:r>
            <w:r w:rsidRPr="00D72746">
              <w:rPr>
                <w:b/>
                <w:bCs/>
                <w:sz w:val="20"/>
                <w:szCs w:val="20"/>
                <w:lang w:val="fr-FR"/>
              </w:rPr>
              <w:t>Composante 1</w:t>
            </w:r>
            <w:r w:rsidRPr="00D72746">
              <w:rPr>
                <w:sz w:val="20"/>
                <w:szCs w:val="20"/>
                <w:lang w:val="fr-FR"/>
              </w:rPr>
              <w:t xml:space="preserve"> </w:t>
            </w:r>
            <w:r w:rsidRPr="00D72746">
              <w:rPr>
                <w:b/>
                <w:bCs/>
                <w:sz w:val="20"/>
                <w:szCs w:val="20"/>
                <w:lang w:val="fr-FR"/>
              </w:rPr>
              <w:t xml:space="preserve">(Travaux de génie civil) </w:t>
            </w:r>
            <w:r w:rsidRPr="00D72746">
              <w:rPr>
                <w:sz w:val="20"/>
                <w:szCs w:val="20"/>
                <w:lang w:val="fr-FR"/>
              </w:rPr>
              <w:t>: l</w:t>
            </w:r>
            <w:r w:rsidRPr="00D72746">
              <w:rPr>
                <w:spacing w:val="-3"/>
                <w:sz w:val="20"/>
                <w:szCs w:val="20"/>
                <w:lang w:val="fr-FR"/>
              </w:rPr>
              <w:t>’aménagement et le bitumage de routes d’une longueur totale de 132 km suivant les standards de la CEDEAO :</w:t>
            </w:r>
          </w:p>
          <w:p w:rsidR="009E4EA7" w:rsidRPr="00D72746" w:rsidRDefault="009E4EA7" w:rsidP="009E4EA7">
            <w:pPr>
              <w:pStyle w:val="Paragraphedeliste"/>
              <w:widowControl w:val="0"/>
              <w:numPr>
                <w:ilvl w:val="0"/>
                <w:numId w:val="2"/>
              </w:numPr>
              <w:tabs>
                <w:tab w:val="left" w:pos="388"/>
              </w:tabs>
              <w:autoSpaceDE w:val="0"/>
              <w:autoSpaceDN w:val="0"/>
              <w:ind w:left="328" w:right="638" w:hanging="142"/>
              <w:jc w:val="both"/>
              <w:rPr>
                <w:spacing w:val="-3"/>
                <w:sz w:val="20"/>
                <w:szCs w:val="20"/>
                <w:lang w:val="fr-FR"/>
              </w:rPr>
            </w:pPr>
            <w:r w:rsidRPr="00D72746">
              <w:rPr>
                <w:spacing w:val="-3"/>
                <w:sz w:val="20"/>
                <w:szCs w:val="20"/>
                <w:lang w:val="fr-FR"/>
              </w:rPr>
              <w:t xml:space="preserve">Man – Kouibly </w:t>
            </w:r>
          </w:p>
          <w:p w:rsidR="009E4EA7" w:rsidRPr="00D72746" w:rsidRDefault="009E4EA7" w:rsidP="009E4EA7">
            <w:pPr>
              <w:pStyle w:val="Paragraphedeliste"/>
              <w:widowControl w:val="0"/>
              <w:numPr>
                <w:ilvl w:val="0"/>
                <w:numId w:val="2"/>
              </w:numPr>
              <w:tabs>
                <w:tab w:val="left" w:pos="388"/>
              </w:tabs>
              <w:autoSpaceDE w:val="0"/>
              <w:autoSpaceDN w:val="0"/>
              <w:ind w:left="328" w:right="638" w:hanging="142"/>
              <w:jc w:val="both"/>
              <w:rPr>
                <w:spacing w:val="-3"/>
                <w:sz w:val="20"/>
                <w:szCs w:val="20"/>
                <w:lang w:val="fr-FR"/>
              </w:rPr>
            </w:pPr>
            <w:r w:rsidRPr="00D72746">
              <w:rPr>
                <w:spacing w:val="-3"/>
                <w:sz w:val="20"/>
                <w:szCs w:val="20"/>
                <w:lang w:val="fr-FR"/>
              </w:rPr>
              <w:t>Guiglo – Zagné  </w:t>
            </w:r>
          </w:p>
          <w:p w:rsidR="009E4EA7" w:rsidRPr="00D72746" w:rsidRDefault="009E4EA7" w:rsidP="009E4EA7">
            <w:pPr>
              <w:pStyle w:val="Paragraphedeliste"/>
              <w:widowControl w:val="0"/>
              <w:numPr>
                <w:ilvl w:val="0"/>
                <w:numId w:val="2"/>
              </w:numPr>
              <w:tabs>
                <w:tab w:val="left" w:pos="388"/>
              </w:tabs>
              <w:autoSpaceDE w:val="0"/>
              <w:autoSpaceDN w:val="0"/>
              <w:ind w:left="328" w:right="638" w:hanging="142"/>
              <w:jc w:val="both"/>
              <w:rPr>
                <w:spacing w:val="-3"/>
                <w:sz w:val="20"/>
                <w:szCs w:val="20"/>
                <w:lang w:val="fr-FR"/>
              </w:rPr>
            </w:pPr>
            <w:r w:rsidRPr="00D72746">
              <w:rPr>
                <w:spacing w:val="-3"/>
                <w:sz w:val="20"/>
                <w:szCs w:val="20"/>
                <w:lang w:val="fr-FR"/>
              </w:rPr>
              <w:t>Zagné – Taï</w:t>
            </w:r>
          </w:p>
          <w:p w:rsidR="009E4EA7" w:rsidRPr="00D72746" w:rsidRDefault="009E4EA7" w:rsidP="00F10BC4">
            <w:pPr>
              <w:jc w:val="both"/>
              <w:rPr>
                <w:sz w:val="20"/>
                <w:szCs w:val="20"/>
                <w:lang w:val="fr-FR"/>
              </w:rPr>
            </w:pPr>
          </w:p>
          <w:p w:rsidR="009E4EA7" w:rsidRPr="00D72746" w:rsidRDefault="009E4EA7" w:rsidP="00F10BC4">
            <w:pPr>
              <w:pStyle w:val="Paragraphedeliste"/>
              <w:spacing w:before="60" w:after="120"/>
              <w:ind w:left="0"/>
              <w:contextualSpacing w:val="0"/>
              <w:jc w:val="both"/>
              <w:rPr>
                <w:spacing w:val="-3"/>
                <w:sz w:val="20"/>
                <w:szCs w:val="20"/>
                <w:lang w:val="fr-FR"/>
              </w:rPr>
            </w:pPr>
            <w:r w:rsidRPr="00D72746">
              <w:rPr>
                <w:rFonts w:ascii="Segoe UI Symbol" w:hAnsi="Segoe UI Symbol" w:cs="Segoe UI Symbol"/>
                <w:sz w:val="20"/>
                <w:szCs w:val="20"/>
                <w:lang w:val="fr-FR"/>
              </w:rPr>
              <w:t>➢</w:t>
            </w:r>
            <w:r w:rsidRPr="00D72746">
              <w:rPr>
                <w:sz w:val="20"/>
                <w:szCs w:val="20"/>
                <w:lang w:val="fr-FR"/>
              </w:rPr>
              <w:t xml:space="preserve"> </w:t>
            </w:r>
            <w:r w:rsidRPr="00D72746">
              <w:rPr>
                <w:b/>
                <w:bCs/>
                <w:sz w:val="20"/>
                <w:szCs w:val="20"/>
                <w:lang w:val="fr-FR"/>
              </w:rPr>
              <w:t>Composante 2 (Activités connexes) :</w:t>
            </w:r>
            <w:r w:rsidRPr="00D72746">
              <w:rPr>
                <w:sz w:val="20"/>
                <w:szCs w:val="20"/>
                <w:lang w:val="fr-FR"/>
              </w:rPr>
              <w:t xml:space="preserve"> l</w:t>
            </w:r>
            <w:r w:rsidRPr="00D72746">
              <w:rPr>
                <w:spacing w:val="-3"/>
                <w:sz w:val="20"/>
                <w:szCs w:val="20"/>
                <w:lang w:val="fr-FR"/>
              </w:rPr>
              <w:t>a réalisation des activités connexes aura un effet multiplicateur de l’impact du projet. Leur identification s’appuie d’une part sur les études environnementales du projet et d’autre part sur les doléances et attentes des populations. Ces activités concernent entre autres :</w:t>
            </w:r>
          </w:p>
          <w:p w:rsidR="009E4EA7" w:rsidRPr="00D72746" w:rsidRDefault="009E4EA7" w:rsidP="00F10BC4">
            <w:pPr>
              <w:jc w:val="both"/>
              <w:rPr>
                <w:sz w:val="20"/>
                <w:szCs w:val="20"/>
                <w:lang w:val="fr-FR"/>
              </w:rPr>
            </w:pPr>
            <w:r w:rsidRPr="00D72746">
              <w:rPr>
                <w:sz w:val="20"/>
                <w:szCs w:val="20"/>
                <w:lang w:val="fr-FR"/>
              </w:rPr>
              <w:t>Travaux connexes : Lot 1 : Bâtiments</w:t>
            </w:r>
          </w:p>
          <w:p w:rsidR="009E4EA7" w:rsidRPr="00D72746" w:rsidRDefault="009E4EA7" w:rsidP="00F10BC4">
            <w:pPr>
              <w:jc w:val="both"/>
              <w:rPr>
                <w:sz w:val="20"/>
                <w:szCs w:val="20"/>
                <w:lang w:val="fr-FR"/>
              </w:rPr>
            </w:pPr>
            <w:r w:rsidRPr="00D72746">
              <w:rPr>
                <w:sz w:val="20"/>
                <w:szCs w:val="20"/>
                <w:lang w:val="fr-FR"/>
              </w:rPr>
              <w:t>Construction / réhabilitation de salles de classes, centre de santé, logement du personnel, clôtures, cantines, latrines, marchés, centres multifonctionnels.</w:t>
            </w:r>
          </w:p>
          <w:p w:rsidR="009E4EA7" w:rsidRPr="00D72746" w:rsidRDefault="009E4EA7" w:rsidP="00F10BC4">
            <w:pPr>
              <w:jc w:val="both"/>
              <w:rPr>
                <w:sz w:val="20"/>
                <w:szCs w:val="20"/>
                <w:lang w:val="fr-FR"/>
              </w:rPr>
            </w:pPr>
          </w:p>
          <w:p w:rsidR="009E4EA7" w:rsidRPr="00D72746" w:rsidRDefault="009E4EA7" w:rsidP="00F10BC4">
            <w:pPr>
              <w:jc w:val="both"/>
              <w:rPr>
                <w:sz w:val="20"/>
                <w:szCs w:val="20"/>
                <w:lang w:val="fr-FR"/>
              </w:rPr>
            </w:pPr>
            <w:r w:rsidRPr="00D72746">
              <w:rPr>
                <w:sz w:val="20"/>
                <w:szCs w:val="20"/>
                <w:lang w:val="fr-FR"/>
              </w:rPr>
              <w:t>Travaux connexes : Lot 2 : Routes et plateformes</w:t>
            </w:r>
          </w:p>
          <w:p w:rsidR="009E4EA7" w:rsidRPr="00D72746" w:rsidRDefault="009E4EA7" w:rsidP="00F10BC4">
            <w:pPr>
              <w:jc w:val="both"/>
              <w:rPr>
                <w:sz w:val="20"/>
                <w:szCs w:val="20"/>
                <w:lang w:val="fr-FR"/>
              </w:rPr>
            </w:pPr>
            <w:r w:rsidRPr="00D72746">
              <w:rPr>
                <w:sz w:val="20"/>
                <w:szCs w:val="20"/>
                <w:lang w:val="fr-FR"/>
              </w:rPr>
              <w:t>Aménagement / réhabilitation de routes, gare routière, aires de stationnement y/c poste de pesage</w:t>
            </w:r>
          </w:p>
          <w:p w:rsidR="009E4EA7" w:rsidRPr="00D72746" w:rsidRDefault="009E4EA7" w:rsidP="00F10BC4">
            <w:pPr>
              <w:jc w:val="both"/>
              <w:rPr>
                <w:sz w:val="20"/>
                <w:szCs w:val="20"/>
                <w:lang w:val="fr-FR"/>
              </w:rPr>
            </w:pPr>
          </w:p>
          <w:p w:rsidR="009E4EA7" w:rsidRPr="00D72746" w:rsidRDefault="009E4EA7" w:rsidP="00F10BC4">
            <w:pPr>
              <w:jc w:val="both"/>
              <w:rPr>
                <w:sz w:val="20"/>
                <w:szCs w:val="20"/>
                <w:lang w:val="fr-FR"/>
              </w:rPr>
            </w:pPr>
            <w:r w:rsidRPr="00D72746">
              <w:rPr>
                <w:sz w:val="20"/>
                <w:szCs w:val="20"/>
                <w:lang w:val="fr-FR"/>
              </w:rPr>
              <w:t>Travaux connexes _ Lot 3 : Forages</w:t>
            </w:r>
          </w:p>
          <w:p w:rsidR="009E4EA7" w:rsidRPr="00D72746" w:rsidRDefault="009E4EA7" w:rsidP="009E4EA7">
            <w:pPr>
              <w:pStyle w:val="Paragraphedeliste"/>
              <w:numPr>
                <w:ilvl w:val="0"/>
                <w:numId w:val="2"/>
              </w:numPr>
              <w:jc w:val="both"/>
              <w:rPr>
                <w:sz w:val="20"/>
                <w:szCs w:val="20"/>
                <w:lang w:val="fr-FR"/>
              </w:rPr>
            </w:pPr>
            <w:r w:rsidRPr="00D72746">
              <w:rPr>
                <w:sz w:val="20"/>
                <w:szCs w:val="20"/>
                <w:lang w:val="fr-FR"/>
              </w:rPr>
              <w:t>Acquisition d'ambulances</w:t>
            </w:r>
          </w:p>
          <w:p w:rsidR="009E4EA7" w:rsidRPr="00D72746" w:rsidRDefault="009E4EA7" w:rsidP="009E4EA7">
            <w:pPr>
              <w:pStyle w:val="Paragraphedeliste"/>
              <w:numPr>
                <w:ilvl w:val="0"/>
                <w:numId w:val="2"/>
              </w:numPr>
              <w:jc w:val="both"/>
              <w:rPr>
                <w:sz w:val="20"/>
                <w:szCs w:val="20"/>
                <w:lang w:val="fr-FR"/>
              </w:rPr>
            </w:pPr>
            <w:r w:rsidRPr="00D72746">
              <w:rPr>
                <w:sz w:val="20"/>
                <w:szCs w:val="20"/>
                <w:lang w:val="fr-FR"/>
              </w:rPr>
              <w:t>Fourniture d'équipements biomédicaux</w:t>
            </w:r>
          </w:p>
          <w:p w:rsidR="009E4EA7" w:rsidRPr="00D72746" w:rsidRDefault="009E4EA7" w:rsidP="009E4EA7">
            <w:pPr>
              <w:pStyle w:val="Paragraphedeliste"/>
              <w:numPr>
                <w:ilvl w:val="0"/>
                <w:numId w:val="2"/>
              </w:numPr>
              <w:jc w:val="both"/>
              <w:rPr>
                <w:sz w:val="20"/>
                <w:szCs w:val="20"/>
                <w:lang w:val="fr-FR"/>
              </w:rPr>
            </w:pPr>
            <w:r w:rsidRPr="00D72746">
              <w:rPr>
                <w:sz w:val="20"/>
                <w:szCs w:val="20"/>
                <w:lang w:val="fr-FR"/>
              </w:rPr>
              <w:t>Fourniture d'équipement de pesage mobile</w:t>
            </w:r>
          </w:p>
          <w:p w:rsidR="009E4EA7" w:rsidRPr="00D72746" w:rsidRDefault="009E4EA7" w:rsidP="009E4EA7">
            <w:pPr>
              <w:pStyle w:val="Paragraphedeliste"/>
              <w:numPr>
                <w:ilvl w:val="0"/>
                <w:numId w:val="2"/>
              </w:numPr>
              <w:jc w:val="both"/>
              <w:rPr>
                <w:sz w:val="20"/>
                <w:szCs w:val="20"/>
                <w:lang w:val="fr-FR"/>
              </w:rPr>
            </w:pPr>
            <w:r w:rsidRPr="00D72746">
              <w:rPr>
                <w:sz w:val="20"/>
                <w:szCs w:val="20"/>
                <w:lang w:val="fr-FR"/>
              </w:rPr>
              <w:t>Fourniture d'équipements pour l’Unité d'Intervention d'Urgence pour assurer la durabilité des Routes dans le District des Montagnes</w:t>
            </w:r>
          </w:p>
          <w:p w:rsidR="009E4EA7" w:rsidRPr="00D72746" w:rsidRDefault="009E4EA7" w:rsidP="00F10BC4">
            <w:pPr>
              <w:jc w:val="both"/>
              <w:rPr>
                <w:sz w:val="20"/>
                <w:szCs w:val="20"/>
                <w:lang w:val="fr-FR"/>
              </w:rPr>
            </w:pPr>
          </w:p>
          <w:p w:rsidR="009E4EA7" w:rsidRPr="00D72746" w:rsidRDefault="009E4EA7" w:rsidP="00F10BC4">
            <w:pPr>
              <w:jc w:val="both"/>
              <w:rPr>
                <w:bCs/>
                <w:sz w:val="20"/>
                <w:szCs w:val="20"/>
                <w:lang w:val="fr-FR"/>
              </w:rPr>
            </w:pPr>
            <w:r w:rsidRPr="00D72746">
              <w:rPr>
                <w:sz w:val="20"/>
                <w:szCs w:val="20"/>
                <w:lang w:val="fr-FR"/>
              </w:rPr>
              <w:t xml:space="preserve"> </w:t>
            </w:r>
            <w:r w:rsidRPr="00D72746">
              <w:rPr>
                <w:rFonts w:ascii="Segoe UI Symbol" w:hAnsi="Segoe UI Symbol" w:cs="Segoe UI Symbol"/>
                <w:sz w:val="20"/>
                <w:szCs w:val="20"/>
                <w:lang w:val="fr-FR"/>
              </w:rPr>
              <w:t>➢</w:t>
            </w:r>
            <w:r w:rsidRPr="00D72746">
              <w:rPr>
                <w:sz w:val="20"/>
                <w:szCs w:val="20"/>
                <w:lang w:val="fr-FR"/>
              </w:rPr>
              <w:t xml:space="preserve"> </w:t>
            </w:r>
            <w:r w:rsidRPr="00D72746">
              <w:rPr>
                <w:b/>
                <w:bCs/>
                <w:sz w:val="20"/>
                <w:szCs w:val="20"/>
                <w:lang w:val="fr-FR"/>
              </w:rPr>
              <w:t xml:space="preserve">Composante 3 (Contrôle et surveillance des travaux) : </w:t>
            </w:r>
            <w:r w:rsidRPr="00D72746">
              <w:rPr>
                <w:bCs/>
                <w:sz w:val="20"/>
                <w:szCs w:val="20"/>
                <w:lang w:val="fr-FR"/>
              </w:rPr>
              <w:t xml:space="preserve">les prestations de contrôle et de surveillance des travaux comprendront : </w:t>
            </w:r>
          </w:p>
          <w:p w:rsidR="009E4EA7" w:rsidRPr="00D72746" w:rsidRDefault="009E4EA7" w:rsidP="00F10BC4">
            <w:pPr>
              <w:jc w:val="both"/>
              <w:rPr>
                <w:bCs/>
                <w:sz w:val="20"/>
                <w:szCs w:val="20"/>
                <w:lang w:val="fr-FR"/>
              </w:rPr>
            </w:pPr>
            <w:r w:rsidRPr="00D72746">
              <w:rPr>
                <w:bCs/>
                <w:sz w:val="20"/>
                <w:szCs w:val="20"/>
                <w:lang w:val="fr-FR"/>
              </w:rPr>
              <w:t>(i)</w:t>
            </w:r>
            <w:r w:rsidRPr="00D72746">
              <w:rPr>
                <w:bCs/>
                <w:sz w:val="20"/>
                <w:szCs w:val="20"/>
                <w:lang w:val="fr-FR"/>
              </w:rPr>
              <w:tab/>
              <w:t xml:space="preserve">le suivi technique, administratif et financier de l’exécution des travaux ; </w:t>
            </w:r>
          </w:p>
          <w:p w:rsidR="009E4EA7" w:rsidRPr="00D72746" w:rsidRDefault="009E4EA7" w:rsidP="00F10BC4">
            <w:pPr>
              <w:jc w:val="both"/>
              <w:rPr>
                <w:bCs/>
                <w:sz w:val="20"/>
                <w:szCs w:val="20"/>
                <w:lang w:val="fr-FR"/>
              </w:rPr>
            </w:pPr>
            <w:r w:rsidRPr="00D72746">
              <w:rPr>
                <w:bCs/>
                <w:sz w:val="20"/>
                <w:szCs w:val="20"/>
                <w:lang w:val="fr-FR"/>
              </w:rPr>
              <w:t>(ii)</w:t>
            </w:r>
            <w:r w:rsidRPr="00D72746">
              <w:rPr>
                <w:bCs/>
                <w:sz w:val="20"/>
                <w:szCs w:val="20"/>
                <w:lang w:val="fr-FR"/>
              </w:rPr>
              <w:tab/>
              <w:t xml:space="preserve">la vérification des notes de calcul détaillées et la validation des dossiers    </w:t>
            </w:r>
          </w:p>
          <w:p w:rsidR="009E4EA7" w:rsidRPr="00D72746" w:rsidRDefault="009E4EA7" w:rsidP="00F10BC4">
            <w:pPr>
              <w:jc w:val="both"/>
              <w:rPr>
                <w:bCs/>
                <w:sz w:val="20"/>
                <w:szCs w:val="20"/>
                <w:lang w:val="fr-FR"/>
              </w:rPr>
            </w:pPr>
            <w:r w:rsidRPr="00D72746">
              <w:rPr>
                <w:bCs/>
                <w:sz w:val="20"/>
                <w:szCs w:val="20"/>
                <w:lang w:val="fr-FR"/>
              </w:rPr>
              <w:t xml:space="preserve">          d’exécution des travaux ; </w:t>
            </w:r>
          </w:p>
          <w:p w:rsidR="009E4EA7" w:rsidRPr="00D72746" w:rsidRDefault="009E4EA7" w:rsidP="00F10BC4">
            <w:pPr>
              <w:jc w:val="both"/>
              <w:rPr>
                <w:bCs/>
                <w:sz w:val="20"/>
                <w:szCs w:val="20"/>
                <w:lang w:val="fr-FR"/>
              </w:rPr>
            </w:pPr>
            <w:r w:rsidRPr="00D72746">
              <w:rPr>
                <w:bCs/>
                <w:sz w:val="20"/>
                <w:szCs w:val="20"/>
                <w:lang w:val="fr-FR"/>
              </w:rPr>
              <w:t>(iii)</w:t>
            </w:r>
            <w:r w:rsidRPr="00D72746">
              <w:rPr>
                <w:bCs/>
                <w:sz w:val="20"/>
                <w:szCs w:val="20"/>
                <w:lang w:val="fr-FR"/>
              </w:rPr>
              <w:tab/>
              <w:t xml:space="preserve">le contrôle de la qualité des travaux et des quantités mises en œuvre ; </w:t>
            </w:r>
          </w:p>
          <w:p w:rsidR="009E4EA7" w:rsidRPr="00D72746" w:rsidRDefault="009E4EA7" w:rsidP="00F10BC4">
            <w:pPr>
              <w:jc w:val="both"/>
              <w:rPr>
                <w:bCs/>
                <w:sz w:val="20"/>
                <w:szCs w:val="20"/>
                <w:lang w:val="fr-FR"/>
              </w:rPr>
            </w:pPr>
            <w:r w:rsidRPr="00D72746">
              <w:rPr>
                <w:bCs/>
                <w:sz w:val="20"/>
                <w:szCs w:val="20"/>
                <w:lang w:val="fr-FR"/>
              </w:rPr>
              <w:t>(iv)</w:t>
            </w:r>
            <w:r w:rsidRPr="00D72746">
              <w:rPr>
                <w:bCs/>
                <w:sz w:val="20"/>
                <w:szCs w:val="20"/>
                <w:lang w:val="fr-FR"/>
              </w:rPr>
              <w:tab/>
              <w:t xml:space="preserve">le contrôle et le suivi de la mise en œuvre des mesures environnementales et </w:t>
            </w:r>
          </w:p>
          <w:p w:rsidR="009E4EA7" w:rsidRPr="00D72746" w:rsidRDefault="009E4EA7" w:rsidP="00F10BC4">
            <w:pPr>
              <w:jc w:val="both"/>
              <w:rPr>
                <w:sz w:val="20"/>
                <w:szCs w:val="20"/>
                <w:lang w:val="fr-FR"/>
              </w:rPr>
            </w:pPr>
            <w:r w:rsidRPr="00D72746">
              <w:rPr>
                <w:bCs/>
                <w:sz w:val="20"/>
                <w:szCs w:val="20"/>
                <w:lang w:val="fr-FR"/>
              </w:rPr>
              <w:t xml:space="preserve">          sociales du projet.</w:t>
            </w:r>
          </w:p>
          <w:p w:rsidR="009E4EA7" w:rsidRPr="00D72746" w:rsidRDefault="009E4EA7" w:rsidP="00F10BC4">
            <w:pPr>
              <w:jc w:val="both"/>
              <w:rPr>
                <w:sz w:val="20"/>
                <w:szCs w:val="20"/>
                <w:lang w:val="fr-FR"/>
              </w:rPr>
            </w:pPr>
          </w:p>
          <w:p w:rsidR="009E4EA7" w:rsidRPr="00D72746" w:rsidRDefault="009E4EA7" w:rsidP="00F10BC4">
            <w:pPr>
              <w:jc w:val="both"/>
              <w:rPr>
                <w:bCs/>
                <w:sz w:val="20"/>
                <w:szCs w:val="20"/>
                <w:lang w:val="fr-FR"/>
              </w:rPr>
            </w:pPr>
            <w:r w:rsidRPr="00D72746">
              <w:rPr>
                <w:sz w:val="20"/>
                <w:szCs w:val="20"/>
                <w:lang w:val="fr-FR"/>
              </w:rPr>
              <w:t xml:space="preserve"> </w:t>
            </w:r>
            <w:r w:rsidRPr="00D72746">
              <w:rPr>
                <w:rFonts w:ascii="Segoe UI Symbol" w:hAnsi="Segoe UI Symbol" w:cs="Segoe UI Symbol"/>
                <w:sz w:val="20"/>
                <w:szCs w:val="20"/>
                <w:lang w:val="fr-FR"/>
              </w:rPr>
              <w:t>➢</w:t>
            </w:r>
            <w:r w:rsidRPr="00D72746">
              <w:rPr>
                <w:sz w:val="20"/>
                <w:szCs w:val="20"/>
                <w:lang w:val="fr-FR"/>
              </w:rPr>
              <w:t xml:space="preserve"> </w:t>
            </w:r>
            <w:r w:rsidRPr="00D72746">
              <w:rPr>
                <w:b/>
                <w:bCs/>
                <w:sz w:val="20"/>
                <w:szCs w:val="20"/>
                <w:lang w:val="fr-FR"/>
              </w:rPr>
              <w:t xml:space="preserve">Composante 4 (Etudes de faisabilité routière) : </w:t>
            </w:r>
            <w:r w:rsidRPr="00D72746">
              <w:rPr>
                <w:bCs/>
                <w:sz w:val="20"/>
                <w:szCs w:val="20"/>
                <w:lang w:val="fr-FR"/>
              </w:rPr>
              <w:t>Cette composante financera les études de faisabilité de la prochaine génération de projets d'infrastructures de transport à inclure dans le pipeline. Les trois projets suivants ont été proposés :</w:t>
            </w:r>
          </w:p>
          <w:p w:rsidR="009E4EA7" w:rsidRPr="00D72746" w:rsidRDefault="009E4EA7" w:rsidP="009E4EA7">
            <w:pPr>
              <w:pStyle w:val="Paragraphedeliste"/>
              <w:numPr>
                <w:ilvl w:val="0"/>
                <w:numId w:val="3"/>
              </w:numPr>
              <w:jc w:val="both"/>
              <w:rPr>
                <w:bCs/>
                <w:sz w:val="20"/>
                <w:szCs w:val="20"/>
                <w:lang w:val="fr-FR"/>
              </w:rPr>
            </w:pPr>
            <w:r w:rsidRPr="00D72746">
              <w:rPr>
                <w:bCs/>
                <w:sz w:val="20"/>
                <w:szCs w:val="20"/>
                <w:lang w:val="fr-FR"/>
              </w:rPr>
              <w:t>Route Kouibly – Vavoua (136 km) ;</w:t>
            </w:r>
          </w:p>
          <w:p w:rsidR="009E4EA7" w:rsidRPr="00D72746" w:rsidRDefault="009E4EA7" w:rsidP="009E4EA7">
            <w:pPr>
              <w:pStyle w:val="Paragraphedeliste"/>
              <w:numPr>
                <w:ilvl w:val="0"/>
                <w:numId w:val="3"/>
              </w:numPr>
              <w:jc w:val="both"/>
              <w:rPr>
                <w:bCs/>
                <w:sz w:val="20"/>
                <w:szCs w:val="20"/>
                <w:lang w:val="fr-FR"/>
              </w:rPr>
            </w:pPr>
            <w:r w:rsidRPr="00D72746">
              <w:rPr>
                <w:bCs/>
                <w:sz w:val="20"/>
                <w:szCs w:val="20"/>
                <w:lang w:val="fr-FR"/>
              </w:rPr>
              <w:t>Talwegs à Abobo et Yopougon ;</w:t>
            </w:r>
          </w:p>
          <w:p w:rsidR="009E4EA7" w:rsidRPr="00D72746" w:rsidRDefault="009E4EA7" w:rsidP="009E4EA7">
            <w:pPr>
              <w:pStyle w:val="Paragraphedeliste"/>
              <w:numPr>
                <w:ilvl w:val="0"/>
                <w:numId w:val="3"/>
              </w:numPr>
              <w:jc w:val="both"/>
              <w:rPr>
                <w:bCs/>
                <w:sz w:val="20"/>
                <w:szCs w:val="20"/>
                <w:lang w:val="fr-FR"/>
              </w:rPr>
            </w:pPr>
            <w:r w:rsidRPr="00D72746">
              <w:rPr>
                <w:bCs/>
                <w:sz w:val="20"/>
                <w:szCs w:val="20"/>
                <w:lang w:val="fr-FR"/>
              </w:rPr>
              <w:t>Autoroute de contournement de Bingerville (35 km).</w:t>
            </w:r>
          </w:p>
          <w:p w:rsidR="009E4EA7" w:rsidRPr="00D72746" w:rsidRDefault="009E4EA7" w:rsidP="00F10BC4">
            <w:pPr>
              <w:pStyle w:val="Paragraphedeliste"/>
              <w:jc w:val="both"/>
              <w:rPr>
                <w:sz w:val="20"/>
                <w:szCs w:val="20"/>
                <w:lang w:val="fr-FR"/>
              </w:rPr>
            </w:pPr>
          </w:p>
          <w:p w:rsidR="009E4EA7" w:rsidRPr="00D72746" w:rsidRDefault="009E4EA7" w:rsidP="00F10BC4">
            <w:pPr>
              <w:jc w:val="both"/>
              <w:rPr>
                <w:bCs/>
                <w:sz w:val="20"/>
                <w:szCs w:val="20"/>
                <w:lang w:val="fr-FR"/>
              </w:rPr>
            </w:pPr>
            <w:r w:rsidRPr="00D72746">
              <w:rPr>
                <w:sz w:val="20"/>
                <w:szCs w:val="20"/>
                <w:lang w:val="fr-FR"/>
              </w:rPr>
              <w:t xml:space="preserve"> </w:t>
            </w:r>
            <w:r w:rsidRPr="00D72746">
              <w:rPr>
                <w:rFonts w:ascii="Segoe UI Symbol" w:hAnsi="Segoe UI Symbol" w:cs="Segoe UI Symbol"/>
                <w:sz w:val="20"/>
                <w:szCs w:val="20"/>
                <w:lang w:val="fr-FR"/>
              </w:rPr>
              <w:t>➢</w:t>
            </w:r>
            <w:r w:rsidRPr="00D72746">
              <w:rPr>
                <w:sz w:val="20"/>
                <w:szCs w:val="20"/>
                <w:lang w:val="fr-FR"/>
              </w:rPr>
              <w:t xml:space="preserve"> </w:t>
            </w:r>
            <w:r w:rsidRPr="00D72746">
              <w:rPr>
                <w:b/>
                <w:bCs/>
                <w:sz w:val="20"/>
                <w:szCs w:val="20"/>
                <w:lang w:val="fr-FR"/>
              </w:rPr>
              <w:t>Composante 5 (Appui institutionnel et Unité de Gestion du Projet (UGP) :</w:t>
            </w:r>
            <w:r w:rsidRPr="00D72746">
              <w:rPr>
                <w:b/>
                <w:bCs/>
                <w:sz w:val="20"/>
                <w:szCs w:val="20"/>
                <w:lang w:val="fr-FR"/>
              </w:rPr>
              <w:tab/>
              <w:t xml:space="preserve"> </w:t>
            </w:r>
            <w:r w:rsidRPr="00D72746">
              <w:rPr>
                <w:bCs/>
                <w:sz w:val="20"/>
                <w:szCs w:val="20"/>
                <w:lang w:val="fr-FR"/>
              </w:rPr>
              <w:t>Ce volet comprend :</w:t>
            </w:r>
          </w:p>
          <w:p w:rsidR="009E4EA7" w:rsidRPr="00D72746" w:rsidRDefault="009E4EA7" w:rsidP="009E4EA7">
            <w:pPr>
              <w:pStyle w:val="Paragraphedeliste"/>
              <w:numPr>
                <w:ilvl w:val="0"/>
                <w:numId w:val="4"/>
              </w:numPr>
              <w:jc w:val="both"/>
              <w:rPr>
                <w:bCs/>
                <w:sz w:val="20"/>
                <w:szCs w:val="20"/>
                <w:lang w:val="fr-FR"/>
              </w:rPr>
            </w:pPr>
            <w:r w:rsidRPr="00D72746">
              <w:rPr>
                <w:bCs/>
                <w:sz w:val="20"/>
                <w:szCs w:val="20"/>
                <w:lang w:val="fr-FR"/>
              </w:rPr>
              <w:t>les rémunérations du personnel de l’UGP ;</w:t>
            </w:r>
          </w:p>
          <w:p w:rsidR="009E4EA7" w:rsidRPr="00D72746" w:rsidRDefault="009E4EA7" w:rsidP="009E4EA7">
            <w:pPr>
              <w:pStyle w:val="Paragraphedeliste"/>
              <w:numPr>
                <w:ilvl w:val="0"/>
                <w:numId w:val="4"/>
              </w:numPr>
              <w:jc w:val="both"/>
              <w:rPr>
                <w:bCs/>
                <w:sz w:val="20"/>
                <w:szCs w:val="20"/>
                <w:lang w:val="fr-FR"/>
              </w:rPr>
            </w:pPr>
            <w:r w:rsidRPr="00D72746">
              <w:rPr>
                <w:bCs/>
                <w:sz w:val="20"/>
                <w:szCs w:val="20"/>
                <w:lang w:val="fr-FR"/>
              </w:rPr>
              <w:t>l’acquisition d’équipements et mobiliers de bureaux ;</w:t>
            </w:r>
          </w:p>
          <w:p w:rsidR="009E4EA7" w:rsidRPr="00D72746" w:rsidRDefault="009E4EA7" w:rsidP="009E4EA7">
            <w:pPr>
              <w:pStyle w:val="Paragraphedeliste"/>
              <w:numPr>
                <w:ilvl w:val="0"/>
                <w:numId w:val="4"/>
              </w:numPr>
              <w:jc w:val="both"/>
              <w:rPr>
                <w:bCs/>
                <w:sz w:val="20"/>
                <w:szCs w:val="20"/>
                <w:lang w:val="fr-FR"/>
              </w:rPr>
            </w:pPr>
            <w:r w:rsidRPr="00D72746">
              <w:rPr>
                <w:bCs/>
                <w:sz w:val="20"/>
                <w:szCs w:val="20"/>
                <w:lang w:val="fr-FR"/>
              </w:rPr>
              <w:t>l’acquisition de logiciels de gestion de projet ;</w:t>
            </w:r>
          </w:p>
          <w:p w:rsidR="009E4EA7" w:rsidRPr="00D72746" w:rsidRDefault="009E4EA7" w:rsidP="009E4EA7">
            <w:pPr>
              <w:pStyle w:val="Paragraphedeliste"/>
              <w:numPr>
                <w:ilvl w:val="0"/>
                <w:numId w:val="4"/>
              </w:numPr>
              <w:jc w:val="both"/>
              <w:rPr>
                <w:bCs/>
                <w:sz w:val="20"/>
                <w:szCs w:val="20"/>
                <w:lang w:val="fr-FR"/>
              </w:rPr>
            </w:pPr>
            <w:r w:rsidRPr="00D72746">
              <w:rPr>
                <w:bCs/>
                <w:sz w:val="20"/>
                <w:szCs w:val="20"/>
                <w:lang w:val="fr-FR"/>
              </w:rPr>
              <w:t>l’acquisition de véhicules ;</w:t>
            </w:r>
          </w:p>
          <w:p w:rsidR="009E4EA7" w:rsidRPr="00D72746" w:rsidRDefault="009E4EA7" w:rsidP="009E4EA7">
            <w:pPr>
              <w:pStyle w:val="Paragraphedeliste"/>
              <w:numPr>
                <w:ilvl w:val="0"/>
                <w:numId w:val="4"/>
              </w:numPr>
              <w:jc w:val="both"/>
              <w:rPr>
                <w:bCs/>
                <w:sz w:val="20"/>
                <w:szCs w:val="20"/>
                <w:lang w:val="fr-FR"/>
              </w:rPr>
            </w:pPr>
            <w:r w:rsidRPr="00D72746">
              <w:rPr>
                <w:bCs/>
                <w:sz w:val="20"/>
                <w:szCs w:val="20"/>
                <w:lang w:val="fr-FR"/>
              </w:rPr>
              <w:t>les activités de renforcements de capacités ;</w:t>
            </w:r>
          </w:p>
          <w:p w:rsidR="009E4EA7" w:rsidRPr="00D72746" w:rsidRDefault="009E4EA7" w:rsidP="009E4EA7">
            <w:pPr>
              <w:pStyle w:val="Paragraphedeliste"/>
              <w:numPr>
                <w:ilvl w:val="0"/>
                <w:numId w:val="4"/>
              </w:numPr>
              <w:jc w:val="both"/>
              <w:rPr>
                <w:bCs/>
                <w:sz w:val="20"/>
                <w:szCs w:val="20"/>
                <w:lang w:val="fr-FR"/>
              </w:rPr>
            </w:pPr>
            <w:r w:rsidRPr="00D72746">
              <w:rPr>
                <w:bCs/>
                <w:sz w:val="20"/>
                <w:szCs w:val="20"/>
                <w:lang w:val="fr-FR"/>
              </w:rPr>
              <w:t>les frais de fonctionnement de l’UGP ;</w:t>
            </w:r>
          </w:p>
          <w:p w:rsidR="009E4EA7" w:rsidRPr="00D72746" w:rsidRDefault="009E4EA7" w:rsidP="009E4EA7">
            <w:pPr>
              <w:pStyle w:val="Paragraphedeliste"/>
              <w:numPr>
                <w:ilvl w:val="0"/>
                <w:numId w:val="4"/>
              </w:numPr>
              <w:jc w:val="both"/>
              <w:rPr>
                <w:bCs/>
                <w:sz w:val="20"/>
                <w:szCs w:val="20"/>
                <w:lang w:val="fr-FR"/>
              </w:rPr>
            </w:pPr>
            <w:r w:rsidRPr="00D72746">
              <w:rPr>
                <w:bCs/>
                <w:sz w:val="20"/>
                <w:szCs w:val="20"/>
                <w:lang w:val="fr-FR"/>
              </w:rPr>
              <w:t>le suivi de la mise en œuvre du Plan de Gestion Environnemental et Social (PGES) à travers une convention avec la structure compétente du Ministère en charge de l’environnement</w:t>
            </w:r>
            <w:r w:rsidRPr="00D72746">
              <w:rPr>
                <w:sz w:val="20"/>
                <w:szCs w:val="20"/>
                <w:lang w:val="fr-FR"/>
              </w:rPr>
              <w:t>.</w:t>
            </w:r>
          </w:p>
          <w:p w:rsidR="009E4EA7" w:rsidRPr="00D72746" w:rsidRDefault="009E4EA7" w:rsidP="009E4EA7">
            <w:pPr>
              <w:pStyle w:val="Paragraphedeliste"/>
              <w:jc w:val="both"/>
              <w:rPr>
                <w:bCs/>
                <w:sz w:val="20"/>
                <w:szCs w:val="20"/>
                <w:lang w:val="fr-FR"/>
              </w:rPr>
            </w:pPr>
          </w:p>
          <w:p w:rsidR="009E4EA7" w:rsidRPr="00D72746" w:rsidRDefault="009E4EA7" w:rsidP="009E4EA7">
            <w:pPr>
              <w:ind w:left="360"/>
              <w:jc w:val="both"/>
              <w:rPr>
                <w:bCs/>
                <w:sz w:val="20"/>
                <w:szCs w:val="20"/>
                <w:lang w:val="fr-FR"/>
              </w:rPr>
            </w:pPr>
            <w:r w:rsidRPr="00D72746">
              <w:rPr>
                <w:rFonts w:ascii="Segoe UI Symbol" w:hAnsi="Segoe UI Symbol" w:cs="Segoe UI Symbol"/>
                <w:sz w:val="20"/>
                <w:szCs w:val="20"/>
                <w:lang w:val="fr-FR"/>
              </w:rPr>
              <w:t>➢</w:t>
            </w:r>
            <w:r w:rsidRPr="00D72746">
              <w:rPr>
                <w:b/>
                <w:bCs/>
                <w:sz w:val="20"/>
                <w:szCs w:val="20"/>
                <w:lang w:val="fr-FR"/>
              </w:rPr>
              <w:t xml:space="preserve">Composante 6 (Audit) : </w:t>
            </w:r>
            <w:r w:rsidRPr="00D72746">
              <w:rPr>
                <w:bCs/>
                <w:sz w:val="20"/>
                <w:szCs w:val="20"/>
                <w:lang w:val="fr-FR"/>
              </w:rPr>
              <w:t xml:space="preserve">ce volet comprend l’audit financier, comptable et       </w:t>
            </w:r>
          </w:p>
          <w:p w:rsidR="009E4EA7" w:rsidRPr="00D72746" w:rsidRDefault="009E4EA7" w:rsidP="00D72746">
            <w:pPr>
              <w:pStyle w:val="Paragraphedeliste"/>
              <w:ind w:hanging="402"/>
              <w:jc w:val="both"/>
              <w:rPr>
                <w:bCs/>
                <w:sz w:val="20"/>
                <w:szCs w:val="20"/>
                <w:lang w:val="fr-FR"/>
              </w:rPr>
            </w:pPr>
            <w:r w:rsidRPr="00D72746">
              <w:rPr>
                <w:bCs/>
                <w:sz w:val="20"/>
                <w:szCs w:val="20"/>
                <w:lang w:val="fr-FR"/>
              </w:rPr>
              <w:t xml:space="preserve">      des procédures du projet.</w:t>
            </w:r>
          </w:p>
        </w:tc>
      </w:tr>
      <w:tr w:rsidR="009E4EA7" w:rsidRPr="00D72746" w:rsidTr="009E4EA7">
        <w:trPr>
          <w:gridBefore w:val="1"/>
          <w:gridAfter w:val="1"/>
          <w:wBefore w:w="34" w:type="dxa"/>
          <w:wAfter w:w="570" w:type="dxa"/>
          <w:trHeight w:val="762"/>
        </w:trPr>
        <w:tc>
          <w:tcPr>
            <w:tcW w:w="396" w:type="dxa"/>
          </w:tcPr>
          <w:p w:rsidR="009E4EA7" w:rsidRPr="00D72746" w:rsidRDefault="009E4EA7" w:rsidP="00F10BC4">
            <w:pPr>
              <w:jc w:val="both"/>
              <w:rPr>
                <w:b/>
                <w:bCs/>
                <w:sz w:val="20"/>
                <w:szCs w:val="20"/>
                <w:lang w:val="fr-FR"/>
              </w:rPr>
            </w:pPr>
            <w:r w:rsidRPr="00D72746">
              <w:rPr>
                <w:sz w:val="20"/>
                <w:szCs w:val="20"/>
                <w:lang w:val="fr-FR"/>
              </w:rPr>
              <w:lastRenderedPageBreak/>
              <w:t xml:space="preserve">       </w:t>
            </w:r>
            <w:r w:rsidRPr="00D72746">
              <w:rPr>
                <w:b/>
                <w:bCs/>
                <w:sz w:val="20"/>
                <w:szCs w:val="20"/>
                <w:lang w:val="fr-FR"/>
              </w:rPr>
              <w:t xml:space="preserve"> </w:t>
            </w:r>
          </w:p>
          <w:p w:rsidR="009E4EA7" w:rsidRPr="00D72746" w:rsidRDefault="009E4EA7" w:rsidP="00F10BC4">
            <w:pPr>
              <w:rPr>
                <w:b/>
                <w:bCs/>
                <w:sz w:val="20"/>
                <w:szCs w:val="20"/>
                <w:lang w:val="fr-FR"/>
              </w:rPr>
            </w:pPr>
            <w:r w:rsidRPr="00D72746">
              <w:rPr>
                <w:b/>
                <w:bCs/>
                <w:sz w:val="20"/>
                <w:szCs w:val="20"/>
                <w:lang w:val="fr-FR"/>
              </w:rPr>
              <w:t xml:space="preserve">5.        </w:t>
            </w:r>
          </w:p>
        </w:tc>
        <w:tc>
          <w:tcPr>
            <w:tcW w:w="8776" w:type="dxa"/>
            <w:gridSpan w:val="2"/>
          </w:tcPr>
          <w:p w:rsidR="009E4EA7" w:rsidRPr="00D72746" w:rsidRDefault="009E4EA7" w:rsidP="00F10BC4">
            <w:pPr>
              <w:spacing w:before="240"/>
              <w:jc w:val="both"/>
              <w:rPr>
                <w:b/>
                <w:bCs/>
                <w:spacing w:val="-3"/>
                <w:sz w:val="20"/>
                <w:szCs w:val="20"/>
                <w:u w:val="single"/>
                <w:lang w:val="fr-FR"/>
              </w:rPr>
            </w:pPr>
            <w:r w:rsidRPr="00D72746">
              <w:rPr>
                <w:b/>
                <w:bCs/>
                <w:spacing w:val="-3"/>
                <w:sz w:val="20"/>
                <w:szCs w:val="20"/>
                <w:u w:val="single"/>
                <w:lang w:val="fr-FR"/>
              </w:rPr>
              <w:t>Méthode de passation des marchés du projet</w:t>
            </w:r>
          </w:p>
          <w:p w:rsidR="009E4EA7" w:rsidRPr="00D72746" w:rsidRDefault="009E4EA7" w:rsidP="00F10BC4">
            <w:pPr>
              <w:spacing w:before="120"/>
              <w:ind w:right="-36"/>
              <w:jc w:val="both"/>
              <w:rPr>
                <w:spacing w:val="-3"/>
                <w:sz w:val="20"/>
                <w:szCs w:val="20"/>
                <w:lang w:val="fr-FR"/>
              </w:rPr>
            </w:pPr>
            <w:r w:rsidRPr="00D72746">
              <w:rPr>
                <w:spacing w:val="-3"/>
                <w:sz w:val="20"/>
                <w:szCs w:val="20"/>
                <w:lang w:val="fr-FR"/>
              </w:rPr>
              <w:t xml:space="preserve">La passation de marchés de toutes les composantes financées par la BID sera strictement effectuée conformément aux procédures de passation des marchés de la BID énoncées dans des directives respectives de la BID. Le Gouvernement Ivoirien utilisera les Documents Standards de la BID et cherchera l'approbation préalable de la Banque à chaque étape de la procédure d’acquisition. </w:t>
            </w:r>
          </w:p>
          <w:p w:rsidR="009E4EA7" w:rsidRPr="00D72746" w:rsidRDefault="009E4EA7" w:rsidP="00F10BC4">
            <w:pPr>
              <w:spacing w:before="240"/>
              <w:ind w:right="-36"/>
              <w:jc w:val="both"/>
              <w:rPr>
                <w:spacing w:val="-3"/>
                <w:sz w:val="20"/>
                <w:szCs w:val="20"/>
                <w:lang w:val="fr-FR"/>
              </w:rPr>
            </w:pPr>
            <w:r w:rsidRPr="00D72746">
              <w:rPr>
                <w:spacing w:val="-3"/>
                <w:sz w:val="20"/>
                <w:szCs w:val="20"/>
                <w:lang w:val="fr-FR"/>
              </w:rPr>
              <w:t>L’emprunteur a sollicité et obtenu de la Banque de procéder à une AAA (Action Anticipé en vue d’Acquisition) en vue de réaliser les activités suivantes :</w:t>
            </w:r>
          </w:p>
          <w:p w:rsidR="009E4EA7" w:rsidRPr="00D72746" w:rsidRDefault="009E4EA7" w:rsidP="009E4EA7">
            <w:pPr>
              <w:pStyle w:val="Paragraphedeliste"/>
              <w:widowControl w:val="0"/>
              <w:numPr>
                <w:ilvl w:val="0"/>
                <w:numId w:val="1"/>
              </w:numPr>
              <w:tabs>
                <w:tab w:val="left" w:pos="388"/>
              </w:tabs>
              <w:autoSpaceDE w:val="0"/>
              <w:autoSpaceDN w:val="0"/>
              <w:ind w:left="586" w:right="638"/>
              <w:jc w:val="both"/>
              <w:rPr>
                <w:spacing w:val="-3"/>
                <w:sz w:val="20"/>
                <w:szCs w:val="20"/>
                <w:lang w:val="fr-FR"/>
              </w:rPr>
            </w:pPr>
            <w:r w:rsidRPr="00D72746">
              <w:rPr>
                <w:spacing w:val="-3"/>
                <w:sz w:val="20"/>
                <w:szCs w:val="20"/>
                <w:lang w:val="fr-FR"/>
              </w:rPr>
              <w:t>travaux de génie civil ;</w:t>
            </w:r>
          </w:p>
          <w:p w:rsidR="009E4EA7" w:rsidRPr="00D72746" w:rsidRDefault="009E4EA7" w:rsidP="009E4EA7">
            <w:pPr>
              <w:pStyle w:val="Paragraphedeliste"/>
              <w:widowControl w:val="0"/>
              <w:numPr>
                <w:ilvl w:val="0"/>
                <w:numId w:val="1"/>
              </w:numPr>
              <w:tabs>
                <w:tab w:val="left" w:pos="388"/>
              </w:tabs>
              <w:autoSpaceDE w:val="0"/>
              <w:autoSpaceDN w:val="0"/>
              <w:ind w:left="586" w:right="638"/>
              <w:jc w:val="both"/>
              <w:rPr>
                <w:spacing w:val="-3"/>
                <w:sz w:val="20"/>
                <w:szCs w:val="20"/>
                <w:lang w:val="fr-FR"/>
              </w:rPr>
            </w:pPr>
            <w:r w:rsidRPr="00D72746">
              <w:rPr>
                <w:spacing w:val="-3"/>
                <w:sz w:val="20"/>
                <w:szCs w:val="20"/>
                <w:lang w:val="fr-FR"/>
              </w:rPr>
              <w:t>contrôle et de surveillance ;</w:t>
            </w:r>
          </w:p>
          <w:p w:rsidR="009E4EA7" w:rsidRPr="00D72746" w:rsidRDefault="009E4EA7" w:rsidP="009E4EA7">
            <w:pPr>
              <w:pStyle w:val="Paragraphedeliste"/>
              <w:widowControl w:val="0"/>
              <w:numPr>
                <w:ilvl w:val="0"/>
                <w:numId w:val="1"/>
              </w:numPr>
              <w:tabs>
                <w:tab w:val="left" w:pos="388"/>
              </w:tabs>
              <w:autoSpaceDE w:val="0"/>
              <w:autoSpaceDN w:val="0"/>
              <w:spacing w:after="120"/>
              <w:ind w:left="586" w:right="638"/>
              <w:jc w:val="both"/>
              <w:rPr>
                <w:spacing w:val="-3"/>
                <w:sz w:val="20"/>
                <w:szCs w:val="20"/>
                <w:lang w:val="fr-FR"/>
              </w:rPr>
            </w:pPr>
            <w:r w:rsidRPr="00D72746">
              <w:rPr>
                <w:spacing w:val="-3"/>
                <w:sz w:val="20"/>
                <w:szCs w:val="20"/>
                <w:lang w:val="fr-FR"/>
              </w:rPr>
              <w:t>audit financier et comptable et des procédures.</w:t>
            </w:r>
          </w:p>
          <w:p w:rsidR="009E4EA7" w:rsidRPr="00D72746" w:rsidRDefault="009E4EA7" w:rsidP="00F10BC4">
            <w:pPr>
              <w:spacing w:before="120"/>
              <w:ind w:right="-36"/>
              <w:jc w:val="both"/>
              <w:rPr>
                <w:spacing w:val="-3"/>
                <w:sz w:val="20"/>
                <w:szCs w:val="20"/>
                <w:lang w:val="fr-FR"/>
              </w:rPr>
            </w:pPr>
            <w:r w:rsidRPr="00D72746">
              <w:rPr>
                <w:spacing w:val="-3"/>
                <w:sz w:val="20"/>
                <w:szCs w:val="20"/>
                <w:lang w:val="fr-FR"/>
              </w:rPr>
              <w:t xml:space="preserve">Les dossiers d’appel d’offres de ces trois (03) composantes seront disponibles en </w:t>
            </w:r>
            <w:r w:rsidR="003A7F76" w:rsidRPr="00D72746">
              <w:rPr>
                <w:spacing w:val="-3"/>
                <w:sz w:val="20"/>
                <w:szCs w:val="20"/>
                <w:lang w:val="fr-FR"/>
              </w:rPr>
              <w:t>avril</w:t>
            </w:r>
            <w:r w:rsidRPr="00D72746">
              <w:rPr>
                <w:spacing w:val="-3"/>
                <w:sz w:val="20"/>
                <w:szCs w:val="20"/>
                <w:lang w:val="fr-FR"/>
              </w:rPr>
              <w:t xml:space="preserve"> 2023 et les autres composantes </w:t>
            </w:r>
            <w:r w:rsidR="003A7F76" w:rsidRPr="00D72746">
              <w:rPr>
                <w:spacing w:val="-3"/>
                <w:sz w:val="20"/>
                <w:szCs w:val="20"/>
                <w:lang w:val="fr-FR"/>
              </w:rPr>
              <w:t>à partir</w:t>
            </w:r>
            <w:r w:rsidRPr="00D72746">
              <w:rPr>
                <w:spacing w:val="-3"/>
                <w:sz w:val="20"/>
                <w:szCs w:val="20"/>
                <w:lang w:val="fr-FR"/>
              </w:rPr>
              <w:t xml:space="preserve"> juin 2023.</w:t>
            </w:r>
          </w:p>
          <w:p w:rsidR="009E4EA7" w:rsidRPr="00D72746" w:rsidRDefault="009E4EA7" w:rsidP="00F10BC4">
            <w:pPr>
              <w:spacing w:before="120"/>
              <w:ind w:right="-36"/>
              <w:jc w:val="both"/>
              <w:rPr>
                <w:spacing w:val="-3"/>
                <w:sz w:val="20"/>
                <w:szCs w:val="20"/>
                <w:lang w:val="fr-FR"/>
              </w:rPr>
            </w:pPr>
            <w:r w:rsidRPr="00D72746">
              <w:rPr>
                <w:spacing w:val="-3"/>
                <w:sz w:val="20"/>
                <w:szCs w:val="20"/>
                <w:lang w:val="fr-FR"/>
              </w:rPr>
              <w:t>Plus spécifiquement les procédures suivantes seront utilisées :</w:t>
            </w:r>
          </w:p>
          <w:p w:rsidR="009E4EA7" w:rsidRPr="00D72746" w:rsidRDefault="009E4EA7" w:rsidP="009E4EA7">
            <w:pPr>
              <w:widowControl w:val="0"/>
              <w:numPr>
                <w:ilvl w:val="0"/>
                <w:numId w:val="5"/>
              </w:numPr>
              <w:spacing w:before="120"/>
              <w:jc w:val="both"/>
              <w:rPr>
                <w:b/>
                <w:bCs/>
                <w:spacing w:val="-3"/>
                <w:sz w:val="20"/>
                <w:szCs w:val="20"/>
                <w:u w:val="single"/>
                <w:lang w:val="fr-FR"/>
              </w:rPr>
            </w:pPr>
            <w:r w:rsidRPr="00D72746">
              <w:rPr>
                <w:b/>
                <w:bCs/>
                <w:spacing w:val="-3"/>
                <w:sz w:val="20"/>
                <w:szCs w:val="20"/>
                <w:u w:val="single"/>
                <w:lang w:val="fr-FR"/>
              </w:rPr>
              <w:t>Travaux de génie civil</w:t>
            </w:r>
          </w:p>
          <w:p w:rsidR="009E4EA7" w:rsidRPr="00D72746" w:rsidRDefault="009E4EA7" w:rsidP="00F10BC4">
            <w:pPr>
              <w:tabs>
                <w:tab w:val="left" w:pos="-720"/>
              </w:tabs>
              <w:suppressAutoHyphens/>
              <w:spacing w:before="120" w:after="120"/>
              <w:jc w:val="both"/>
              <w:rPr>
                <w:spacing w:val="-3"/>
                <w:sz w:val="20"/>
                <w:szCs w:val="20"/>
                <w:lang w:val="fr-FR"/>
              </w:rPr>
            </w:pPr>
            <w:r w:rsidRPr="00D72746">
              <w:rPr>
                <w:spacing w:val="-3"/>
                <w:sz w:val="20"/>
                <w:szCs w:val="20"/>
                <w:lang w:val="fr-FR"/>
              </w:rPr>
              <w:t>Seront acquis par Appel d’Offres International (AOI) après préqualification réservé aux entreprises des pays membres, les travaux :</w:t>
            </w:r>
          </w:p>
          <w:p w:rsidR="009E4EA7" w:rsidRPr="00D72746" w:rsidRDefault="009E4EA7" w:rsidP="009E4EA7">
            <w:pPr>
              <w:pStyle w:val="Paragraphedeliste"/>
              <w:widowControl w:val="0"/>
              <w:numPr>
                <w:ilvl w:val="0"/>
                <w:numId w:val="1"/>
              </w:numPr>
              <w:tabs>
                <w:tab w:val="left" w:pos="388"/>
              </w:tabs>
              <w:autoSpaceDE w:val="0"/>
              <w:autoSpaceDN w:val="0"/>
              <w:ind w:left="586" w:right="638"/>
              <w:jc w:val="both"/>
              <w:rPr>
                <w:spacing w:val="-3"/>
                <w:sz w:val="20"/>
                <w:szCs w:val="20"/>
                <w:lang w:val="fr-FR"/>
              </w:rPr>
            </w:pPr>
            <w:r w:rsidRPr="00D72746">
              <w:rPr>
                <w:spacing w:val="-3"/>
                <w:sz w:val="20"/>
                <w:szCs w:val="20"/>
                <w:lang w:val="fr-FR"/>
              </w:rPr>
              <w:t xml:space="preserve">Lot 1 : Route Man – Kouibly ; </w:t>
            </w:r>
          </w:p>
          <w:p w:rsidR="009E4EA7" w:rsidRPr="00D72746" w:rsidRDefault="009E4EA7" w:rsidP="009E4EA7">
            <w:pPr>
              <w:pStyle w:val="Paragraphedeliste"/>
              <w:widowControl w:val="0"/>
              <w:numPr>
                <w:ilvl w:val="0"/>
                <w:numId w:val="1"/>
              </w:numPr>
              <w:tabs>
                <w:tab w:val="left" w:pos="388"/>
              </w:tabs>
              <w:autoSpaceDE w:val="0"/>
              <w:autoSpaceDN w:val="0"/>
              <w:ind w:left="586" w:right="638"/>
              <w:jc w:val="both"/>
              <w:rPr>
                <w:spacing w:val="-3"/>
                <w:sz w:val="20"/>
                <w:szCs w:val="20"/>
                <w:lang w:val="fr-FR"/>
              </w:rPr>
            </w:pPr>
            <w:r w:rsidRPr="00D72746">
              <w:rPr>
                <w:spacing w:val="-3"/>
                <w:sz w:val="20"/>
                <w:szCs w:val="20"/>
                <w:lang w:val="fr-FR"/>
              </w:rPr>
              <w:t>Lot 2 : Route Guiglo – Zagné ;</w:t>
            </w:r>
          </w:p>
          <w:p w:rsidR="009E4EA7" w:rsidRPr="00D72746" w:rsidRDefault="009E4EA7" w:rsidP="009E4EA7">
            <w:pPr>
              <w:pStyle w:val="Paragraphedeliste"/>
              <w:widowControl w:val="0"/>
              <w:numPr>
                <w:ilvl w:val="0"/>
                <w:numId w:val="1"/>
              </w:numPr>
              <w:tabs>
                <w:tab w:val="left" w:pos="388"/>
              </w:tabs>
              <w:autoSpaceDE w:val="0"/>
              <w:autoSpaceDN w:val="0"/>
              <w:ind w:left="586" w:right="638"/>
              <w:jc w:val="both"/>
              <w:rPr>
                <w:spacing w:val="-3"/>
                <w:sz w:val="20"/>
                <w:szCs w:val="20"/>
                <w:lang w:val="fr-FR"/>
              </w:rPr>
            </w:pPr>
            <w:r w:rsidRPr="00D72746">
              <w:rPr>
                <w:spacing w:val="-3"/>
                <w:sz w:val="20"/>
                <w:szCs w:val="20"/>
                <w:lang w:val="fr-FR"/>
              </w:rPr>
              <w:t>Lot 3 : Route Zagné – Taï.</w:t>
            </w:r>
          </w:p>
          <w:p w:rsidR="009E4EA7" w:rsidRPr="00D72746" w:rsidRDefault="009E4EA7" w:rsidP="00F10BC4">
            <w:pPr>
              <w:tabs>
                <w:tab w:val="left" w:pos="-720"/>
              </w:tabs>
              <w:suppressAutoHyphens/>
              <w:spacing w:before="120" w:after="120"/>
              <w:jc w:val="both"/>
              <w:rPr>
                <w:spacing w:val="-3"/>
                <w:sz w:val="20"/>
                <w:szCs w:val="20"/>
                <w:lang w:val="fr-FR"/>
              </w:rPr>
            </w:pPr>
            <w:r w:rsidRPr="00D72746">
              <w:rPr>
                <w:spacing w:val="-3"/>
                <w:sz w:val="20"/>
                <w:szCs w:val="20"/>
                <w:lang w:val="fr-FR"/>
              </w:rPr>
              <w:t>Seront acquis par Appel d’Offres National (AON) conformément à la législation nationale sur les marchés publics, en utilisant les Dossiers Types d’Appel d’Offres de la BID, les travaux connexes suivants</w:t>
            </w:r>
          </w:p>
          <w:p w:rsidR="009E4EA7" w:rsidRPr="00D72746" w:rsidRDefault="009E4EA7" w:rsidP="009E4EA7">
            <w:pPr>
              <w:pStyle w:val="Paragraphedeliste"/>
              <w:widowControl w:val="0"/>
              <w:numPr>
                <w:ilvl w:val="0"/>
                <w:numId w:val="1"/>
              </w:numPr>
              <w:tabs>
                <w:tab w:val="left" w:pos="388"/>
              </w:tabs>
              <w:autoSpaceDE w:val="0"/>
              <w:autoSpaceDN w:val="0"/>
              <w:ind w:right="638"/>
              <w:jc w:val="both"/>
              <w:rPr>
                <w:spacing w:val="-3"/>
                <w:sz w:val="20"/>
                <w:szCs w:val="20"/>
                <w:lang w:val="fr-FR"/>
              </w:rPr>
            </w:pPr>
            <w:r w:rsidRPr="00D72746">
              <w:rPr>
                <w:spacing w:val="-3"/>
                <w:sz w:val="20"/>
                <w:szCs w:val="20"/>
                <w:lang w:val="fr-FR"/>
              </w:rPr>
              <w:t>Lot 1 : Bâtiments (Construction/réhabilitation de salles de classes, centre de santé, logement du personnel, clôture, cantines, latines, marchés, centres multifonctionnels) ;</w:t>
            </w:r>
          </w:p>
          <w:p w:rsidR="009E4EA7" w:rsidRPr="00D72746" w:rsidRDefault="009E4EA7" w:rsidP="009E4EA7">
            <w:pPr>
              <w:pStyle w:val="Paragraphedeliste"/>
              <w:widowControl w:val="0"/>
              <w:numPr>
                <w:ilvl w:val="0"/>
                <w:numId w:val="1"/>
              </w:numPr>
              <w:tabs>
                <w:tab w:val="left" w:pos="388"/>
              </w:tabs>
              <w:autoSpaceDE w:val="0"/>
              <w:autoSpaceDN w:val="0"/>
              <w:ind w:right="638"/>
              <w:jc w:val="both"/>
              <w:rPr>
                <w:spacing w:val="-3"/>
                <w:sz w:val="20"/>
                <w:szCs w:val="20"/>
                <w:lang w:val="fr-FR"/>
              </w:rPr>
            </w:pPr>
            <w:r w:rsidRPr="00D72746">
              <w:rPr>
                <w:spacing w:val="-3"/>
                <w:sz w:val="20"/>
                <w:szCs w:val="20"/>
                <w:lang w:val="fr-FR"/>
              </w:rPr>
              <w:t>Lot 2 : Routes et plateformes (Aménagement/réhabilitation de routes, gare routière, aires de stationnement poste de pesage) ;</w:t>
            </w:r>
          </w:p>
          <w:p w:rsidR="009E4EA7" w:rsidRPr="00D72746" w:rsidRDefault="009E4EA7" w:rsidP="009E4EA7">
            <w:pPr>
              <w:pStyle w:val="Paragraphedeliste"/>
              <w:widowControl w:val="0"/>
              <w:numPr>
                <w:ilvl w:val="0"/>
                <w:numId w:val="1"/>
              </w:numPr>
              <w:tabs>
                <w:tab w:val="left" w:pos="388"/>
              </w:tabs>
              <w:autoSpaceDE w:val="0"/>
              <w:autoSpaceDN w:val="0"/>
              <w:ind w:right="638"/>
              <w:jc w:val="both"/>
              <w:rPr>
                <w:spacing w:val="-3"/>
                <w:sz w:val="20"/>
                <w:szCs w:val="20"/>
                <w:lang w:val="fr-FR"/>
              </w:rPr>
            </w:pPr>
            <w:r w:rsidRPr="00D72746">
              <w:rPr>
                <w:spacing w:val="-3"/>
                <w:sz w:val="20"/>
                <w:szCs w:val="20"/>
                <w:lang w:val="fr-FR"/>
              </w:rPr>
              <w:t>Lot 3 : Forages.</w:t>
            </w:r>
          </w:p>
          <w:p w:rsidR="009E4EA7" w:rsidRPr="00D72746" w:rsidRDefault="009E4EA7" w:rsidP="009E4EA7">
            <w:pPr>
              <w:widowControl w:val="0"/>
              <w:numPr>
                <w:ilvl w:val="0"/>
                <w:numId w:val="5"/>
              </w:numPr>
              <w:tabs>
                <w:tab w:val="left" w:pos="-720"/>
              </w:tabs>
              <w:suppressAutoHyphens/>
              <w:spacing w:before="120" w:after="120"/>
              <w:jc w:val="both"/>
              <w:rPr>
                <w:b/>
                <w:spacing w:val="-3"/>
                <w:sz w:val="20"/>
                <w:szCs w:val="20"/>
                <w:u w:val="single"/>
                <w:lang w:val="fr-FR"/>
              </w:rPr>
            </w:pPr>
            <w:r w:rsidRPr="00D72746">
              <w:rPr>
                <w:b/>
                <w:spacing w:val="-3"/>
                <w:sz w:val="20"/>
                <w:szCs w:val="20"/>
                <w:u w:val="single"/>
                <w:lang w:val="fr-FR"/>
              </w:rPr>
              <w:t>Services</w:t>
            </w:r>
          </w:p>
          <w:p w:rsidR="009E4EA7" w:rsidRPr="00D72746" w:rsidRDefault="009E4EA7" w:rsidP="00F10BC4">
            <w:pPr>
              <w:tabs>
                <w:tab w:val="left" w:pos="-720"/>
              </w:tabs>
              <w:suppressAutoHyphens/>
              <w:spacing w:before="120" w:after="120"/>
              <w:jc w:val="both"/>
              <w:rPr>
                <w:spacing w:val="-3"/>
                <w:sz w:val="20"/>
                <w:szCs w:val="20"/>
                <w:lang w:val="fr-FR"/>
              </w:rPr>
            </w:pPr>
            <w:r w:rsidRPr="00D72746">
              <w:rPr>
                <w:spacing w:val="-3"/>
                <w:sz w:val="20"/>
                <w:szCs w:val="20"/>
                <w:lang w:val="fr-FR"/>
              </w:rPr>
              <w:t>Les services nécessaires à l’exécution du projet seront acquis conformément aux procédures de passation de marché de la BID en utilisant les Dossiers Types de Demande de Proposition de la Banque :</w:t>
            </w:r>
          </w:p>
          <w:p w:rsidR="009E4EA7" w:rsidRPr="00D72746" w:rsidRDefault="009E4EA7" w:rsidP="009E4EA7">
            <w:pPr>
              <w:pStyle w:val="Paragraphedeliste"/>
              <w:widowControl w:val="0"/>
              <w:numPr>
                <w:ilvl w:val="0"/>
                <w:numId w:val="1"/>
              </w:numPr>
              <w:tabs>
                <w:tab w:val="left" w:pos="388"/>
              </w:tabs>
              <w:autoSpaceDE w:val="0"/>
              <w:autoSpaceDN w:val="0"/>
              <w:ind w:right="638"/>
              <w:jc w:val="both"/>
              <w:rPr>
                <w:spacing w:val="-3"/>
                <w:sz w:val="20"/>
                <w:szCs w:val="20"/>
                <w:lang w:val="fr-FR"/>
              </w:rPr>
            </w:pPr>
            <w:r w:rsidRPr="00D72746">
              <w:rPr>
                <w:spacing w:val="-3"/>
                <w:sz w:val="20"/>
                <w:szCs w:val="20"/>
                <w:lang w:val="fr-FR"/>
              </w:rPr>
              <w:lastRenderedPageBreak/>
              <w:t>l’acquisition des services pour (i) le contrôle et la surveillance des travaux de génie civil ; (ii) études pour l’aménagement des routes en Côte d’Ivoire (Route Kouibly – Vavoua (136 km)), soixante (60) Talwegs Abobo et Yopougon, Autoroute de contournement de Bingerville (35 km) s’effectueront à travers une liste restreinte de bureau d’études et la méthode d’évaluation sera la Sélection Basée sur la Qualité et le Coût (SBQC) ;</w:t>
            </w:r>
          </w:p>
          <w:p w:rsidR="009E4EA7" w:rsidRPr="00D72746" w:rsidRDefault="009E4EA7" w:rsidP="009E4EA7">
            <w:pPr>
              <w:pStyle w:val="Paragraphedeliste"/>
              <w:widowControl w:val="0"/>
              <w:numPr>
                <w:ilvl w:val="0"/>
                <w:numId w:val="1"/>
              </w:numPr>
              <w:tabs>
                <w:tab w:val="left" w:pos="388"/>
              </w:tabs>
              <w:autoSpaceDE w:val="0"/>
              <w:autoSpaceDN w:val="0"/>
              <w:ind w:right="638"/>
              <w:jc w:val="both"/>
              <w:rPr>
                <w:spacing w:val="-3"/>
                <w:sz w:val="20"/>
                <w:szCs w:val="20"/>
                <w:lang w:val="fr-FR"/>
              </w:rPr>
            </w:pPr>
            <w:r w:rsidRPr="00D72746">
              <w:rPr>
                <w:spacing w:val="-3"/>
                <w:sz w:val="20"/>
                <w:szCs w:val="20"/>
                <w:lang w:val="fr-FR"/>
              </w:rPr>
              <w:t>l’audit comptable et financier des procédures se fera sur la base d’une liste restreinte et le mode de l’évaluation sera la Sélection au Moindre Coût (SMC) ;</w:t>
            </w:r>
          </w:p>
          <w:p w:rsidR="009E4EA7" w:rsidRPr="00D72746" w:rsidRDefault="009E4EA7" w:rsidP="009E4EA7">
            <w:pPr>
              <w:widowControl w:val="0"/>
              <w:numPr>
                <w:ilvl w:val="0"/>
                <w:numId w:val="5"/>
              </w:numPr>
              <w:tabs>
                <w:tab w:val="left" w:pos="-720"/>
              </w:tabs>
              <w:suppressAutoHyphens/>
              <w:spacing w:before="120" w:after="120"/>
              <w:jc w:val="both"/>
              <w:rPr>
                <w:b/>
                <w:spacing w:val="-3"/>
                <w:sz w:val="20"/>
                <w:szCs w:val="20"/>
                <w:u w:val="single"/>
                <w:lang w:val="fr-FR"/>
              </w:rPr>
            </w:pPr>
            <w:r w:rsidRPr="00D72746">
              <w:rPr>
                <w:b/>
                <w:spacing w:val="-3"/>
                <w:sz w:val="20"/>
                <w:szCs w:val="20"/>
                <w:u w:val="single"/>
                <w:lang w:val="fr-FR"/>
              </w:rPr>
              <w:t>Fournitures</w:t>
            </w:r>
          </w:p>
          <w:p w:rsidR="009E4EA7" w:rsidRPr="00D72746" w:rsidRDefault="009E4EA7" w:rsidP="00F10BC4">
            <w:pPr>
              <w:tabs>
                <w:tab w:val="left" w:pos="-720"/>
              </w:tabs>
              <w:suppressAutoHyphens/>
              <w:spacing w:before="120" w:after="120"/>
              <w:jc w:val="both"/>
              <w:rPr>
                <w:spacing w:val="-3"/>
                <w:sz w:val="20"/>
                <w:szCs w:val="20"/>
                <w:lang w:val="fr-FR"/>
              </w:rPr>
            </w:pPr>
            <w:r w:rsidRPr="00D72746">
              <w:rPr>
                <w:spacing w:val="-3"/>
                <w:sz w:val="20"/>
                <w:szCs w:val="20"/>
                <w:lang w:val="fr-FR"/>
              </w:rPr>
              <w:t>Seront acquis par Appel d’Offres National (AON) conformément à la législation nationale sur les marchés publics, en utilisant les Dossiers Types d’Appel d’Offres de la BID :</w:t>
            </w:r>
          </w:p>
          <w:p w:rsidR="009E4EA7" w:rsidRPr="00D72746" w:rsidRDefault="009E4EA7" w:rsidP="009E4EA7">
            <w:pPr>
              <w:pStyle w:val="Paragraphedeliste"/>
              <w:widowControl w:val="0"/>
              <w:numPr>
                <w:ilvl w:val="0"/>
                <w:numId w:val="1"/>
              </w:numPr>
              <w:tabs>
                <w:tab w:val="left" w:pos="388"/>
              </w:tabs>
              <w:autoSpaceDE w:val="0"/>
              <w:autoSpaceDN w:val="0"/>
              <w:ind w:right="638"/>
              <w:jc w:val="both"/>
              <w:rPr>
                <w:spacing w:val="-3"/>
                <w:sz w:val="20"/>
                <w:szCs w:val="20"/>
                <w:lang w:val="fr-FR"/>
              </w:rPr>
            </w:pPr>
            <w:r w:rsidRPr="00D72746">
              <w:rPr>
                <w:spacing w:val="-3"/>
                <w:sz w:val="20"/>
                <w:szCs w:val="20"/>
                <w:lang w:val="fr-FR"/>
              </w:rPr>
              <w:t>Acquisition d’ambulances ;</w:t>
            </w:r>
          </w:p>
          <w:p w:rsidR="009E4EA7" w:rsidRPr="00D72746" w:rsidRDefault="009E4EA7" w:rsidP="009E4EA7">
            <w:pPr>
              <w:pStyle w:val="Paragraphedeliste"/>
              <w:widowControl w:val="0"/>
              <w:numPr>
                <w:ilvl w:val="0"/>
                <w:numId w:val="1"/>
              </w:numPr>
              <w:tabs>
                <w:tab w:val="left" w:pos="388"/>
              </w:tabs>
              <w:autoSpaceDE w:val="0"/>
              <w:autoSpaceDN w:val="0"/>
              <w:ind w:right="638"/>
              <w:jc w:val="both"/>
              <w:rPr>
                <w:spacing w:val="-3"/>
                <w:sz w:val="20"/>
                <w:szCs w:val="20"/>
                <w:lang w:val="fr-FR"/>
              </w:rPr>
            </w:pPr>
            <w:r w:rsidRPr="00D72746">
              <w:rPr>
                <w:spacing w:val="-3"/>
                <w:sz w:val="20"/>
                <w:szCs w:val="20"/>
                <w:lang w:val="fr-FR"/>
              </w:rPr>
              <w:t>Fourniture d'équipements biomédicaux ;</w:t>
            </w:r>
          </w:p>
          <w:p w:rsidR="009E4EA7" w:rsidRPr="00D72746" w:rsidRDefault="009E4EA7" w:rsidP="009E4EA7">
            <w:pPr>
              <w:pStyle w:val="Paragraphedeliste"/>
              <w:widowControl w:val="0"/>
              <w:numPr>
                <w:ilvl w:val="0"/>
                <w:numId w:val="1"/>
              </w:numPr>
              <w:tabs>
                <w:tab w:val="left" w:pos="388"/>
              </w:tabs>
              <w:autoSpaceDE w:val="0"/>
              <w:autoSpaceDN w:val="0"/>
              <w:ind w:right="638"/>
              <w:jc w:val="both"/>
              <w:rPr>
                <w:spacing w:val="-3"/>
                <w:sz w:val="20"/>
                <w:szCs w:val="20"/>
                <w:lang w:val="fr-FR"/>
              </w:rPr>
            </w:pPr>
            <w:r w:rsidRPr="00D72746">
              <w:rPr>
                <w:spacing w:val="-3"/>
                <w:sz w:val="20"/>
                <w:szCs w:val="20"/>
                <w:lang w:val="fr-FR"/>
              </w:rPr>
              <w:t>Fourniture d'équipement de pesage mobile ;</w:t>
            </w:r>
          </w:p>
          <w:p w:rsidR="009E4EA7" w:rsidRPr="00D72746" w:rsidRDefault="009E4EA7" w:rsidP="009E4EA7">
            <w:pPr>
              <w:pStyle w:val="Paragraphedeliste"/>
              <w:widowControl w:val="0"/>
              <w:numPr>
                <w:ilvl w:val="0"/>
                <w:numId w:val="1"/>
              </w:numPr>
              <w:tabs>
                <w:tab w:val="left" w:pos="388"/>
              </w:tabs>
              <w:autoSpaceDE w:val="0"/>
              <w:autoSpaceDN w:val="0"/>
              <w:ind w:right="638"/>
              <w:jc w:val="both"/>
              <w:rPr>
                <w:spacing w:val="-3"/>
                <w:sz w:val="20"/>
                <w:szCs w:val="20"/>
                <w:lang w:val="fr-FR"/>
              </w:rPr>
            </w:pPr>
            <w:r w:rsidRPr="00D72746">
              <w:rPr>
                <w:spacing w:val="-3"/>
                <w:sz w:val="20"/>
                <w:szCs w:val="20"/>
                <w:lang w:val="fr-FR"/>
              </w:rPr>
              <w:t>Fourniture d'équipements pour l’Unité d'Intervention d'Urgence pour assurer la durabilité des Routes dans le District des Montagnes.</w:t>
            </w:r>
          </w:p>
          <w:p w:rsidR="009E4EA7" w:rsidRPr="00D72746" w:rsidRDefault="009E4EA7" w:rsidP="00F10BC4">
            <w:pPr>
              <w:tabs>
                <w:tab w:val="left" w:pos="-720"/>
              </w:tabs>
              <w:suppressAutoHyphens/>
              <w:spacing w:before="120" w:after="120"/>
              <w:jc w:val="both"/>
              <w:rPr>
                <w:spacing w:val="-3"/>
                <w:sz w:val="20"/>
                <w:szCs w:val="20"/>
                <w:lang w:val="fr-FR"/>
              </w:rPr>
            </w:pPr>
            <w:r w:rsidRPr="00D72746">
              <w:rPr>
                <w:spacing w:val="-3"/>
                <w:sz w:val="20"/>
                <w:szCs w:val="20"/>
                <w:lang w:val="fr-FR"/>
              </w:rPr>
              <w:t>L’acquisition de fourniture de matériel et de consommable informatique (Lot 1 et Lot 2) et les fournitures de bureau se fera par cotation.</w:t>
            </w:r>
          </w:p>
          <w:p w:rsidR="009E4EA7" w:rsidRPr="00D72746" w:rsidRDefault="009E4EA7" w:rsidP="00F10BC4">
            <w:pPr>
              <w:tabs>
                <w:tab w:val="left" w:pos="-720"/>
              </w:tabs>
              <w:suppressAutoHyphens/>
              <w:spacing w:before="120" w:after="120"/>
              <w:ind w:left="30" w:hanging="30"/>
              <w:jc w:val="both"/>
              <w:rPr>
                <w:spacing w:val="-3"/>
                <w:sz w:val="20"/>
                <w:szCs w:val="20"/>
                <w:lang w:val="fr-FR"/>
              </w:rPr>
            </w:pPr>
            <w:r w:rsidRPr="00D72746">
              <w:rPr>
                <w:b/>
                <w:bCs/>
                <w:spacing w:val="-3"/>
                <w:sz w:val="20"/>
                <w:szCs w:val="20"/>
                <w:lang w:val="fr-FR"/>
              </w:rPr>
              <w:t xml:space="preserve">6. </w:t>
            </w:r>
            <w:r w:rsidR="00EE1BEF">
              <w:rPr>
                <w:b/>
                <w:bCs/>
                <w:spacing w:val="-3"/>
                <w:sz w:val="20"/>
                <w:szCs w:val="20"/>
                <w:lang w:val="fr-FR"/>
              </w:rPr>
              <w:t xml:space="preserve">  </w:t>
            </w:r>
            <w:r w:rsidRPr="00D72746">
              <w:rPr>
                <w:b/>
                <w:bCs/>
                <w:spacing w:val="-3"/>
                <w:sz w:val="20"/>
                <w:szCs w:val="20"/>
                <w:lang w:val="fr-FR"/>
              </w:rPr>
              <w:t>Contacts du Bénéficiaire</w:t>
            </w:r>
          </w:p>
          <w:p w:rsidR="009E4EA7" w:rsidRPr="00D72746" w:rsidRDefault="009E4EA7" w:rsidP="00F10BC4">
            <w:pPr>
              <w:tabs>
                <w:tab w:val="left" w:pos="-720"/>
              </w:tabs>
              <w:suppressAutoHyphens/>
              <w:spacing w:before="120" w:after="120"/>
              <w:jc w:val="both"/>
              <w:rPr>
                <w:spacing w:val="-3"/>
                <w:sz w:val="20"/>
                <w:szCs w:val="20"/>
                <w:lang w:val="fr-FR"/>
              </w:rPr>
            </w:pPr>
            <w:r w:rsidRPr="00D72746">
              <w:rPr>
                <w:spacing w:val="-3"/>
                <w:sz w:val="20"/>
                <w:szCs w:val="20"/>
                <w:lang w:val="fr-FR"/>
              </w:rPr>
              <w:t>Les potentiels soumissionnaires intéressés et éligibles, qui souhaitent être considérés pour la fourniture de biens, travaux et services de consultants pour le projet, ou qui désirent obtenir des informations complémentaires sont invités à contacter le Bénéficiaire à l’adresse ci-dessous :</w:t>
            </w:r>
          </w:p>
          <w:p w:rsidR="009E4EA7" w:rsidRPr="00D72746" w:rsidRDefault="009E4EA7" w:rsidP="00F10BC4">
            <w:pPr>
              <w:tabs>
                <w:tab w:val="left" w:pos="-720"/>
              </w:tabs>
              <w:suppressAutoHyphens/>
              <w:spacing w:before="120" w:after="120"/>
              <w:jc w:val="both"/>
              <w:rPr>
                <w:spacing w:val="-3"/>
                <w:sz w:val="20"/>
                <w:szCs w:val="20"/>
                <w:lang w:val="fr-FR"/>
              </w:rPr>
            </w:pPr>
          </w:p>
          <w:p w:rsidR="009E4EA7" w:rsidRPr="00D72746" w:rsidRDefault="009E4EA7" w:rsidP="00F10BC4">
            <w:pPr>
              <w:tabs>
                <w:tab w:val="left" w:pos="-720"/>
              </w:tabs>
              <w:suppressAutoHyphens/>
              <w:spacing w:before="120" w:after="120"/>
              <w:jc w:val="both"/>
              <w:rPr>
                <w:b/>
                <w:spacing w:val="-3"/>
                <w:sz w:val="20"/>
                <w:szCs w:val="20"/>
                <w:lang w:val="fr-FR"/>
              </w:rPr>
            </w:pPr>
            <w:r w:rsidRPr="00D72746">
              <w:rPr>
                <w:b/>
                <w:spacing w:val="-3"/>
                <w:sz w:val="20"/>
                <w:szCs w:val="20"/>
                <w:lang w:val="fr-FR"/>
              </w:rPr>
              <w:t xml:space="preserve">Nom de l’Organisme : </w:t>
            </w:r>
            <w:r w:rsidRPr="00D72746">
              <w:rPr>
                <w:bCs/>
                <w:spacing w:val="-3"/>
                <w:sz w:val="20"/>
                <w:szCs w:val="20"/>
                <w:lang w:val="fr-FR"/>
              </w:rPr>
              <w:t>Agence de Gestion des Routes (AGEROUTE)</w:t>
            </w:r>
          </w:p>
          <w:p w:rsidR="009E4EA7" w:rsidRPr="00D72746" w:rsidRDefault="009E4EA7" w:rsidP="00F10BC4">
            <w:pPr>
              <w:tabs>
                <w:tab w:val="left" w:pos="-720"/>
              </w:tabs>
              <w:suppressAutoHyphens/>
              <w:spacing w:before="120" w:after="120"/>
              <w:jc w:val="both"/>
              <w:rPr>
                <w:bCs/>
                <w:spacing w:val="-3"/>
                <w:sz w:val="20"/>
                <w:szCs w:val="20"/>
                <w:lang w:val="fr-FR"/>
              </w:rPr>
            </w:pPr>
            <w:r w:rsidRPr="00D72746">
              <w:rPr>
                <w:b/>
                <w:spacing w:val="-3"/>
                <w:sz w:val="20"/>
                <w:szCs w:val="20"/>
                <w:lang w:val="fr-FR"/>
              </w:rPr>
              <w:t xml:space="preserve">Nom de la personne à contacter : </w:t>
            </w:r>
            <w:r w:rsidRPr="00D72746">
              <w:rPr>
                <w:bCs/>
                <w:spacing w:val="-3"/>
                <w:sz w:val="20"/>
                <w:szCs w:val="20"/>
                <w:lang w:val="fr-FR"/>
              </w:rPr>
              <w:t xml:space="preserve">Fabrice COULIBALY </w:t>
            </w:r>
          </w:p>
          <w:p w:rsidR="009E4EA7" w:rsidRPr="00D72746" w:rsidRDefault="009E4EA7" w:rsidP="00F10BC4">
            <w:pPr>
              <w:tabs>
                <w:tab w:val="left" w:pos="-720"/>
              </w:tabs>
              <w:suppressAutoHyphens/>
              <w:spacing w:before="120" w:after="120"/>
              <w:jc w:val="both"/>
              <w:rPr>
                <w:b/>
                <w:spacing w:val="-3"/>
                <w:sz w:val="20"/>
                <w:szCs w:val="20"/>
                <w:lang w:val="fr-FR"/>
              </w:rPr>
            </w:pPr>
            <w:r w:rsidRPr="00D72746">
              <w:rPr>
                <w:b/>
                <w:spacing w:val="-3"/>
                <w:sz w:val="20"/>
                <w:szCs w:val="20"/>
                <w:lang w:val="fr-FR"/>
              </w:rPr>
              <w:t xml:space="preserve">Titre/fonction de la personne à contacter : </w:t>
            </w:r>
            <w:r w:rsidRPr="00D72746">
              <w:rPr>
                <w:bCs/>
                <w:spacing w:val="-3"/>
                <w:sz w:val="20"/>
                <w:szCs w:val="20"/>
                <w:lang w:val="fr-FR"/>
              </w:rPr>
              <w:t>Directeur Général de l’AGEROUTE</w:t>
            </w:r>
          </w:p>
          <w:p w:rsidR="009E4EA7" w:rsidRPr="00D72746" w:rsidRDefault="009E4EA7" w:rsidP="00F10BC4">
            <w:pPr>
              <w:tabs>
                <w:tab w:val="left" w:pos="-720"/>
              </w:tabs>
              <w:suppressAutoHyphens/>
              <w:spacing w:before="120" w:after="120"/>
              <w:jc w:val="both"/>
              <w:rPr>
                <w:spacing w:val="-3"/>
                <w:sz w:val="20"/>
                <w:szCs w:val="20"/>
                <w:lang w:val="fr-FR"/>
              </w:rPr>
            </w:pPr>
            <w:r w:rsidRPr="00D72746">
              <w:rPr>
                <w:b/>
                <w:bCs/>
                <w:spacing w:val="-3"/>
                <w:sz w:val="20"/>
                <w:szCs w:val="20"/>
                <w:lang w:val="fr-FR"/>
              </w:rPr>
              <w:t>Numéro</w:t>
            </w:r>
            <w:r w:rsidRPr="00D72746">
              <w:rPr>
                <w:b/>
                <w:spacing w:val="-3"/>
                <w:sz w:val="20"/>
                <w:szCs w:val="20"/>
                <w:lang w:val="fr-FR"/>
              </w:rPr>
              <w:t xml:space="preserve"> Téléphone : </w:t>
            </w:r>
            <w:r w:rsidRPr="00D72746">
              <w:rPr>
                <w:spacing w:val="-3"/>
                <w:sz w:val="20"/>
                <w:szCs w:val="20"/>
                <w:lang w:val="fr-FR"/>
              </w:rPr>
              <w:t>(+225) 27 20 25 10 00 / (+225) 27 20 25 14 82</w:t>
            </w:r>
          </w:p>
          <w:p w:rsidR="009E4EA7" w:rsidRPr="00D72746" w:rsidRDefault="009E4EA7" w:rsidP="00F10BC4">
            <w:pPr>
              <w:pStyle w:val="Paragraphedeliste"/>
              <w:tabs>
                <w:tab w:val="right" w:pos="7254"/>
              </w:tabs>
              <w:ind w:left="0"/>
              <w:rPr>
                <w:spacing w:val="-3"/>
                <w:sz w:val="20"/>
                <w:szCs w:val="20"/>
                <w:lang w:val="fr-FR"/>
              </w:rPr>
            </w:pPr>
            <w:r w:rsidRPr="00D72746">
              <w:rPr>
                <w:b/>
                <w:bCs/>
                <w:spacing w:val="-3"/>
                <w:sz w:val="20"/>
                <w:szCs w:val="20"/>
                <w:lang w:val="fr-FR"/>
              </w:rPr>
              <w:t>Numéro de télécopie</w:t>
            </w:r>
            <w:r w:rsidRPr="00D72746">
              <w:rPr>
                <w:spacing w:val="-3"/>
                <w:sz w:val="20"/>
                <w:szCs w:val="20"/>
                <w:lang w:val="fr-FR"/>
              </w:rPr>
              <w:t> : (+225) 27 20 25 10 23</w:t>
            </w:r>
          </w:p>
          <w:p w:rsidR="009E4EA7" w:rsidRPr="00D72746" w:rsidRDefault="009E4EA7" w:rsidP="00F10BC4">
            <w:pPr>
              <w:pStyle w:val="Paragraphedeliste"/>
              <w:tabs>
                <w:tab w:val="right" w:pos="7254"/>
              </w:tabs>
              <w:ind w:left="0"/>
              <w:rPr>
                <w:spacing w:val="-3"/>
                <w:sz w:val="10"/>
                <w:szCs w:val="10"/>
                <w:lang w:val="fr-FR"/>
              </w:rPr>
            </w:pPr>
          </w:p>
          <w:p w:rsidR="009E4EA7" w:rsidRPr="00D72746" w:rsidRDefault="009E4EA7" w:rsidP="00F10BC4">
            <w:pPr>
              <w:pStyle w:val="Paragraphedeliste"/>
              <w:tabs>
                <w:tab w:val="right" w:pos="7254"/>
              </w:tabs>
              <w:ind w:left="0"/>
              <w:rPr>
                <w:spacing w:val="-3"/>
                <w:sz w:val="20"/>
                <w:szCs w:val="20"/>
                <w:lang w:val="fr-FR"/>
              </w:rPr>
            </w:pPr>
            <w:r w:rsidRPr="00D72746">
              <w:rPr>
                <w:b/>
                <w:bCs/>
                <w:spacing w:val="-3"/>
                <w:sz w:val="20"/>
                <w:szCs w:val="20"/>
                <w:lang w:val="fr-FR"/>
              </w:rPr>
              <w:t>Site web :</w:t>
            </w:r>
            <w:r w:rsidRPr="00D72746">
              <w:rPr>
                <w:spacing w:val="-3"/>
                <w:sz w:val="20"/>
                <w:szCs w:val="20"/>
                <w:lang w:val="fr-FR"/>
              </w:rPr>
              <w:t xml:space="preserve"> www.ageroute.ci</w:t>
            </w:r>
          </w:p>
          <w:p w:rsidR="009E4EA7" w:rsidRPr="00D72746" w:rsidRDefault="009E4EA7" w:rsidP="00F10BC4">
            <w:pPr>
              <w:tabs>
                <w:tab w:val="left" w:pos="-720"/>
              </w:tabs>
              <w:suppressAutoHyphens/>
              <w:spacing w:before="120" w:after="120"/>
              <w:jc w:val="both"/>
              <w:rPr>
                <w:b/>
                <w:spacing w:val="-3"/>
                <w:sz w:val="20"/>
                <w:szCs w:val="20"/>
                <w:lang w:val="fr-FR"/>
              </w:rPr>
            </w:pPr>
            <w:r w:rsidRPr="00D72746">
              <w:rPr>
                <w:b/>
                <w:spacing w:val="-3"/>
                <w:sz w:val="20"/>
                <w:szCs w:val="20"/>
                <w:lang w:val="fr-FR"/>
              </w:rPr>
              <w:t xml:space="preserve">Courriel : </w:t>
            </w:r>
            <w:hyperlink r:id="rId8" w:history="1">
              <w:r w:rsidRPr="00D72746">
                <w:rPr>
                  <w:spacing w:val="-3"/>
                  <w:sz w:val="20"/>
                  <w:szCs w:val="20"/>
                  <w:lang w:val="fr-FR"/>
                </w:rPr>
                <w:t>ageroute@ageroute.ci</w:t>
              </w:r>
            </w:hyperlink>
            <w:r w:rsidRPr="00D72746">
              <w:rPr>
                <w:spacing w:val="-3"/>
                <w:sz w:val="20"/>
                <w:szCs w:val="20"/>
                <w:lang w:val="fr-FR"/>
              </w:rPr>
              <w:t xml:space="preserve"> et copie à facoulibaly@ageroute.ci</w:t>
            </w:r>
          </w:p>
          <w:p w:rsidR="009E4EA7" w:rsidRPr="00D72746" w:rsidRDefault="009E4EA7" w:rsidP="00F10BC4">
            <w:pPr>
              <w:tabs>
                <w:tab w:val="left" w:pos="-720"/>
              </w:tabs>
              <w:suppressAutoHyphens/>
              <w:spacing w:before="120" w:after="120"/>
              <w:jc w:val="both"/>
              <w:rPr>
                <w:sz w:val="20"/>
                <w:szCs w:val="20"/>
                <w:lang w:val="fr-FR"/>
              </w:rPr>
            </w:pPr>
            <w:r w:rsidRPr="00D72746">
              <w:rPr>
                <w:b/>
                <w:spacing w:val="-3"/>
                <w:sz w:val="20"/>
                <w:szCs w:val="20"/>
                <w:lang w:val="fr-FR"/>
              </w:rPr>
              <w:t xml:space="preserve"> </w:t>
            </w:r>
          </w:p>
          <w:p w:rsidR="009E4EA7" w:rsidRPr="00D72746" w:rsidRDefault="009E4EA7" w:rsidP="00F10BC4">
            <w:pPr>
              <w:jc w:val="both"/>
              <w:rPr>
                <w:sz w:val="20"/>
                <w:szCs w:val="20"/>
                <w:lang w:val="fr-FR"/>
              </w:rPr>
            </w:pPr>
          </w:p>
        </w:tc>
      </w:tr>
    </w:tbl>
    <w:p w:rsidR="009E4EA7" w:rsidRPr="00D72746" w:rsidRDefault="009E4EA7" w:rsidP="009E4EA7">
      <w:pPr>
        <w:jc w:val="right"/>
        <w:rPr>
          <w:b/>
          <w:bCs/>
          <w:sz w:val="20"/>
          <w:szCs w:val="20"/>
          <w:lang w:val="fr-FR"/>
        </w:rPr>
      </w:pPr>
    </w:p>
    <w:p w:rsidR="009E4EA7" w:rsidRPr="00D72746" w:rsidRDefault="009E4EA7" w:rsidP="009E4EA7">
      <w:pPr>
        <w:jc w:val="right"/>
        <w:rPr>
          <w:b/>
          <w:bCs/>
          <w:sz w:val="20"/>
          <w:szCs w:val="20"/>
          <w:lang w:val="fr-FR"/>
        </w:rPr>
      </w:pPr>
    </w:p>
    <w:p w:rsidR="009E4EA7" w:rsidRPr="00D72746" w:rsidRDefault="009E4EA7" w:rsidP="009E4EA7">
      <w:pPr>
        <w:jc w:val="right"/>
        <w:rPr>
          <w:b/>
          <w:bCs/>
          <w:sz w:val="18"/>
          <w:szCs w:val="18"/>
          <w:lang w:val="fr-FR"/>
        </w:rPr>
      </w:pPr>
    </w:p>
    <w:p w:rsidR="009E4EA7" w:rsidRPr="00D72746" w:rsidRDefault="009E4EA7" w:rsidP="009E4EA7">
      <w:pPr>
        <w:jc w:val="right"/>
        <w:rPr>
          <w:b/>
          <w:bCs/>
          <w:sz w:val="18"/>
          <w:szCs w:val="18"/>
          <w:lang w:val="fr-FR"/>
        </w:rPr>
      </w:pPr>
      <w:r w:rsidRPr="00D72746">
        <w:rPr>
          <w:b/>
          <w:bCs/>
          <w:sz w:val="18"/>
          <w:szCs w:val="18"/>
          <w:lang w:val="fr-FR"/>
        </w:rPr>
        <w:t>Abidjan, le</w:t>
      </w:r>
      <w:r w:rsidR="00D72746">
        <w:rPr>
          <w:b/>
          <w:bCs/>
          <w:sz w:val="18"/>
          <w:szCs w:val="18"/>
          <w:lang w:val="fr-FR"/>
        </w:rPr>
        <w:t xml:space="preserve"> 27 juillet </w:t>
      </w:r>
      <w:r w:rsidRPr="00D72746">
        <w:rPr>
          <w:b/>
          <w:bCs/>
          <w:sz w:val="18"/>
          <w:szCs w:val="18"/>
          <w:lang w:val="fr-FR"/>
        </w:rPr>
        <w:t>2023</w:t>
      </w:r>
    </w:p>
    <w:p w:rsidR="009E4EA7" w:rsidRPr="00D72746" w:rsidRDefault="009E4EA7" w:rsidP="009E4EA7">
      <w:pPr>
        <w:jc w:val="right"/>
        <w:rPr>
          <w:b/>
          <w:bCs/>
          <w:sz w:val="18"/>
          <w:szCs w:val="18"/>
          <w:lang w:val="fr-FR"/>
        </w:rPr>
      </w:pPr>
    </w:p>
    <w:p w:rsidR="00CE2FDD" w:rsidRDefault="00CE2FDD" w:rsidP="009E4EA7">
      <w:pPr>
        <w:jc w:val="right"/>
        <w:rPr>
          <w:b/>
          <w:bCs/>
          <w:sz w:val="18"/>
          <w:szCs w:val="18"/>
          <w:lang w:val="fr-FR"/>
        </w:rPr>
      </w:pPr>
    </w:p>
    <w:p w:rsidR="00CE2FDD" w:rsidRDefault="00CE2FDD" w:rsidP="009E4EA7">
      <w:pPr>
        <w:jc w:val="right"/>
        <w:rPr>
          <w:b/>
          <w:bCs/>
          <w:sz w:val="18"/>
          <w:szCs w:val="18"/>
          <w:lang w:val="fr-FR"/>
        </w:rPr>
      </w:pPr>
    </w:p>
    <w:p w:rsidR="00CE2FDD" w:rsidRDefault="00CE2FDD" w:rsidP="009E4EA7">
      <w:pPr>
        <w:jc w:val="right"/>
        <w:rPr>
          <w:b/>
          <w:bCs/>
          <w:sz w:val="18"/>
          <w:szCs w:val="18"/>
          <w:lang w:val="fr-FR"/>
        </w:rPr>
      </w:pPr>
    </w:p>
    <w:p w:rsidR="00CE2FDD" w:rsidRPr="001E7A64" w:rsidRDefault="00CE2FDD" w:rsidP="00CE2FDD">
      <w:pPr>
        <w:ind w:left="7080"/>
        <w:jc w:val="both"/>
        <w:rPr>
          <w:b/>
          <w:bCs/>
          <w:sz w:val="20"/>
          <w:szCs w:val="20"/>
          <w:u w:val="single"/>
          <w:lang w:val="fr-FR"/>
        </w:rPr>
      </w:pPr>
      <w:r w:rsidRPr="001E7A64">
        <w:rPr>
          <w:b/>
          <w:bCs/>
          <w:sz w:val="20"/>
          <w:szCs w:val="20"/>
          <w:u w:val="single"/>
          <w:lang w:val="fr-FR"/>
        </w:rPr>
        <w:t>Fabrice COULIBALY</w:t>
      </w:r>
    </w:p>
    <w:p w:rsidR="00CE2FDD" w:rsidRPr="001E7A64" w:rsidRDefault="00CE2FDD" w:rsidP="009E4EA7">
      <w:pPr>
        <w:jc w:val="right"/>
        <w:rPr>
          <w:b/>
          <w:bCs/>
          <w:sz w:val="14"/>
          <w:szCs w:val="14"/>
          <w:lang w:val="fr-FR"/>
        </w:rPr>
      </w:pPr>
    </w:p>
    <w:p w:rsidR="009E4EA7" w:rsidRPr="00D72746" w:rsidRDefault="009E4EA7" w:rsidP="009E4EA7">
      <w:pPr>
        <w:jc w:val="right"/>
        <w:rPr>
          <w:b/>
          <w:bCs/>
          <w:sz w:val="22"/>
          <w:szCs w:val="22"/>
          <w:lang w:val="fr-FR"/>
        </w:rPr>
      </w:pPr>
      <w:r w:rsidRPr="001E7A64">
        <w:rPr>
          <w:b/>
          <w:bCs/>
          <w:sz w:val="20"/>
          <w:szCs w:val="20"/>
          <w:lang w:val="fr-FR"/>
        </w:rPr>
        <w:t>Le Directeur Général de l’AGEROUTE</w:t>
      </w:r>
    </w:p>
    <w:p w:rsidR="009E4EA7" w:rsidRPr="00D72746" w:rsidRDefault="009E4EA7" w:rsidP="009E4EA7">
      <w:pPr>
        <w:jc w:val="right"/>
        <w:rPr>
          <w:sz w:val="22"/>
          <w:szCs w:val="22"/>
          <w:lang w:val="fr-FR"/>
        </w:rPr>
      </w:pPr>
    </w:p>
    <w:p w:rsidR="009E4EA7" w:rsidRPr="00D72746" w:rsidRDefault="009E4EA7" w:rsidP="009E4EA7">
      <w:pPr>
        <w:jc w:val="right"/>
        <w:rPr>
          <w:sz w:val="22"/>
          <w:szCs w:val="22"/>
          <w:lang w:val="fr-FR"/>
        </w:rPr>
      </w:pPr>
    </w:p>
    <w:p w:rsidR="009E4EA7" w:rsidRPr="00D3045A" w:rsidRDefault="009E4EA7" w:rsidP="009E4EA7">
      <w:pPr>
        <w:rPr>
          <w:lang w:val="fr-FR"/>
        </w:rPr>
      </w:pPr>
    </w:p>
    <w:p w:rsidR="009E4EA7" w:rsidRPr="001F08FF" w:rsidRDefault="009E4EA7" w:rsidP="009E4EA7">
      <w:pPr>
        <w:rPr>
          <w:rFonts w:ascii="Maiandra GD" w:hAnsi="Maiandra GD"/>
          <w:lang w:val="fr-FR"/>
        </w:rPr>
      </w:pPr>
    </w:p>
    <w:p w:rsidR="009E4EA7" w:rsidRPr="001F08FF" w:rsidRDefault="009E4EA7" w:rsidP="009E4EA7">
      <w:pPr>
        <w:rPr>
          <w:rFonts w:ascii="Maiandra GD" w:hAnsi="Maiandra GD"/>
        </w:rPr>
      </w:pPr>
    </w:p>
    <w:p w:rsidR="009E4EA7" w:rsidRDefault="009E4EA7"/>
    <w:sectPr w:rsidR="009E4EA7" w:rsidSect="003C56CE">
      <w:footerReference w:type="default" r:id="rId9"/>
      <w:pgSz w:w="11906" w:h="16838" w:code="9"/>
      <w:pgMar w:top="425" w:right="992" w:bottom="567" w:left="964"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0C95" w:rsidRDefault="00680C95">
      <w:r>
        <w:separator/>
      </w:r>
    </w:p>
  </w:endnote>
  <w:endnote w:type="continuationSeparator" w:id="0">
    <w:p w:rsidR="00680C95" w:rsidRDefault="0068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558234"/>
      <w:docPartObj>
        <w:docPartGallery w:val="Page Numbers (Bottom of Page)"/>
        <w:docPartUnique/>
      </w:docPartObj>
    </w:sdtPr>
    <w:sdtContent>
      <w:sdt>
        <w:sdtPr>
          <w:id w:val="1728636285"/>
          <w:docPartObj>
            <w:docPartGallery w:val="Page Numbers (Top of Page)"/>
            <w:docPartUnique/>
          </w:docPartObj>
        </w:sdtPr>
        <w:sdtContent>
          <w:p w:rsidR="00423FCA" w:rsidRDefault="00C10F54" w:rsidP="00CD3CE1">
            <w:pPr>
              <w:pStyle w:val="Pieddepage"/>
              <w:pBdr>
                <w:top w:val="single" w:sz="4" w:space="1" w:color="auto"/>
              </w:pBdr>
              <w:jc w:val="center"/>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Pr>
                <w:lang w:val="fr-FR"/>
              </w:rPr>
              <w:t xml:space="preserve"> sur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0C95" w:rsidRDefault="00680C95">
      <w:r>
        <w:separator/>
      </w:r>
    </w:p>
  </w:footnote>
  <w:footnote w:type="continuationSeparator" w:id="0">
    <w:p w:rsidR="00680C95" w:rsidRDefault="00680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BED"/>
    <w:multiLevelType w:val="hybridMultilevel"/>
    <w:tmpl w:val="ED36C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C049EC"/>
    <w:multiLevelType w:val="hybridMultilevel"/>
    <w:tmpl w:val="5A2CC2EE"/>
    <w:lvl w:ilvl="0" w:tplc="18283B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B21881"/>
    <w:multiLevelType w:val="hybridMultilevel"/>
    <w:tmpl w:val="2066612A"/>
    <w:lvl w:ilvl="0" w:tplc="040C0005">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 w15:restartNumberingAfterBreak="0">
    <w:nsid w:val="751F70B6"/>
    <w:multiLevelType w:val="hybridMultilevel"/>
    <w:tmpl w:val="38EAF0D6"/>
    <w:lvl w:ilvl="0" w:tplc="F7BC8E3C">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 w15:restartNumberingAfterBreak="0">
    <w:nsid w:val="76AE3228"/>
    <w:multiLevelType w:val="hybridMultilevel"/>
    <w:tmpl w:val="B6A4675E"/>
    <w:lvl w:ilvl="0" w:tplc="18283B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0758897">
    <w:abstractNumId w:val="4"/>
  </w:num>
  <w:num w:numId="2" w16cid:durableId="1978994177">
    <w:abstractNumId w:val="1"/>
  </w:num>
  <w:num w:numId="3" w16cid:durableId="976761021">
    <w:abstractNumId w:val="3"/>
  </w:num>
  <w:num w:numId="4" w16cid:durableId="1840120874">
    <w:abstractNumId w:val="2"/>
  </w:num>
  <w:num w:numId="5" w16cid:durableId="134979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A7"/>
    <w:rsid w:val="000A7052"/>
    <w:rsid w:val="000B732C"/>
    <w:rsid w:val="000F6294"/>
    <w:rsid w:val="001B640E"/>
    <w:rsid w:val="001E7A64"/>
    <w:rsid w:val="002D771F"/>
    <w:rsid w:val="003A7F76"/>
    <w:rsid w:val="003C56CE"/>
    <w:rsid w:val="00473CB9"/>
    <w:rsid w:val="00680C95"/>
    <w:rsid w:val="007C21B9"/>
    <w:rsid w:val="009E4EA7"/>
    <w:rsid w:val="00C10F54"/>
    <w:rsid w:val="00C40672"/>
    <w:rsid w:val="00CE2FDD"/>
    <w:rsid w:val="00D72746"/>
    <w:rsid w:val="00EE1BEF"/>
    <w:rsid w:val="00F5732E"/>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E4DB"/>
  <w15:chartTrackingRefBased/>
  <w15:docId w15:val="{7186188B-213D-4355-AFB8-A2CDC103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EA7"/>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terNumber">
    <w:name w:val="ChapterNumber"/>
    <w:rsid w:val="009E4EA7"/>
    <w:pPr>
      <w:tabs>
        <w:tab w:val="left" w:pos="-720"/>
      </w:tabs>
      <w:suppressAutoHyphens/>
      <w:spacing w:after="0" w:line="240" w:lineRule="auto"/>
    </w:pPr>
    <w:rPr>
      <w:rFonts w:ascii="CG Times" w:eastAsia="Arial" w:hAnsi="CG Times" w:cs="Times New Roman"/>
      <w:szCs w:val="20"/>
      <w:lang w:val="en-US" w:eastAsia="ar-SA"/>
    </w:rPr>
  </w:style>
  <w:style w:type="table" w:styleId="Grilledutableau">
    <w:name w:val="Table Grid"/>
    <w:basedOn w:val="TableauNormal"/>
    <w:uiPriority w:val="39"/>
    <w:rsid w:val="009E4EA7"/>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 1,List Paragraph1,Bullets,RM1,References,List Paragraph (numbered (a)),Paragraphe  revu,Paragraphe de liste1,Paragraphe de liste2"/>
    <w:basedOn w:val="Normal"/>
    <w:link w:val="ParagraphedelisteCar"/>
    <w:uiPriority w:val="1"/>
    <w:qFormat/>
    <w:rsid w:val="009E4EA7"/>
    <w:pPr>
      <w:ind w:left="720"/>
      <w:contextualSpacing/>
    </w:pPr>
  </w:style>
  <w:style w:type="paragraph" w:styleId="Pieddepage">
    <w:name w:val="footer"/>
    <w:basedOn w:val="Normal"/>
    <w:link w:val="PieddepageCar"/>
    <w:uiPriority w:val="99"/>
    <w:unhideWhenUsed/>
    <w:rsid w:val="009E4EA7"/>
    <w:pPr>
      <w:tabs>
        <w:tab w:val="center" w:pos="4536"/>
        <w:tab w:val="right" w:pos="9072"/>
      </w:tabs>
    </w:pPr>
  </w:style>
  <w:style w:type="character" w:customStyle="1" w:styleId="PieddepageCar">
    <w:name w:val="Pied de page Car"/>
    <w:basedOn w:val="Policepardfaut"/>
    <w:link w:val="Pieddepage"/>
    <w:uiPriority w:val="99"/>
    <w:rsid w:val="009E4EA7"/>
    <w:rPr>
      <w:rFonts w:ascii="Times New Roman" w:eastAsia="Times New Roman" w:hAnsi="Times New Roman" w:cs="Times New Roman"/>
      <w:sz w:val="24"/>
      <w:szCs w:val="24"/>
      <w:lang w:val="en-US"/>
    </w:rPr>
  </w:style>
  <w:style w:type="character" w:customStyle="1" w:styleId="ParagraphedelisteCar">
    <w:name w:val="Paragraphe de liste Car"/>
    <w:aliases w:val="Liste 1 Car,List Paragraph1 Car,Bullets Car,RM1 Car,References Car,List Paragraph (numbered (a)) Car,Paragraphe  revu Car,Paragraphe de liste1 Car,Paragraphe de liste2 Car"/>
    <w:link w:val="Paragraphedeliste"/>
    <w:uiPriority w:val="1"/>
    <w:locked/>
    <w:rsid w:val="009E4EA7"/>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0B73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732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route@ageroute.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TotalTime>
  <Pages>3</Pages>
  <Words>1374</Words>
  <Characters>7559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Valère Edoukou</dc:creator>
  <cp:keywords/>
  <dc:description/>
  <cp:lastModifiedBy>Jean Marc KOFFI</cp:lastModifiedBy>
  <cp:revision>10</cp:revision>
  <cp:lastPrinted>2023-07-27T17:01:00Z</cp:lastPrinted>
  <dcterms:created xsi:type="dcterms:W3CDTF">2023-07-27T16:01:00Z</dcterms:created>
  <dcterms:modified xsi:type="dcterms:W3CDTF">2023-07-28T15:14:00Z</dcterms:modified>
</cp:coreProperties>
</file>