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F374F" w14:textId="77777777" w:rsidR="005130C3" w:rsidRDefault="005130C3">
      <w:pPr>
        <w:pStyle w:val="Heading1a"/>
        <w:keepNext w:val="0"/>
        <w:keepLines w:val="0"/>
        <w:tabs>
          <w:tab w:val="clear" w:pos="-720"/>
        </w:tabs>
        <w:suppressAutoHyphens w:val="0"/>
        <w:rPr>
          <w:bCs/>
          <w:smallCaps w:val="0"/>
        </w:rPr>
      </w:pPr>
      <w:r>
        <w:rPr>
          <w:bCs/>
          <w:smallCaps w:val="0"/>
        </w:rPr>
        <w:t>GENERAL PROCUREMENT NOTICE</w:t>
      </w:r>
    </w:p>
    <w:p w14:paraId="08B9D640" w14:textId="77777777" w:rsidR="005130C3" w:rsidRDefault="005130C3">
      <w:pPr>
        <w:suppressAutoHyphens/>
        <w:rPr>
          <w:rFonts w:ascii="Times New Roman" w:hAnsi="Times New Roman"/>
          <w:spacing w:val="-2"/>
        </w:rPr>
      </w:pPr>
    </w:p>
    <w:p w14:paraId="5C5D152A" w14:textId="4E3F6805" w:rsidR="005F40FB" w:rsidRPr="001D5A25" w:rsidRDefault="00772158" w:rsidP="003818BD">
      <w:pPr>
        <w:suppressAutoHyphens/>
        <w:rPr>
          <w:rFonts w:ascii="Times New Roman" w:hAnsi="Times New Roman"/>
          <w:spacing w:val="-2"/>
          <w:sz w:val="24"/>
          <w:szCs w:val="22"/>
        </w:rPr>
      </w:pPr>
      <w:r w:rsidRPr="00772158">
        <w:rPr>
          <w:rFonts w:ascii="Times New Roman" w:hAnsi="Times New Roman"/>
          <w:i/>
          <w:iCs/>
          <w:spacing w:val="-2"/>
          <w:sz w:val="24"/>
          <w:szCs w:val="22"/>
        </w:rPr>
        <w:t>United Kingdom</w:t>
      </w:r>
    </w:p>
    <w:p w14:paraId="37E58B87" w14:textId="63006952" w:rsidR="00920788" w:rsidRPr="007A56B0" w:rsidRDefault="0001394F" w:rsidP="0081297F">
      <w:pPr>
        <w:suppressAutoHyphens/>
        <w:rPr>
          <w:rFonts w:ascii="Times New Roman" w:hAnsi="Times New Roman"/>
          <w:i/>
          <w:iCs/>
          <w:spacing w:val="-2"/>
          <w:sz w:val="24"/>
          <w:szCs w:val="22"/>
        </w:rPr>
      </w:pPr>
      <w:r w:rsidRPr="0001394F">
        <w:rPr>
          <w:rFonts w:ascii="Times New Roman" w:hAnsi="Times New Roman"/>
          <w:i/>
          <w:iCs/>
          <w:spacing w:val="-2"/>
          <w:sz w:val="24"/>
          <w:szCs w:val="22"/>
        </w:rPr>
        <w:t>Islamic Finance Grant for Developing a Digital Awqaf Fund Management Platform</w:t>
      </w:r>
    </w:p>
    <w:p w14:paraId="30C062C4" w14:textId="466ACEA6" w:rsidR="005F40FB" w:rsidRPr="007A56B0" w:rsidRDefault="0081297F" w:rsidP="00920788">
      <w:pPr>
        <w:suppressAutoHyphens/>
        <w:rPr>
          <w:rFonts w:ascii="Times New Roman" w:hAnsi="Times New Roman"/>
          <w:i/>
          <w:iCs/>
          <w:spacing w:val="-2"/>
          <w:sz w:val="24"/>
          <w:szCs w:val="22"/>
        </w:rPr>
      </w:pPr>
      <w:r w:rsidRPr="007A56B0">
        <w:rPr>
          <w:rFonts w:ascii="Times New Roman" w:hAnsi="Times New Roman"/>
          <w:i/>
          <w:iCs/>
          <w:spacing w:val="-2"/>
          <w:sz w:val="24"/>
          <w:szCs w:val="22"/>
        </w:rPr>
        <w:t>ISLAMIC ECONOMICS AND FINANCE</w:t>
      </w:r>
    </w:p>
    <w:p w14:paraId="6C56C19D" w14:textId="77777777" w:rsidR="001D5A25" w:rsidRPr="007A56B0" w:rsidRDefault="001D5A25" w:rsidP="003818BD">
      <w:pPr>
        <w:suppressAutoHyphens/>
        <w:rPr>
          <w:rFonts w:ascii="Times New Roman" w:hAnsi="Times New Roman"/>
          <w:spacing w:val="-2"/>
          <w:sz w:val="24"/>
        </w:rPr>
      </w:pPr>
    </w:p>
    <w:p w14:paraId="5F99B8F7" w14:textId="0542BCEF" w:rsidR="005F40FB" w:rsidRPr="00B96F14" w:rsidRDefault="005F40FB" w:rsidP="003818BD">
      <w:pPr>
        <w:suppressAutoHyphens/>
        <w:rPr>
          <w:rFonts w:ascii="Times New Roman" w:hAnsi="Times New Roman"/>
          <w:spacing w:val="-2"/>
          <w:sz w:val="24"/>
        </w:rPr>
      </w:pPr>
      <w:r w:rsidRPr="00B96F14">
        <w:rPr>
          <w:rFonts w:ascii="Times New Roman" w:hAnsi="Times New Roman"/>
          <w:spacing w:val="-2"/>
          <w:sz w:val="24"/>
        </w:rPr>
        <w:t>GENERAL PROCUREMENT NOTICE</w:t>
      </w:r>
    </w:p>
    <w:p w14:paraId="2759CBAD" w14:textId="7A50DFE8" w:rsidR="005F40FB" w:rsidRPr="00B96F14" w:rsidRDefault="005F40FB" w:rsidP="003818BD">
      <w:pPr>
        <w:pStyle w:val="BodyText"/>
        <w:rPr>
          <w:rFonts w:ascii="Times New Roman" w:hAnsi="Times New Roman"/>
          <w:szCs w:val="24"/>
        </w:rPr>
      </w:pPr>
      <w:r w:rsidRPr="00B96F14">
        <w:rPr>
          <w:rFonts w:ascii="Times New Roman" w:hAnsi="Times New Roman"/>
          <w:szCs w:val="24"/>
        </w:rPr>
        <w:t xml:space="preserve">Mode of Financing: </w:t>
      </w:r>
      <w:r w:rsidR="001D5A25">
        <w:rPr>
          <w:rFonts w:ascii="Times New Roman" w:hAnsi="Times New Roman"/>
          <w:i/>
          <w:iCs/>
          <w:szCs w:val="24"/>
        </w:rPr>
        <w:t>IsDB Institute Grant Financing</w:t>
      </w:r>
    </w:p>
    <w:p w14:paraId="3AE76D8F" w14:textId="0FFCBB44" w:rsidR="005F40FB" w:rsidRPr="00B96F14" w:rsidRDefault="005F40FB" w:rsidP="003818BD">
      <w:pPr>
        <w:pStyle w:val="BodyText"/>
        <w:rPr>
          <w:rFonts w:ascii="Times New Roman" w:hAnsi="Times New Roman"/>
          <w:szCs w:val="24"/>
        </w:rPr>
      </w:pPr>
      <w:r w:rsidRPr="00B96F14">
        <w:rPr>
          <w:rFonts w:ascii="Times New Roman" w:hAnsi="Times New Roman"/>
          <w:szCs w:val="24"/>
        </w:rPr>
        <w:t xml:space="preserve">Financing No. </w:t>
      </w:r>
      <w:r w:rsidR="006F77EA" w:rsidRPr="006F77EA">
        <w:rPr>
          <w:rFonts w:ascii="Times New Roman" w:hAnsi="Times New Roman"/>
          <w:i/>
          <w:iCs/>
          <w:szCs w:val="24"/>
        </w:rPr>
        <w:t>GBR1009</w:t>
      </w:r>
    </w:p>
    <w:p w14:paraId="5B62EC40" w14:textId="77777777" w:rsidR="005130C3" w:rsidRPr="00B96F14" w:rsidRDefault="005130C3">
      <w:pPr>
        <w:pStyle w:val="ChapterNumber"/>
        <w:tabs>
          <w:tab w:val="clear" w:pos="-720"/>
        </w:tabs>
        <w:rPr>
          <w:rFonts w:ascii="Times New Roman" w:hAnsi="Times New Roman"/>
          <w:spacing w:val="-2"/>
        </w:rPr>
      </w:pPr>
    </w:p>
    <w:p w14:paraId="7D0E4344" w14:textId="37054242" w:rsidR="005130C3" w:rsidRPr="00DE017B" w:rsidRDefault="005130C3" w:rsidP="7257D6DB">
      <w:pPr>
        <w:suppressAutoHyphens/>
        <w:jc w:val="both"/>
        <w:rPr>
          <w:rFonts w:ascii="Times New Roman" w:hAnsi="Times New Roman"/>
          <w:i/>
          <w:iCs/>
          <w:spacing w:val="-2"/>
          <w:sz w:val="24"/>
          <w:szCs w:val="24"/>
        </w:rPr>
      </w:pPr>
      <w:r w:rsidRPr="7257D6DB">
        <w:rPr>
          <w:rFonts w:ascii="Times New Roman" w:hAnsi="Times New Roman"/>
          <w:spacing w:val="-2"/>
          <w:sz w:val="24"/>
          <w:szCs w:val="24"/>
        </w:rPr>
        <w:t xml:space="preserve">The </w:t>
      </w:r>
      <w:r w:rsidR="001D5A25" w:rsidRPr="7257D6DB">
        <w:rPr>
          <w:rFonts w:ascii="Times New Roman" w:hAnsi="Times New Roman"/>
          <w:i/>
          <w:iCs/>
          <w:spacing w:val="-2"/>
          <w:sz w:val="24"/>
          <w:szCs w:val="24"/>
        </w:rPr>
        <w:t xml:space="preserve">Islamic Development Bank Institute </w:t>
      </w:r>
      <w:r w:rsidR="001D5A25" w:rsidRPr="7257D6DB">
        <w:rPr>
          <w:rFonts w:ascii="Times New Roman" w:hAnsi="Times New Roman"/>
          <w:spacing w:val="-2"/>
          <w:sz w:val="24"/>
          <w:szCs w:val="24"/>
        </w:rPr>
        <w:t>has approved grant financing</w:t>
      </w:r>
      <w:r w:rsidRPr="7257D6DB">
        <w:rPr>
          <w:rFonts w:ascii="Times New Roman" w:hAnsi="Times New Roman"/>
          <w:spacing w:val="-2"/>
          <w:sz w:val="24"/>
          <w:szCs w:val="24"/>
        </w:rPr>
        <w:t xml:space="preserve"> </w:t>
      </w:r>
      <w:r w:rsidR="00087A5D" w:rsidRPr="7257D6DB">
        <w:rPr>
          <w:rFonts w:ascii="Times New Roman" w:hAnsi="Times New Roman"/>
          <w:spacing w:val="-2"/>
          <w:sz w:val="24"/>
          <w:szCs w:val="24"/>
        </w:rPr>
        <w:t xml:space="preserve">for the </w:t>
      </w:r>
      <w:r w:rsidR="00F0555B" w:rsidRPr="00F0555B">
        <w:rPr>
          <w:rFonts w:ascii="Times New Roman" w:hAnsi="Times New Roman"/>
          <w:spacing w:val="-2"/>
          <w:sz w:val="24"/>
          <w:szCs w:val="24"/>
        </w:rPr>
        <w:t>Islamic Finance Grant for Developing a Digital Awqaf Fund Management Platform</w:t>
      </w:r>
      <w:r w:rsidR="00087A5D" w:rsidRPr="7257D6DB">
        <w:rPr>
          <w:rFonts w:ascii="Times New Roman" w:hAnsi="Times New Roman"/>
          <w:spacing w:val="-2"/>
          <w:sz w:val="24"/>
          <w:szCs w:val="24"/>
        </w:rPr>
        <w:t xml:space="preserve"> project</w:t>
      </w:r>
      <w:r w:rsidRPr="7257D6DB">
        <w:rPr>
          <w:rFonts w:ascii="Times New Roman" w:hAnsi="Times New Roman"/>
          <w:spacing w:val="-2"/>
          <w:sz w:val="24"/>
          <w:szCs w:val="24"/>
        </w:rPr>
        <w:t xml:space="preserve">, and it intends to apply part of the proceeds to payments for consulting services to be procured under this project. </w:t>
      </w:r>
    </w:p>
    <w:p w14:paraId="273776C0" w14:textId="77777777" w:rsidR="005130C3" w:rsidRPr="00B96F14" w:rsidRDefault="005130C3" w:rsidP="0065085F">
      <w:pPr>
        <w:suppressAutoHyphens/>
        <w:jc w:val="both"/>
        <w:rPr>
          <w:rFonts w:ascii="Times New Roman" w:hAnsi="Times New Roman"/>
          <w:spacing w:val="-2"/>
          <w:sz w:val="24"/>
        </w:rPr>
      </w:pPr>
    </w:p>
    <w:p w14:paraId="15D35EB9" w14:textId="7A1548B3" w:rsidR="005130C3" w:rsidRDefault="005130C3" w:rsidP="0065085F">
      <w:pPr>
        <w:suppressAutoHyphens/>
        <w:jc w:val="both"/>
        <w:rPr>
          <w:rFonts w:ascii="Times New Roman" w:hAnsi="Times New Roman"/>
          <w:spacing w:val="-2"/>
          <w:sz w:val="24"/>
        </w:rPr>
      </w:pPr>
      <w:r w:rsidRPr="00B96F14">
        <w:rPr>
          <w:rFonts w:ascii="Times New Roman" w:hAnsi="Times New Roman"/>
          <w:spacing w:val="-2"/>
          <w:sz w:val="24"/>
        </w:rPr>
        <w:t xml:space="preserve">The </w:t>
      </w:r>
      <w:r w:rsidR="00F0555B">
        <w:rPr>
          <w:rFonts w:ascii="Times New Roman" w:hAnsi="Times New Roman"/>
          <w:spacing w:val="-2"/>
          <w:sz w:val="24"/>
        </w:rPr>
        <w:t xml:space="preserve">project has two components with </w:t>
      </w:r>
      <w:r w:rsidRPr="00B96F14">
        <w:rPr>
          <w:rFonts w:ascii="Times New Roman" w:hAnsi="Times New Roman"/>
          <w:spacing w:val="-2"/>
          <w:sz w:val="24"/>
        </w:rPr>
        <w:t>the following</w:t>
      </w:r>
      <w:r w:rsidR="001D5A25">
        <w:rPr>
          <w:rFonts w:ascii="Times New Roman" w:hAnsi="Times New Roman"/>
          <w:spacing w:val="-2"/>
          <w:sz w:val="24"/>
        </w:rPr>
        <w:t xml:space="preserve"> </w:t>
      </w:r>
      <w:r w:rsidR="00D52227">
        <w:rPr>
          <w:rFonts w:ascii="Times New Roman" w:hAnsi="Times New Roman"/>
          <w:spacing w:val="-2"/>
          <w:sz w:val="24"/>
        </w:rPr>
        <w:t>deliverables</w:t>
      </w:r>
      <w:r w:rsidR="001D5A25">
        <w:rPr>
          <w:rFonts w:ascii="Times New Roman" w:hAnsi="Times New Roman"/>
          <w:spacing w:val="-2"/>
          <w:sz w:val="24"/>
        </w:rPr>
        <w:t>:</w:t>
      </w:r>
      <w:r w:rsidRPr="00B96F14">
        <w:rPr>
          <w:rFonts w:ascii="Times New Roman" w:hAnsi="Times New Roman"/>
          <w:spacing w:val="-2"/>
          <w:sz w:val="24"/>
        </w:rPr>
        <w:t xml:space="preserve"> </w:t>
      </w:r>
    </w:p>
    <w:p w14:paraId="523626D4" w14:textId="6E3F7A28" w:rsidR="001D5A25" w:rsidRDefault="001D5A25" w:rsidP="001F4D12">
      <w:pPr>
        <w:suppressAutoHyphens/>
        <w:jc w:val="both"/>
        <w:rPr>
          <w:rFonts w:ascii="Times New Roman" w:hAnsi="Times New Roman"/>
          <w:spacing w:val="-2"/>
          <w:sz w:val="24"/>
        </w:rPr>
      </w:pPr>
    </w:p>
    <w:p w14:paraId="1C771A8D" w14:textId="48019ECE" w:rsidR="001F4D12" w:rsidRPr="00A93FAE" w:rsidRDefault="00D879CE" w:rsidP="00A93FAE">
      <w:pPr>
        <w:pStyle w:val="ListParagraph"/>
        <w:numPr>
          <w:ilvl w:val="0"/>
          <w:numId w:val="3"/>
        </w:numPr>
        <w:spacing w:after="0" w:line="240" w:lineRule="auto"/>
        <w:ind w:left="450"/>
        <w:rPr>
          <w:rFonts w:asciiTheme="majorBidi" w:hAnsiTheme="majorBidi" w:cstheme="majorBidi"/>
          <w:b/>
          <w:bCs/>
          <w:sz w:val="22"/>
          <w:szCs w:val="22"/>
        </w:rPr>
      </w:pPr>
      <w:r w:rsidRPr="00A93FAE">
        <w:rPr>
          <w:rFonts w:asciiTheme="majorBidi" w:hAnsiTheme="majorBidi" w:cstheme="majorBidi"/>
          <w:b/>
          <w:bCs/>
          <w:sz w:val="22"/>
          <w:szCs w:val="22"/>
        </w:rPr>
        <w:t>Component 1</w:t>
      </w:r>
      <w:r w:rsidR="0058450F" w:rsidRPr="00A93FAE">
        <w:rPr>
          <w:rFonts w:asciiTheme="majorBidi" w:hAnsiTheme="majorBidi" w:cstheme="majorBidi"/>
          <w:b/>
          <w:bCs/>
          <w:sz w:val="22"/>
          <w:szCs w:val="22"/>
        </w:rPr>
        <w:t>-Consultancy Services for Financial Accounting and Compliance</w:t>
      </w:r>
      <w:r w:rsidR="00A93FAE" w:rsidRPr="00A93FAE">
        <w:rPr>
          <w:rFonts w:asciiTheme="majorBidi" w:hAnsiTheme="majorBidi" w:cstheme="majorBidi"/>
          <w:b/>
          <w:bCs/>
          <w:sz w:val="22"/>
          <w:szCs w:val="22"/>
        </w:rPr>
        <w:t>:</w:t>
      </w:r>
    </w:p>
    <w:p w14:paraId="1286F9A5" w14:textId="77777777" w:rsidR="005C7504" w:rsidRPr="005C7504" w:rsidRDefault="005C7504" w:rsidP="005C7504">
      <w:pPr>
        <w:pStyle w:val="ListParagraph"/>
        <w:numPr>
          <w:ilvl w:val="0"/>
          <w:numId w:val="7"/>
        </w:numPr>
        <w:ind w:left="540"/>
        <w:rPr>
          <w:rFonts w:asciiTheme="majorBidi" w:hAnsiTheme="majorBidi" w:cstheme="majorBidi"/>
          <w:sz w:val="24"/>
          <w:szCs w:val="24"/>
        </w:rPr>
      </w:pPr>
      <w:r w:rsidRPr="005C7504">
        <w:rPr>
          <w:rFonts w:asciiTheme="majorBidi" w:hAnsiTheme="majorBidi" w:cstheme="majorBidi"/>
          <w:sz w:val="24"/>
          <w:szCs w:val="24"/>
        </w:rPr>
        <w:t>Setting up accounting systems: The firm will be responsible for setting up and implementing an accounting system that is compliant with Islamic finance principles, which includes documenting all transactions, ensuring proper record keeping, and providing regular financial reports to the board.</w:t>
      </w:r>
    </w:p>
    <w:p w14:paraId="5F23F081" w14:textId="77777777" w:rsidR="005C7504" w:rsidRPr="005C7504" w:rsidRDefault="005C7504" w:rsidP="005C7504">
      <w:pPr>
        <w:pStyle w:val="ListParagraph"/>
        <w:numPr>
          <w:ilvl w:val="0"/>
          <w:numId w:val="7"/>
        </w:numPr>
        <w:ind w:left="540"/>
        <w:rPr>
          <w:rFonts w:asciiTheme="majorBidi" w:hAnsiTheme="majorBidi" w:cstheme="majorBidi"/>
          <w:sz w:val="24"/>
          <w:szCs w:val="24"/>
        </w:rPr>
      </w:pPr>
      <w:r w:rsidRPr="005C7504">
        <w:rPr>
          <w:rFonts w:asciiTheme="majorBidi" w:hAnsiTheme="majorBidi" w:cstheme="majorBidi"/>
          <w:sz w:val="24"/>
          <w:szCs w:val="24"/>
        </w:rPr>
        <w:t>Bookkeeping and Financial Reporting: The firm will be responsible for maintaining accurate records of all financial transactions, reconciling accounts, preparing monthly financial statements and reports, and submitting regulatory filings in accordance with applicable laws and regulations.</w:t>
      </w:r>
    </w:p>
    <w:p w14:paraId="00CE5C3C" w14:textId="77777777" w:rsidR="005C7504" w:rsidRPr="005C7504" w:rsidRDefault="005C7504" w:rsidP="005C7504">
      <w:pPr>
        <w:pStyle w:val="ListParagraph"/>
        <w:numPr>
          <w:ilvl w:val="0"/>
          <w:numId w:val="7"/>
        </w:numPr>
        <w:ind w:left="540"/>
        <w:rPr>
          <w:rFonts w:asciiTheme="majorBidi" w:hAnsiTheme="majorBidi" w:cstheme="majorBidi"/>
          <w:sz w:val="24"/>
          <w:szCs w:val="24"/>
        </w:rPr>
      </w:pPr>
      <w:r w:rsidRPr="005C7504">
        <w:rPr>
          <w:rFonts w:asciiTheme="majorBidi" w:hAnsiTheme="majorBidi" w:cstheme="majorBidi"/>
          <w:sz w:val="24"/>
          <w:szCs w:val="24"/>
        </w:rPr>
        <w:t>Compliance: The firm will ensure compliance with all applicable laws, regulations, and accounting standards, as well as Islamic finance principles, by conducting regular internal audits and providing guidance to the board of directors.</w:t>
      </w:r>
    </w:p>
    <w:p w14:paraId="32CCB2E1" w14:textId="77777777" w:rsidR="001F4D12" w:rsidRPr="001F4D12" w:rsidRDefault="001F4D12" w:rsidP="001F4D12">
      <w:pPr>
        <w:pStyle w:val="ListParagraph"/>
        <w:ind w:left="1080"/>
        <w:rPr>
          <w:rFonts w:asciiTheme="majorBidi" w:hAnsiTheme="majorBidi" w:cstheme="majorBidi"/>
          <w:sz w:val="24"/>
          <w:szCs w:val="24"/>
        </w:rPr>
      </w:pPr>
    </w:p>
    <w:p w14:paraId="02E348AA" w14:textId="0D4CAE9C" w:rsidR="00F822DF" w:rsidRPr="000B3C65" w:rsidRDefault="000B3C65" w:rsidP="000B3C65">
      <w:pPr>
        <w:pStyle w:val="ListParagraph"/>
        <w:numPr>
          <w:ilvl w:val="0"/>
          <w:numId w:val="3"/>
        </w:numPr>
        <w:spacing w:after="0" w:line="240" w:lineRule="auto"/>
        <w:ind w:left="450"/>
        <w:rPr>
          <w:rFonts w:asciiTheme="majorBidi" w:hAnsiTheme="majorBidi" w:cstheme="majorBidi"/>
          <w:b/>
          <w:bCs/>
          <w:sz w:val="24"/>
          <w:szCs w:val="24"/>
        </w:rPr>
      </w:pPr>
      <w:r w:rsidRPr="000B3C65">
        <w:rPr>
          <w:rFonts w:asciiTheme="majorBidi" w:hAnsiTheme="majorBidi" w:cstheme="majorBidi"/>
          <w:b/>
          <w:bCs/>
          <w:sz w:val="22"/>
          <w:szCs w:val="22"/>
        </w:rPr>
        <w:t>Component 2- Technology and Software</w:t>
      </w:r>
      <w:r>
        <w:rPr>
          <w:rFonts w:asciiTheme="majorBidi" w:hAnsiTheme="majorBidi" w:cstheme="majorBidi"/>
          <w:b/>
          <w:bCs/>
          <w:sz w:val="24"/>
          <w:szCs w:val="24"/>
        </w:rPr>
        <w:t xml:space="preserve"> </w:t>
      </w:r>
      <w:r w:rsidRPr="000B3C65">
        <w:rPr>
          <w:rFonts w:asciiTheme="majorBidi" w:hAnsiTheme="majorBidi" w:cstheme="majorBidi"/>
          <w:b/>
          <w:bCs/>
          <w:sz w:val="24"/>
          <w:szCs w:val="24"/>
        </w:rPr>
        <w:t>Requirements for a Web and Mobile Application for a Waqf Fund</w:t>
      </w:r>
      <w:r w:rsidR="001B53B8">
        <w:rPr>
          <w:rFonts w:asciiTheme="majorBidi" w:hAnsiTheme="majorBidi" w:cstheme="majorBidi"/>
          <w:b/>
          <w:bCs/>
          <w:sz w:val="24"/>
          <w:szCs w:val="24"/>
        </w:rPr>
        <w:t>:</w:t>
      </w:r>
    </w:p>
    <w:p w14:paraId="089E7925" w14:textId="77777777" w:rsidR="001B53B8" w:rsidRDefault="001B53B8" w:rsidP="001B53B8">
      <w:pPr>
        <w:pStyle w:val="ListParagraph"/>
        <w:numPr>
          <w:ilvl w:val="0"/>
          <w:numId w:val="7"/>
        </w:numPr>
        <w:ind w:left="540"/>
        <w:rPr>
          <w:rFonts w:asciiTheme="majorBidi" w:hAnsiTheme="majorBidi" w:cstheme="majorBidi"/>
          <w:sz w:val="24"/>
          <w:szCs w:val="24"/>
        </w:rPr>
      </w:pPr>
      <w:r w:rsidRPr="001B53B8">
        <w:rPr>
          <w:rFonts w:asciiTheme="majorBidi" w:hAnsiTheme="majorBidi" w:cstheme="majorBidi"/>
          <w:sz w:val="24"/>
          <w:szCs w:val="24"/>
        </w:rPr>
        <w:t xml:space="preserve">Development of a user-friendly web and mobile application that allows users to easily make contributions to our fund. </w:t>
      </w:r>
    </w:p>
    <w:p w14:paraId="53EE256D" w14:textId="77777777" w:rsidR="001B53B8" w:rsidRDefault="001B53B8" w:rsidP="001B53B8">
      <w:pPr>
        <w:pStyle w:val="ListParagraph"/>
        <w:numPr>
          <w:ilvl w:val="0"/>
          <w:numId w:val="7"/>
        </w:numPr>
        <w:ind w:left="540"/>
        <w:rPr>
          <w:rFonts w:asciiTheme="majorBidi" w:hAnsiTheme="majorBidi" w:cstheme="majorBidi"/>
          <w:sz w:val="24"/>
          <w:szCs w:val="24"/>
        </w:rPr>
      </w:pPr>
      <w:r w:rsidRPr="001B53B8">
        <w:rPr>
          <w:rFonts w:asciiTheme="majorBidi" w:hAnsiTheme="majorBidi" w:cstheme="majorBidi"/>
          <w:sz w:val="24"/>
          <w:szCs w:val="24"/>
        </w:rPr>
        <w:t xml:space="preserve">Integration of payment gateway and third-party APIs to allow for secure and seamless transactions. </w:t>
      </w:r>
    </w:p>
    <w:p w14:paraId="366C3601" w14:textId="77777777" w:rsidR="001B53B8" w:rsidRDefault="001B53B8" w:rsidP="001B53B8">
      <w:pPr>
        <w:pStyle w:val="ListParagraph"/>
        <w:numPr>
          <w:ilvl w:val="0"/>
          <w:numId w:val="7"/>
        </w:numPr>
        <w:ind w:left="540"/>
        <w:rPr>
          <w:rFonts w:asciiTheme="majorBidi" w:hAnsiTheme="majorBidi" w:cstheme="majorBidi"/>
          <w:sz w:val="24"/>
          <w:szCs w:val="24"/>
        </w:rPr>
      </w:pPr>
      <w:r w:rsidRPr="001B53B8">
        <w:rPr>
          <w:rFonts w:asciiTheme="majorBidi" w:hAnsiTheme="majorBidi" w:cstheme="majorBidi"/>
          <w:sz w:val="24"/>
          <w:szCs w:val="24"/>
        </w:rPr>
        <w:t xml:space="preserve">Development of an intuitive user interface that allows for easy navigation and usage of the application. </w:t>
      </w:r>
    </w:p>
    <w:p w14:paraId="0540F81B" w14:textId="77777777" w:rsidR="001B53B8" w:rsidRDefault="001B53B8" w:rsidP="001B53B8">
      <w:pPr>
        <w:pStyle w:val="ListParagraph"/>
        <w:numPr>
          <w:ilvl w:val="0"/>
          <w:numId w:val="7"/>
        </w:numPr>
        <w:ind w:left="540"/>
        <w:rPr>
          <w:rFonts w:asciiTheme="majorBidi" w:hAnsiTheme="majorBidi" w:cstheme="majorBidi"/>
          <w:sz w:val="24"/>
          <w:szCs w:val="24"/>
        </w:rPr>
      </w:pPr>
      <w:r w:rsidRPr="001B53B8">
        <w:rPr>
          <w:rFonts w:asciiTheme="majorBidi" w:hAnsiTheme="majorBidi" w:cstheme="majorBidi"/>
          <w:sz w:val="24"/>
          <w:szCs w:val="24"/>
        </w:rPr>
        <w:t xml:space="preserve">Implementation of a secure and scalable architecture to handle the growing user base. </w:t>
      </w:r>
    </w:p>
    <w:p w14:paraId="2AC32BE1" w14:textId="44297381" w:rsidR="001F4D12" w:rsidRPr="001B53B8" w:rsidRDefault="001B53B8" w:rsidP="001B53B8">
      <w:pPr>
        <w:pStyle w:val="ListParagraph"/>
        <w:numPr>
          <w:ilvl w:val="0"/>
          <w:numId w:val="7"/>
        </w:numPr>
        <w:ind w:left="540"/>
        <w:rPr>
          <w:rFonts w:asciiTheme="majorBidi" w:hAnsiTheme="majorBidi" w:cstheme="majorBidi"/>
          <w:sz w:val="24"/>
          <w:szCs w:val="24"/>
        </w:rPr>
      </w:pPr>
      <w:r w:rsidRPr="001B53B8">
        <w:rPr>
          <w:rFonts w:asciiTheme="majorBidi" w:hAnsiTheme="majorBidi" w:cstheme="majorBidi"/>
          <w:sz w:val="24"/>
          <w:szCs w:val="24"/>
        </w:rPr>
        <w:t>Provision of technical support and maintenance services post-launch.</w:t>
      </w:r>
      <w:r w:rsidR="00514999" w:rsidRPr="00514999">
        <w:rPr>
          <w:rFonts w:asciiTheme="majorBidi" w:hAnsiTheme="majorBidi" w:cstheme="majorBidi"/>
          <w:sz w:val="24"/>
          <w:szCs w:val="24"/>
        </w:rPr>
        <w:t xml:space="preserve">  </w:t>
      </w:r>
    </w:p>
    <w:p w14:paraId="49F1387B" w14:textId="404D7B42" w:rsidR="005130C3" w:rsidRPr="00B96F14" w:rsidRDefault="005130C3" w:rsidP="0065085F">
      <w:pPr>
        <w:suppressAutoHyphens/>
        <w:jc w:val="both"/>
        <w:rPr>
          <w:rFonts w:ascii="Times New Roman" w:hAnsi="Times New Roman"/>
          <w:i/>
          <w:spacing w:val="-2"/>
          <w:sz w:val="24"/>
        </w:rPr>
      </w:pPr>
      <w:r w:rsidRPr="00B96F14">
        <w:rPr>
          <w:rFonts w:ascii="Times New Roman" w:hAnsi="Times New Roman"/>
          <w:spacing w:val="-2"/>
          <w:sz w:val="24"/>
        </w:rPr>
        <w:t xml:space="preserve">Procurement of contracts financed by the </w:t>
      </w:r>
      <w:r w:rsidR="00DF62EB" w:rsidRPr="00B96F14">
        <w:rPr>
          <w:rFonts w:ascii="Times New Roman" w:hAnsi="Times New Roman"/>
          <w:spacing w:val="-2"/>
          <w:sz w:val="24"/>
        </w:rPr>
        <w:t>Islamic Development</w:t>
      </w:r>
      <w:r w:rsidRPr="00B96F14">
        <w:rPr>
          <w:rFonts w:ascii="Times New Roman" w:hAnsi="Times New Roman"/>
          <w:spacing w:val="-2"/>
          <w:sz w:val="24"/>
        </w:rPr>
        <w:t xml:space="preserve"> Bank</w:t>
      </w:r>
      <w:r w:rsidR="001D5A25">
        <w:rPr>
          <w:rFonts w:ascii="Times New Roman" w:hAnsi="Times New Roman"/>
          <w:spacing w:val="-2"/>
          <w:sz w:val="24"/>
        </w:rPr>
        <w:t>/Islamic Development Bank Institute</w:t>
      </w:r>
      <w:r w:rsidRPr="00B96F14">
        <w:rPr>
          <w:rFonts w:ascii="Times New Roman" w:hAnsi="Times New Roman"/>
          <w:spacing w:val="-2"/>
          <w:sz w:val="24"/>
        </w:rPr>
        <w:t xml:space="preserve"> will be conducted through the procedures as specified in the </w:t>
      </w:r>
      <w:r w:rsidR="00DF62EB" w:rsidRPr="00B96F14">
        <w:rPr>
          <w:rFonts w:ascii="Times New Roman" w:hAnsi="Times New Roman"/>
          <w:spacing w:val="-2"/>
          <w:sz w:val="24"/>
        </w:rPr>
        <w:t xml:space="preserve">Guidelines for </w:t>
      </w:r>
      <w:r w:rsidR="00DF62EB" w:rsidRPr="00B96F14">
        <w:rPr>
          <w:rFonts w:ascii="Times New Roman" w:hAnsi="Times New Roman"/>
          <w:spacing w:val="-2"/>
          <w:sz w:val="24"/>
          <w:u w:val="single"/>
        </w:rPr>
        <w:t>Procurement of Goods</w:t>
      </w:r>
      <w:r w:rsidR="00DB5377" w:rsidRPr="00B96F14">
        <w:rPr>
          <w:rFonts w:ascii="Times New Roman" w:hAnsi="Times New Roman"/>
          <w:spacing w:val="-2"/>
          <w:sz w:val="24"/>
          <w:u w:val="single"/>
        </w:rPr>
        <w:t xml:space="preserve">, </w:t>
      </w:r>
      <w:r w:rsidR="00DF62EB" w:rsidRPr="00B96F14">
        <w:rPr>
          <w:rFonts w:ascii="Times New Roman" w:hAnsi="Times New Roman"/>
          <w:spacing w:val="-2"/>
          <w:sz w:val="24"/>
          <w:u w:val="single"/>
        </w:rPr>
        <w:t>Works</w:t>
      </w:r>
      <w:r w:rsidR="00CF1A04">
        <w:rPr>
          <w:rFonts w:ascii="Times New Roman" w:hAnsi="Times New Roman"/>
          <w:spacing w:val="-2"/>
          <w:sz w:val="24"/>
          <w:u w:val="single"/>
        </w:rPr>
        <w:t>,</w:t>
      </w:r>
      <w:r w:rsidR="00DF62EB" w:rsidRPr="00B96F14">
        <w:rPr>
          <w:rFonts w:ascii="Times New Roman" w:hAnsi="Times New Roman"/>
          <w:spacing w:val="-2"/>
          <w:sz w:val="24"/>
          <w:u w:val="single"/>
        </w:rPr>
        <w:t xml:space="preserve"> </w:t>
      </w:r>
      <w:r w:rsidR="00DB5377" w:rsidRPr="00B96F14">
        <w:rPr>
          <w:rFonts w:ascii="Times New Roman" w:hAnsi="Times New Roman"/>
          <w:spacing w:val="-2"/>
          <w:sz w:val="24"/>
          <w:u w:val="single"/>
        </w:rPr>
        <w:t xml:space="preserve">and related services </w:t>
      </w:r>
      <w:r w:rsidR="00DF62EB" w:rsidRPr="00B96F14">
        <w:rPr>
          <w:rFonts w:ascii="Times New Roman" w:hAnsi="Times New Roman"/>
          <w:spacing w:val="-2"/>
          <w:sz w:val="24"/>
          <w:u w:val="single"/>
        </w:rPr>
        <w:t xml:space="preserve">under Islamic Development Bank </w:t>
      </w:r>
      <w:r w:rsidR="00DB5377" w:rsidRPr="00B96F14">
        <w:rPr>
          <w:rFonts w:ascii="Times New Roman" w:hAnsi="Times New Roman"/>
          <w:spacing w:val="-2"/>
          <w:sz w:val="24"/>
          <w:u w:val="single"/>
        </w:rPr>
        <w:t xml:space="preserve">Project </w:t>
      </w:r>
      <w:r w:rsidR="00DF62EB" w:rsidRPr="00B96F14">
        <w:rPr>
          <w:rFonts w:ascii="Times New Roman" w:hAnsi="Times New Roman"/>
          <w:spacing w:val="-2"/>
          <w:sz w:val="24"/>
          <w:u w:val="single"/>
        </w:rPr>
        <w:t>Financing</w:t>
      </w:r>
      <w:r w:rsidRPr="00B96F14">
        <w:rPr>
          <w:rFonts w:ascii="Times New Roman" w:hAnsi="Times New Roman"/>
          <w:spacing w:val="-2"/>
          <w:sz w:val="24"/>
        </w:rPr>
        <w:t xml:space="preserve"> (current edition</w:t>
      </w:r>
      <w:r w:rsidR="001D5A25" w:rsidRPr="00B96F14">
        <w:rPr>
          <w:rFonts w:ascii="Times New Roman" w:hAnsi="Times New Roman"/>
          <w:spacing w:val="-2"/>
          <w:sz w:val="24"/>
        </w:rPr>
        <w:t>) and</w:t>
      </w:r>
      <w:r w:rsidRPr="00B96F14">
        <w:rPr>
          <w:rFonts w:ascii="Times New Roman" w:hAnsi="Times New Roman"/>
          <w:spacing w:val="-2"/>
          <w:sz w:val="24"/>
        </w:rPr>
        <w:t xml:space="preserve"> is open to all eligible </w:t>
      </w:r>
      <w:r w:rsidR="001D5A25" w:rsidRPr="00B96F14">
        <w:rPr>
          <w:rFonts w:ascii="Times New Roman" w:hAnsi="Times New Roman"/>
          <w:spacing w:val="-2"/>
          <w:sz w:val="24"/>
        </w:rPr>
        <w:t>bidders as</w:t>
      </w:r>
      <w:r w:rsidRPr="00B96F14">
        <w:rPr>
          <w:rFonts w:ascii="Times New Roman" w:hAnsi="Times New Roman"/>
          <w:spacing w:val="-2"/>
          <w:sz w:val="24"/>
        </w:rPr>
        <w:t xml:space="preserve"> defined in the guidelines.</w:t>
      </w:r>
      <w:r w:rsidRPr="00B96F14">
        <w:rPr>
          <w:rFonts w:ascii="Times New Roman" w:hAnsi="Times New Roman"/>
          <w:sz w:val="24"/>
        </w:rPr>
        <w:t xml:space="preserve"> </w:t>
      </w:r>
      <w:r w:rsidRPr="00B96F14">
        <w:rPr>
          <w:rFonts w:ascii="Times New Roman" w:hAnsi="Times New Roman"/>
          <w:spacing w:val="-2"/>
          <w:sz w:val="24"/>
        </w:rPr>
        <w:t xml:space="preserve">Consulting services will be selected in accordance with the </w:t>
      </w:r>
      <w:r w:rsidR="00DF62EB" w:rsidRPr="00B96F14">
        <w:rPr>
          <w:rFonts w:ascii="Times New Roman" w:hAnsi="Times New Roman"/>
          <w:spacing w:val="-2"/>
          <w:sz w:val="24"/>
          <w:u w:val="single"/>
        </w:rPr>
        <w:lastRenderedPageBreak/>
        <w:t xml:space="preserve">Guidelines for the </w:t>
      </w:r>
      <w:r w:rsidR="00DB5377" w:rsidRPr="00B96F14">
        <w:rPr>
          <w:rFonts w:ascii="Times New Roman" w:hAnsi="Times New Roman"/>
          <w:spacing w:val="-2"/>
          <w:sz w:val="24"/>
          <w:u w:val="single"/>
        </w:rPr>
        <w:t xml:space="preserve">Procurement </w:t>
      </w:r>
      <w:r w:rsidR="00DF62EB" w:rsidRPr="00B96F14">
        <w:rPr>
          <w:rFonts w:ascii="Times New Roman" w:hAnsi="Times New Roman"/>
          <w:spacing w:val="-2"/>
          <w:sz w:val="24"/>
          <w:u w:val="single"/>
        </w:rPr>
        <w:t>of Consultant</w:t>
      </w:r>
      <w:r w:rsidR="00DB5377" w:rsidRPr="00B96F14">
        <w:rPr>
          <w:rFonts w:ascii="Times New Roman" w:hAnsi="Times New Roman"/>
          <w:spacing w:val="-2"/>
          <w:sz w:val="24"/>
          <w:u w:val="single"/>
        </w:rPr>
        <w:t xml:space="preserve"> Service</w:t>
      </w:r>
      <w:r w:rsidR="00DF62EB" w:rsidRPr="00B96F14">
        <w:rPr>
          <w:rFonts w:ascii="Times New Roman" w:hAnsi="Times New Roman"/>
          <w:spacing w:val="-2"/>
          <w:sz w:val="24"/>
          <w:u w:val="single"/>
        </w:rPr>
        <w:t xml:space="preserve">s under Islamic Development Bank </w:t>
      </w:r>
      <w:r w:rsidR="00DB5377" w:rsidRPr="00B96F14">
        <w:rPr>
          <w:rFonts w:ascii="Times New Roman" w:hAnsi="Times New Roman"/>
          <w:spacing w:val="-2"/>
          <w:sz w:val="24"/>
          <w:u w:val="single"/>
        </w:rPr>
        <w:t xml:space="preserve">Project </w:t>
      </w:r>
      <w:r w:rsidR="00DF62EB" w:rsidRPr="00B96F14">
        <w:rPr>
          <w:rFonts w:ascii="Times New Roman" w:hAnsi="Times New Roman"/>
          <w:spacing w:val="-2"/>
          <w:sz w:val="24"/>
          <w:u w:val="single"/>
        </w:rPr>
        <w:t>Financing</w:t>
      </w:r>
      <w:r w:rsidRPr="00B96F14">
        <w:rPr>
          <w:rFonts w:ascii="Times New Roman" w:hAnsi="Times New Roman"/>
          <w:spacing w:val="-2"/>
          <w:sz w:val="24"/>
          <w:u w:val="single"/>
        </w:rPr>
        <w:t xml:space="preserve"> </w:t>
      </w:r>
      <w:r w:rsidRPr="00B96F14">
        <w:rPr>
          <w:rFonts w:ascii="Times New Roman" w:hAnsi="Times New Roman"/>
          <w:spacing w:val="-2"/>
          <w:sz w:val="24"/>
        </w:rPr>
        <w:t>(current edition).</w:t>
      </w:r>
    </w:p>
    <w:p w14:paraId="46109402" w14:textId="77777777" w:rsidR="005130C3" w:rsidRPr="00B96F14" w:rsidRDefault="005130C3" w:rsidP="0065085F">
      <w:pPr>
        <w:suppressAutoHyphens/>
        <w:jc w:val="both"/>
        <w:rPr>
          <w:rFonts w:ascii="Times New Roman" w:hAnsi="Times New Roman"/>
          <w:spacing w:val="-2"/>
          <w:sz w:val="24"/>
        </w:rPr>
      </w:pPr>
    </w:p>
    <w:p w14:paraId="050AFBF4" w14:textId="2F9DB2B1" w:rsidR="005130C3" w:rsidRPr="00B96F14" w:rsidRDefault="005130C3" w:rsidP="0065085F">
      <w:pPr>
        <w:suppressAutoHyphens/>
        <w:jc w:val="both"/>
        <w:rPr>
          <w:rFonts w:ascii="Times New Roman" w:hAnsi="Times New Roman"/>
          <w:iCs/>
          <w:spacing w:val="-2"/>
          <w:sz w:val="24"/>
        </w:rPr>
      </w:pPr>
      <w:r w:rsidRPr="00B96F14">
        <w:rPr>
          <w:rFonts w:ascii="Times New Roman" w:hAnsi="Times New Roman"/>
          <w:spacing w:val="-2"/>
          <w:sz w:val="24"/>
        </w:rPr>
        <w:t xml:space="preserve">Specific procurement notices for contracts to be bid under the </w:t>
      </w:r>
      <w:r w:rsidR="00DF62EB" w:rsidRPr="00B96F14">
        <w:rPr>
          <w:rFonts w:ascii="Times New Roman" w:hAnsi="Times New Roman"/>
          <w:spacing w:val="-2"/>
          <w:sz w:val="24"/>
        </w:rPr>
        <w:t>Islamic Development</w:t>
      </w:r>
      <w:r w:rsidRPr="00B96F14">
        <w:rPr>
          <w:rFonts w:ascii="Times New Roman" w:hAnsi="Times New Roman"/>
          <w:spacing w:val="-2"/>
          <w:sz w:val="24"/>
        </w:rPr>
        <w:t xml:space="preserve"> Bank’s international competitive bidding (ICB) </w:t>
      </w:r>
      <w:r w:rsidR="00DF62EB" w:rsidRPr="00B96F14">
        <w:rPr>
          <w:rFonts w:ascii="Times New Roman" w:hAnsi="Times New Roman"/>
          <w:spacing w:val="-2"/>
          <w:sz w:val="24"/>
        </w:rPr>
        <w:t xml:space="preserve">or international competitive bidding – member countries (ICB/MC) </w:t>
      </w:r>
      <w:r w:rsidRPr="00B96F14">
        <w:rPr>
          <w:rFonts w:ascii="Times New Roman" w:hAnsi="Times New Roman"/>
          <w:spacing w:val="-2"/>
          <w:sz w:val="24"/>
        </w:rPr>
        <w:t xml:space="preserve">procedures and for contracts for consultancy services will be announced, as they become available, </w:t>
      </w:r>
      <w:r w:rsidR="00CF1A04">
        <w:rPr>
          <w:rFonts w:ascii="Times New Roman" w:hAnsi="Times New Roman"/>
          <w:spacing w:val="-2"/>
          <w:sz w:val="24"/>
        </w:rPr>
        <w:t>on</w:t>
      </w:r>
      <w:r w:rsidRPr="00B96F14">
        <w:rPr>
          <w:rFonts w:ascii="Times New Roman" w:hAnsi="Times New Roman"/>
          <w:spacing w:val="-2"/>
          <w:sz w:val="24"/>
        </w:rPr>
        <w:t xml:space="preserve"> </w:t>
      </w:r>
      <w:hyperlink r:id="rId8" w:history="1">
        <w:r w:rsidR="00DF62EB" w:rsidRPr="00B96F14">
          <w:rPr>
            <w:rStyle w:val="Hyperlink"/>
            <w:rFonts w:ascii="Times New Roman" w:hAnsi="Times New Roman"/>
            <w:spacing w:val="-2"/>
            <w:sz w:val="24"/>
          </w:rPr>
          <w:t>I</w:t>
        </w:r>
        <w:r w:rsidR="00073C60" w:rsidRPr="00B96F14">
          <w:rPr>
            <w:rStyle w:val="Hyperlink"/>
            <w:rFonts w:ascii="Times New Roman" w:hAnsi="Times New Roman"/>
            <w:spacing w:val="-2"/>
            <w:sz w:val="24"/>
          </w:rPr>
          <w:t>s</w:t>
        </w:r>
        <w:r w:rsidR="00DF62EB" w:rsidRPr="00B96F14">
          <w:rPr>
            <w:rStyle w:val="Hyperlink"/>
            <w:rFonts w:ascii="Times New Roman" w:hAnsi="Times New Roman"/>
            <w:spacing w:val="-2"/>
            <w:sz w:val="24"/>
          </w:rPr>
          <w:t>DB Website</w:t>
        </w:r>
      </w:hyperlink>
      <w:r w:rsidR="00DF62EB" w:rsidRPr="00B96F14">
        <w:rPr>
          <w:rFonts w:ascii="Times New Roman" w:hAnsi="Times New Roman"/>
          <w:spacing w:val="-2"/>
          <w:sz w:val="24"/>
        </w:rPr>
        <w:t xml:space="preserve"> </w:t>
      </w:r>
    </w:p>
    <w:p w14:paraId="1550C77A" w14:textId="1D36E62F" w:rsidR="00DB5377" w:rsidRDefault="00DB5377" w:rsidP="00DB5377">
      <w:pPr>
        <w:spacing w:before="400" w:after="200"/>
        <w:ind w:right="200"/>
        <w:jc w:val="both"/>
        <w:rPr>
          <w:rFonts w:ascii="Times New Roman" w:hAnsi="Times New Roman"/>
          <w:spacing w:val="-2"/>
          <w:sz w:val="24"/>
        </w:rPr>
      </w:pPr>
      <w:r w:rsidRPr="00B96F14">
        <w:rPr>
          <w:rFonts w:ascii="Times New Roman" w:hAnsi="Times New Roman"/>
          <w:spacing w:val="-2"/>
          <w:sz w:val="24"/>
        </w:rPr>
        <w:t xml:space="preserve">Interested eligible firms and individuals who would wish to be considered for the provision of consulting services for the </w:t>
      </w:r>
      <w:r w:rsidR="001D5A25" w:rsidRPr="00B96F14">
        <w:rPr>
          <w:rFonts w:ascii="Times New Roman" w:hAnsi="Times New Roman"/>
          <w:spacing w:val="-2"/>
          <w:sz w:val="24"/>
        </w:rPr>
        <w:t>above-mentioned</w:t>
      </w:r>
      <w:r w:rsidRPr="00B96F14">
        <w:rPr>
          <w:rFonts w:ascii="Times New Roman" w:hAnsi="Times New Roman"/>
          <w:spacing w:val="-2"/>
          <w:sz w:val="24"/>
        </w:rPr>
        <w:t xml:space="preserve"> project, or those requiring additional information, should contact the Beneficiary at the address below:</w:t>
      </w:r>
    </w:p>
    <w:p w14:paraId="5E186ECA" w14:textId="77777777" w:rsidR="00410A67" w:rsidRPr="008C6246" w:rsidRDefault="00410A67" w:rsidP="008C6246">
      <w:pPr>
        <w:ind w:right="202"/>
        <w:rPr>
          <w:rFonts w:ascii="Times New Roman" w:hAnsi="Times New Roman"/>
          <w:spacing w:val="-2"/>
          <w:sz w:val="24"/>
        </w:rPr>
      </w:pPr>
      <w:r w:rsidRPr="008C6246">
        <w:rPr>
          <w:rFonts w:ascii="Times New Roman" w:hAnsi="Times New Roman"/>
          <w:spacing w:val="-2"/>
          <w:sz w:val="24"/>
        </w:rPr>
        <w:t>Sohail Syed</w:t>
      </w:r>
    </w:p>
    <w:p w14:paraId="6A5F3344" w14:textId="77777777" w:rsidR="00410A67" w:rsidRPr="008C6246" w:rsidRDefault="00410A67" w:rsidP="008C6246">
      <w:pPr>
        <w:ind w:right="202"/>
        <w:rPr>
          <w:rFonts w:ascii="Times New Roman" w:hAnsi="Times New Roman"/>
          <w:spacing w:val="-2"/>
          <w:sz w:val="24"/>
        </w:rPr>
      </w:pPr>
      <w:r w:rsidRPr="008C6246">
        <w:rPr>
          <w:rFonts w:ascii="Times New Roman" w:hAnsi="Times New Roman"/>
          <w:spacing w:val="-2"/>
          <w:sz w:val="24"/>
        </w:rPr>
        <w:t xml:space="preserve">Executive Director, </w:t>
      </w:r>
    </w:p>
    <w:p w14:paraId="2D65B4EC" w14:textId="613EA984" w:rsidR="00440F14" w:rsidRDefault="00410A67" w:rsidP="008C6246">
      <w:pPr>
        <w:ind w:right="202"/>
        <w:jc w:val="both"/>
        <w:rPr>
          <w:rFonts w:ascii="Times New Roman" w:hAnsi="Times New Roman"/>
          <w:spacing w:val="-2"/>
          <w:sz w:val="24"/>
        </w:rPr>
      </w:pPr>
      <w:r w:rsidRPr="008C6246">
        <w:rPr>
          <w:rFonts w:ascii="Times New Roman" w:hAnsi="Times New Roman"/>
          <w:spacing w:val="-2"/>
          <w:sz w:val="24"/>
        </w:rPr>
        <w:t>National Waqf Fund</w:t>
      </w:r>
    </w:p>
    <w:p w14:paraId="63ED45FE" w14:textId="77777777" w:rsidR="00EF369A" w:rsidRPr="00EF369A" w:rsidRDefault="00EF369A" w:rsidP="00EF369A">
      <w:pPr>
        <w:ind w:right="202"/>
        <w:rPr>
          <w:rFonts w:ascii="Times New Roman" w:hAnsi="Times New Roman"/>
          <w:spacing w:val="-2"/>
          <w:sz w:val="24"/>
        </w:rPr>
      </w:pPr>
      <w:r w:rsidRPr="00EF369A">
        <w:rPr>
          <w:rFonts w:ascii="Times New Roman" w:hAnsi="Times New Roman"/>
          <w:spacing w:val="-2"/>
          <w:sz w:val="24"/>
        </w:rPr>
        <w:t>+44(0)7917 050 050</w:t>
      </w:r>
    </w:p>
    <w:p w14:paraId="20A306CE" w14:textId="69CFE5CC" w:rsidR="00EF369A" w:rsidRPr="00EF369A" w:rsidRDefault="00EF369A" w:rsidP="00EF369A">
      <w:pPr>
        <w:ind w:right="202"/>
        <w:rPr>
          <w:rFonts w:ascii="Times New Roman" w:hAnsi="Times New Roman"/>
          <w:spacing w:val="-2"/>
          <w:sz w:val="24"/>
        </w:rPr>
      </w:pPr>
      <w:hyperlink r:id="rId9" w:history="1">
        <w:r w:rsidRPr="00D9211E">
          <w:rPr>
            <w:rStyle w:val="Hyperlink"/>
            <w:rFonts w:ascii="Times New Roman" w:hAnsi="Times New Roman"/>
            <w:spacing w:val="-2"/>
            <w:sz w:val="24"/>
          </w:rPr>
          <w:t>sohail.syed@nwf.org.uk</w:t>
        </w:r>
      </w:hyperlink>
      <w:r>
        <w:rPr>
          <w:rFonts w:ascii="Times New Roman" w:hAnsi="Times New Roman"/>
          <w:spacing w:val="-2"/>
          <w:sz w:val="24"/>
        </w:rPr>
        <w:t xml:space="preserve"> </w:t>
      </w:r>
    </w:p>
    <w:p w14:paraId="5D9859E6" w14:textId="5011788D" w:rsidR="00EF369A" w:rsidRPr="008C6246" w:rsidRDefault="00EF369A" w:rsidP="00EF369A">
      <w:pPr>
        <w:ind w:right="202"/>
        <w:jc w:val="both"/>
        <w:rPr>
          <w:rFonts w:ascii="Times New Roman" w:hAnsi="Times New Roman"/>
          <w:spacing w:val="-2"/>
          <w:sz w:val="24"/>
        </w:rPr>
      </w:pPr>
      <w:hyperlink r:id="rId10" w:history="1">
        <w:r w:rsidRPr="00D9211E">
          <w:rPr>
            <w:rStyle w:val="Hyperlink"/>
            <w:rFonts w:ascii="Times New Roman" w:hAnsi="Times New Roman"/>
            <w:spacing w:val="-2"/>
            <w:sz w:val="24"/>
          </w:rPr>
          <w:t>www.nwf.org.uk</w:t>
        </w:r>
      </w:hyperlink>
      <w:r>
        <w:rPr>
          <w:rFonts w:ascii="Times New Roman" w:hAnsi="Times New Roman"/>
          <w:spacing w:val="-2"/>
          <w:sz w:val="24"/>
        </w:rPr>
        <w:t xml:space="preserve"> </w:t>
      </w:r>
    </w:p>
    <w:sectPr w:rsidR="00EF369A" w:rsidRPr="008C6246" w:rsidSect="0065085F">
      <w:headerReference w:type="even" r:id="rId11"/>
      <w:endnotePr>
        <w:numFmt w:val="decimal"/>
      </w:endnotePr>
      <w:pgSz w:w="11907" w:h="16839" w:code="9"/>
      <w:pgMar w:top="1104" w:right="1800" w:bottom="1440" w:left="1800" w:header="426"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9777E" w14:textId="77777777" w:rsidR="00596C54" w:rsidRDefault="00596C54">
      <w:r>
        <w:separator/>
      </w:r>
    </w:p>
  </w:endnote>
  <w:endnote w:type="continuationSeparator" w:id="0">
    <w:p w14:paraId="1452574D" w14:textId="77777777" w:rsidR="00596C54" w:rsidRDefault="00596C54">
      <w:r>
        <w:rPr>
          <w:sz w:val="24"/>
        </w:rPr>
        <w:t xml:space="preserve"> </w:t>
      </w:r>
    </w:p>
  </w:endnote>
  <w:endnote w:type="continuationNotice" w:id="1">
    <w:p w14:paraId="3431C192" w14:textId="77777777" w:rsidR="00596C54" w:rsidRDefault="00596C5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Semilight">
    <w:panose1 w:val="020B0400000000000000"/>
    <w:charset w:val="80"/>
    <w:family w:val="swiss"/>
    <w:pitch w:val="variable"/>
    <w:sig w:usb0="E00002FF" w:usb1="2AC7FDFF" w:usb2="00000016"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41ABB" w14:textId="77777777" w:rsidR="00596C54" w:rsidRDefault="00596C54">
      <w:r>
        <w:rPr>
          <w:sz w:val="24"/>
        </w:rPr>
        <w:separator/>
      </w:r>
    </w:p>
  </w:footnote>
  <w:footnote w:type="continuationSeparator" w:id="0">
    <w:p w14:paraId="670FF2E0" w14:textId="77777777" w:rsidR="00596C54" w:rsidRDefault="00596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12E54" w14:textId="07DAD703" w:rsidR="00BC7634" w:rsidRDefault="00BC7634">
    <w:pPr>
      <w:pStyle w:val="Header"/>
    </w:pPr>
    <w:r>
      <w:rPr>
        <w:noProof/>
      </w:rPr>
      <mc:AlternateContent>
        <mc:Choice Requires="wps">
          <w:drawing>
            <wp:anchor distT="0" distB="0" distL="114300" distR="114300" simplePos="0" relativeHeight="251660288" behindDoc="0" locked="0" layoutInCell="0" allowOverlap="1" wp14:anchorId="717744A3" wp14:editId="2E13B8FA">
              <wp:simplePos x="0" y="0"/>
              <wp:positionH relativeFrom="page">
                <wp:posOffset>0</wp:posOffset>
              </wp:positionH>
              <wp:positionV relativeFrom="page">
                <wp:posOffset>190500</wp:posOffset>
              </wp:positionV>
              <wp:extent cx="7560945" cy="273050"/>
              <wp:effectExtent l="0" t="0" r="0" b="12700"/>
              <wp:wrapNone/>
              <wp:docPr id="2" name="MSIPCM4ee3484dbc0faa3324c6fafa" descr="{&quot;HashCode&quot;:-1813103172,&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237EBC" w14:textId="49CCC560" w:rsidR="00BC7634" w:rsidRPr="00BC7634" w:rsidRDefault="00BC7634" w:rsidP="00BC7634">
                          <w:pPr>
                            <w:rPr>
                              <w:rFonts w:ascii="Calibri" w:hAnsi="Calibri" w:cs="Calibri"/>
                              <w:color w:val="000000"/>
                              <w:sz w:val="20"/>
                            </w:rPr>
                          </w:pPr>
                          <w:r w:rsidRPr="00BC7634">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17744A3" id="_x0000_t202" coordsize="21600,21600" o:spt="202" path="m,l,21600r21600,l21600,xe">
              <v:stroke joinstyle="miter"/>
              <v:path gradientshapeok="t" o:connecttype="rect"/>
            </v:shapetype>
            <v:shape id="MSIPCM4ee3484dbc0faa3324c6fafa" o:spid="_x0000_s1026" type="#_x0000_t202" alt="{&quot;HashCode&quot;:-1813103172,&quot;Height&quot;:841.0,&quot;Width&quot;:595.0,&quot;Placement&quot;:&quot;Header&quot;,&quot;Index&quot;:&quot;OddAndEven&quot;,&quot;Section&quot;:1,&quot;Top&quot;:0.0,&quot;Left&quot;:0.0}" style="position:absolute;margin-left:0;margin-top:1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mErGA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" o:allowincell="f" filled="f" stroked="f" strokeweight=".5pt">
              <v:textbox inset="20pt,0,,0">
                <w:txbxContent>
                  <w:p w14:paraId="47237EBC" w14:textId="49CCC560" w:rsidR="00BC7634" w:rsidRPr="00BC7634" w:rsidRDefault="00BC7634" w:rsidP="00BC7634">
                    <w:pPr>
                      <w:rPr>
                        <w:rFonts w:ascii="Calibri" w:hAnsi="Calibri" w:cs="Calibri"/>
                        <w:color w:val="000000"/>
                        <w:sz w:val="20"/>
                      </w:rPr>
                    </w:pPr>
                    <w:r w:rsidRPr="00BC7634">
                      <w:rPr>
                        <w:rFonts w:ascii="Calibri" w:hAnsi="Calibri" w:cs="Calibri"/>
                        <w:color w:val="000000"/>
                        <w:sz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3B0"/>
    <w:multiLevelType w:val="hybridMultilevel"/>
    <w:tmpl w:val="CF08217A"/>
    <w:lvl w:ilvl="0" w:tplc="0409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10F719A8"/>
    <w:multiLevelType w:val="hybridMultilevel"/>
    <w:tmpl w:val="DBBC44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58E4147"/>
    <w:multiLevelType w:val="hybridMultilevel"/>
    <w:tmpl w:val="13BC90C0"/>
    <w:lvl w:ilvl="0" w:tplc="837CB63C">
      <w:start w:val="1"/>
      <w:numFmt w:val="upperLetter"/>
      <w:lvlText w:val="%1."/>
      <w:lvlJc w:val="left"/>
      <w:pPr>
        <w:ind w:left="108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78A6EA1"/>
    <w:multiLevelType w:val="hybridMultilevel"/>
    <w:tmpl w:val="D4928FB8"/>
    <w:lvl w:ilvl="0" w:tplc="5DA63C80">
      <w:numFmt w:val="bullet"/>
      <w:lvlText w:val="‑"/>
      <w:lvlJc w:val="left"/>
      <w:pPr>
        <w:ind w:left="1800" w:hanging="360"/>
      </w:pPr>
      <w:rPr>
        <w:rFonts w:ascii="Yu Gothic UI Semilight" w:eastAsia="Yu Gothic UI Semilight" w:hAnsi="Yu Gothic UI Semilight" w:hint="eastAsia"/>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1620A01"/>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CE1B12"/>
    <w:multiLevelType w:val="hybridMultilevel"/>
    <w:tmpl w:val="4C26A9B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2C100A5"/>
    <w:multiLevelType w:val="hybridMultilevel"/>
    <w:tmpl w:val="E7BEF076"/>
    <w:lvl w:ilvl="0" w:tplc="5DA63C80">
      <w:numFmt w:val="bullet"/>
      <w:lvlText w:val="‑"/>
      <w:lvlJc w:val="left"/>
      <w:pPr>
        <w:ind w:left="1800" w:hanging="360"/>
      </w:pPr>
      <w:rPr>
        <w:rFonts w:ascii="Yu Gothic UI Semilight" w:eastAsia="Yu Gothic UI Semilight" w:hAnsi="Yu Gothic UI Semilight" w:hint="eastAsia"/>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evenAndOddHeaders/>
  <w:drawingGridHorizontalSpacing w:val="110"/>
  <w:displayHorizontalDrawingGridEvery w:val="0"/>
  <w:displayVerticalDrawingGridEvery w:val="0"/>
  <w:doNotShadeFormData/>
  <w:noPunctuationKerning/>
  <w:characterSpacingControl w:val="doNotCompress"/>
  <w:savePreviewPicture/>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0C3"/>
    <w:rsid w:val="0001394F"/>
    <w:rsid w:val="00037F1C"/>
    <w:rsid w:val="00073C60"/>
    <w:rsid w:val="0008577E"/>
    <w:rsid w:val="00087A5D"/>
    <w:rsid w:val="0009213A"/>
    <w:rsid w:val="000B3C65"/>
    <w:rsid w:val="000D0B4C"/>
    <w:rsid w:val="000F4D9A"/>
    <w:rsid w:val="0010171D"/>
    <w:rsid w:val="001744B5"/>
    <w:rsid w:val="00190C88"/>
    <w:rsid w:val="001942C9"/>
    <w:rsid w:val="001B38AC"/>
    <w:rsid w:val="001B53B8"/>
    <w:rsid w:val="001D5A25"/>
    <w:rsid w:val="001F4D12"/>
    <w:rsid w:val="001F65C4"/>
    <w:rsid w:val="002C5423"/>
    <w:rsid w:val="0033717F"/>
    <w:rsid w:val="00343FB8"/>
    <w:rsid w:val="00347B31"/>
    <w:rsid w:val="003818BD"/>
    <w:rsid w:val="003F5CF1"/>
    <w:rsid w:val="00410A67"/>
    <w:rsid w:val="00411482"/>
    <w:rsid w:val="00440F14"/>
    <w:rsid w:val="00446758"/>
    <w:rsid w:val="00456400"/>
    <w:rsid w:val="00457B5D"/>
    <w:rsid w:val="00472074"/>
    <w:rsid w:val="005130C3"/>
    <w:rsid w:val="00514999"/>
    <w:rsid w:val="00557532"/>
    <w:rsid w:val="0058450F"/>
    <w:rsid w:val="00596C54"/>
    <w:rsid w:val="005C4E63"/>
    <w:rsid w:val="005C7504"/>
    <w:rsid w:val="005D1F6B"/>
    <w:rsid w:val="005E0060"/>
    <w:rsid w:val="005F40FB"/>
    <w:rsid w:val="00606DA8"/>
    <w:rsid w:val="00633BF6"/>
    <w:rsid w:val="0065085F"/>
    <w:rsid w:val="00677A84"/>
    <w:rsid w:val="00693295"/>
    <w:rsid w:val="006C61FF"/>
    <w:rsid w:val="006D1046"/>
    <w:rsid w:val="006E45CD"/>
    <w:rsid w:val="006F77EA"/>
    <w:rsid w:val="0071170D"/>
    <w:rsid w:val="007360B0"/>
    <w:rsid w:val="00737AC3"/>
    <w:rsid w:val="00772158"/>
    <w:rsid w:val="007757C0"/>
    <w:rsid w:val="00784716"/>
    <w:rsid w:val="007A56B0"/>
    <w:rsid w:val="007B2DE3"/>
    <w:rsid w:val="007B7103"/>
    <w:rsid w:val="007C347A"/>
    <w:rsid w:val="007D23F5"/>
    <w:rsid w:val="007F2386"/>
    <w:rsid w:val="00811900"/>
    <w:rsid w:val="0081297F"/>
    <w:rsid w:val="008268E8"/>
    <w:rsid w:val="00837EB4"/>
    <w:rsid w:val="00846B37"/>
    <w:rsid w:val="008C6246"/>
    <w:rsid w:val="008E47FB"/>
    <w:rsid w:val="008F7EA6"/>
    <w:rsid w:val="009063C5"/>
    <w:rsid w:val="00920788"/>
    <w:rsid w:val="00924F5F"/>
    <w:rsid w:val="00944DFB"/>
    <w:rsid w:val="009462BF"/>
    <w:rsid w:val="009865B1"/>
    <w:rsid w:val="009E4E88"/>
    <w:rsid w:val="009E7C2D"/>
    <w:rsid w:val="00A2771A"/>
    <w:rsid w:val="00A35CA3"/>
    <w:rsid w:val="00A54B9D"/>
    <w:rsid w:val="00A903DD"/>
    <w:rsid w:val="00A92C92"/>
    <w:rsid w:val="00A93FAE"/>
    <w:rsid w:val="00A94FE4"/>
    <w:rsid w:val="00AC3470"/>
    <w:rsid w:val="00AD6056"/>
    <w:rsid w:val="00B575C1"/>
    <w:rsid w:val="00B96F14"/>
    <w:rsid w:val="00BC7634"/>
    <w:rsid w:val="00BD33E3"/>
    <w:rsid w:val="00C12FE6"/>
    <w:rsid w:val="00C87D46"/>
    <w:rsid w:val="00CF1A04"/>
    <w:rsid w:val="00D04375"/>
    <w:rsid w:val="00D40631"/>
    <w:rsid w:val="00D52227"/>
    <w:rsid w:val="00D628D6"/>
    <w:rsid w:val="00D879CE"/>
    <w:rsid w:val="00D9176D"/>
    <w:rsid w:val="00D95C2C"/>
    <w:rsid w:val="00D96FC4"/>
    <w:rsid w:val="00DB5377"/>
    <w:rsid w:val="00DB62EA"/>
    <w:rsid w:val="00DB78F4"/>
    <w:rsid w:val="00DE017B"/>
    <w:rsid w:val="00DF62EB"/>
    <w:rsid w:val="00E03FA9"/>
    <w:rsid w:val="00E1795B"/>
    <w:rsid w:val="00E327FB"/>
    <w:rsid w:val="00E612DE"/>
    <w:rsid w:val="00E706F3"/>
    <w:rsid w:val="00EA3994"/>
    <w:rsid w:val="00EC4BD3"/>
    <w:rsid w:val="00EC7758"/>
    <w:rsid w:val="00EF369A"/>
    <w:rsid w:val="00F0555B"/>
    <w:rsid w:val="00F5133B"/>
    <w:rsid w:val="00F57864"/>
    <w:rsid w:val="00F822DF"/>
    <w:rsid w:val="00F83572"/>
    <w:rsid w:val="00FC6C8B"/>
    <w:rsid w:val="00FE439A"/>
    <w:rsid w:val="7257D6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E48545"/>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2"/>
    </w:rPr>
  </w:style>
  <w:style w:type="paragraph" w:styleId="Heading1">
    <w:name w:val="heading 1"/>
    <w:basedOn w:val="Normal"/>
    <w:next w:val="Normal"/>
    <w:qFormat/>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pPr>
      <w:keepNext/>
      <w:keepLines/>
      <w:tabs>
        <w:tab w:val="left" w:pos="-720"/>
      </w:tabs>
      <w:suppressAutoHyphens/>
      <w:jc w:val="center"/>
      <w:outlineLvl w:val="1"/>
    </w:pPr>
    <w:rPr>
      <w:b/>
      <w:smallCaps/>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keepLines/>
      <w:tabs>
        <w:tab w:val="left" w:pos="-720"/>
      </w:tabs>
      <w:suppressAutoHyphens/>
      <w:outlineLvl w:val="3"/>
    </w:pPr>
    <w:rPr>
      <w:b/>
      <w:i/>
    </w:rPr>
  </w:style>
  <w:style w:type="paragraph" w:styleId="Heading5">
    <w:name w:val="heading 5"/>
    <w:basedOn w:val="Normal"/>
    <w:next w:val="Normal"/>
    <w:qFormat/>
    <w:pPr>
      <w:tabs>
        <w:tab w:val="left" w:pos="-720"/>
      </w:tabs>
      <w:suppressAutoHyphens/>
      <w:outlineLvl w:val="4"/>
    </w:pPr>
  </w:style>
  <w:style w:type="paragraph" w:styleId="Heading6">
    <w:name w:val="heading 6"/>
    <w:basedOn w:val="Normal"/>
    <w:next w:val="Normal"/>
    <w:qFormat/>
    <w:pPr>
      <w:tabs>
        <w:tab w:val="left" w:pos="-720"/>
      </w:tabs>
      <w:suppressAutoHyphens/>
      <w:outlineLvl w:val="5"/>
    </w:pPr>
  </w:style>
  <w:style w:type="paragraph" w:styleId="Heading7">
    <w:name w:val="heading 7"/>
    <w:basedOn w:val="Normal"/>
    <w:next w:val="Normal"/>
    <w:qFormat/>
    <w:pPr>
      <w:tabs>
        <w:tab w:val="left" w:pos="-720"/>
      </w:tabs>
      <w:suppressAutoHyphens/>
      <w:outlineLvl w:val="6"/>
    </w:pPr>
  </w:style>
  <w:style w:type="paragraph" w:styleId="Heading8">
    <w:name w:val="heading 8"/>
    <w:basedOn w:val="Normal"/>
    <w:next w:val="Normal"/>
    <w:qFormat/>
    <w:pPr>
      <w:tabs>
        <w:tab w:val="left" w:pos="-720"/>
      </w:tabs>
      <w:suppressAutoHyphens/>
      <w:outlineLvl w:val="7"/>
    </w:pPr>
  </w:style>
  <w:style w:type="paragraph" w:styleId="Heading9">
    <w:name w:val="heading 9"/>
    <w:basedOn w:val="Normal"/>
    <w:next w:val="Normal"/>
    <w:qFormat/>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style>
  <w:style w:type="paragraph" w:customStyle="1" w:styleId="ChapterNumber">
    <w:name w:val="ChapterNumber"/>
    <w:pPr>
      <w:tabs>
        <w:tab w:val="left" w:pos="-720"/>
      </w:tabs>
      <w:suppressAutoHyphens/>
    </w:pPr>
    <w:rPr>
      <w:rFonts w:ascii="CG Times" w:hAnsi="CG Times"/>
      <w:sz w:val="22"/>
    </w:rPr>
  </w:style>
  <w:style w:type="paragraph" w:styleId="Footer">
    <w:name w:val="footer"/>
    <w:basedOn w:val="Normal"/>
    <w:pPr>
      <w:tabs>
        <w:tab w:val="left" w:pos="360"/>
        <w:tab w:val="right" w:pos="9000"/>
      </w:tabs>
      <w:suppressAutoHyphens/>
    </w:pPr>
  </w:style>
  <w:style w:type="character" w:styleId="FootnoteReference">
    <w:name w:val="footnote reference"/>
    <w:semiHidden/>
    <w:rPr>
      <w:rFonts w:ascii="CG Times" w:hAnsi="CG Times"/>
      <w:noProof w:val="0"/>
      <w:sz w:val="22"/>
      <w:vertAlign w:val="superscript"/>
      <w:lang w:val="en-US"/>
    </w:rPr>
  </w:style>
  <w:style w:type="paragraph" w:styleId="FootnoteText">
    <w:name w:val="footnote text"/>
    <w:basedOn w:val="Normal"/>
    <w:semiHidden/>
    <w:pPr>
      <w:tabs>
        <w:tab w:val="left" w:pos="-720"/>
      </w:tabs>
      <w:suppressAutoHyphens/>
    </w:pPr>
    <w:rPr>
      <w:rFonts w:ascii="Times New Roman" w:hAnsi="Times New Roman"/>
      <w:sz w:val="20"/>
    </w:rPr>
  </w:style>
  <w:style w:type="paragraph" w:styleId="Header">
    <w:name w:val="header"/>
    <w:basedOn w:val="Normal"/>
    <w:pPr>
      <w:tabs>
        <w:tab w:val="left" w:pos="360"/>
        <w:tab w:val="left" w:pos="7560"/>
        <w:tab w:val="left" w:pos="8280"/>
        <w:tab w:val="left" w:pos="9000"/>
      </w:tabs>
      <w:suppressAutoHyphens/>
    </w:pPr>
  </w:style>
  <w:style w:type="paragraph" w:styleId="NormalIndent">
    <w:name w:val="Normal Indent"/>
    <w:basedOn w:val="Normal"/>
    <w:pPr>
      <w:tabs>
        <w:tab w:val="left" w:pos="-720"/>
      </w:tabs>
      <w:suppressAutoHyphens/>
    </w:pPr>
  </w:style>
  <w:style w:type="paragraph" w:customStyle="1" w:styleId="TextBox">
    <w:name w:val="Text Box"/>
    <w:pPr>
      <w:keepNext/>
      <w:keepLines/>
      <w:tabs>
        <w:tab w:val="left" w:pos="-720"/>
      </w:tabs>
      <w:suppressAutoHyphens/>
      <w:jc w:val="both"/>
    </w:pPr>
    <w:rPr>
      <w:spacing w:val="-2"/>
      <w:sz w:val="22"/>
    </w:rPr>
  </w:style>
  <w:style w:type="paragraph" w:customStyle="1" w:styleId="TextBoxdots">
    <w:name w:val="Text Box (dots)"/>
    <w:pPr>
      <w:keepNext/>
      <w:keepLines/>
      <w:tabs>
        <w:tab w:val="left" w:pos="-720"/>
      </w:tabs>
      <w:suppressAutoHyphens/>
      <w:jc w:val="both"/>
    </w:pPr>
    <w:rPr>
      <w:spacing w:val="-2"/>
      <w:sz w:val="22"/>
    </w:rPr>
  </w:style>
  <w:style w:type="paragraph" w:customStyle="1" w:styleId="TextBoxFramed">
    <w:name w:val="Text Box Framed"/>
    <w:pPr>
      <w:keepNext/>
      <w:keepLines/>
      <w:tabs>
        <w:tab w:val="left" w:pos="-720"/>
      </w:tabs>
      <w:suppressAutoHyphens/>
    </w:pPr>
    <w:rPr>
      <w:sz w:val="22"/>
    </w:rPr>
  </w:style>
  <w:style w:type="paragraph" w:customStyle="1" w:styleId="TextBoxUnframed">
    <w:name w:val="Text Box Unframed"/>
    <w:pPr>
      <w:keepNext/>
      <w:keepLines/>
      <w:tabs>
        <w:tab w:val="left" w:pos="-720"/>
      </w:tabs>
      <w:suppressAutoHyphens/>
    </w:pPr>
    <w:rPr>
      <w:sz w:val="22"/>
    </w:rPr>
  </w:style>
  <w:style w:type="paragraph" w:customStyle="1" w:styleId="TOC11">
    <w:name w:val="TOC 11"/>
    <w:pPr>
      <w:tabs>
        <w:tab w:val="left" w:pos="360"/>
      </w:tabs>
      <w:suppressAutoHyphens/>
    </w:pPr>
    <w:rPr>
      <w:rFonts w:ascii="CG Times" w:hAnsi="CG Times"/>
      <w:smallCaps/>
      <w:sz w:val="22"/>
    </w:r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customStyle="1" w:styleId="BankNormal">
    <w:name w:val="BankNormal"/>
    <w:pPr>
      <w:tabs>
        <w:tab w:val="left" w:pos="-720"/>
      </w:tabs>
      <w:suppressAutoHyphens/>
    </w:pPr>
    <w:rPr>
      <w:rFonts w:ascii="CG Times" w:hAnsi="CG Times"/>
      <w:sz w:val="22"/>
    </w:rPr>
  </w:style>
  <w:style w:type="paragraph" w:customStyle="1" w:styleId="Heading1a">
    <w:name w:val="Heading 1a"/>
    <w:pPr>
      <w:keepNext/>
      <w:keepLines/>
      <w:tabs>
        <w:tab w:val="left" w:pos="-720"/>
      </w:tabs>
      <w:suppressAutoHyphens/>
      <w:jc w:val="center"/>
    </w:pPr>
    <w:rPr>
      <w:b/>
      <w:smallCaps/>
      <w:sz w:val="32"/>
    </w:r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EndnoteText">
    <w:name w:val="endnote text"/>
    <w:basedOn w:val="Normal"/>
    <w:semiHidden/>
    <w:pPr>
      <w:tabs>
        <w:tab w:val="left" w:pos="-720"/>
      </w:tabs>
      <w:suppressAutoHyphens/>
    </w:pPr>
    <w:rPr>
      <w:rFonts w:ascii="Times New Roman" w:hAnsi="Times New Roman"/>
      <w:sz w:val="20"/>
    </w:rPr>
  </w:style>
  <w:style w:type="character" w:styleId="EndnoteReference">
    <w:name w:val="endnote reference"/>
    <w:semiHidden/>
    <w:rPr>
      <w:rFonts w:ascii="CG Times" w:hAnsi="CG Times"/>
      <w:noProof w:val="0"/>
      <w:sz w:val="22"/>
      <w:vertAlign w:val="superscript"/>
      <w:lang w:val="en-US"/>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link w:val="BodyTextChar"/>
    <w:pPr>
      <w:suppressAutoHyphens/>
    </w:pPr>
    <w:rPr>
      <w:spacing w:val="-2"/>
      <w:sz w:val="24"/>
    </w:rPr>
  </w:style>
  <w:style w:type="character" w:styleId="Hyperlink">
    <w:name w:val="Hyperlink"/>
    <w:rPr>
      <w:color w:val="0000FF"/>
      <w:u w:val="single"/>
    </w:rPr>
  </w:style>
  <w:style w:type="paragraph" w:styleId="BalloonText">
    <w:name w:val="Balloon Text"/>
    <w:basedOn w:val="Normal"/>
    <w:semiHidden/>
    <w:rsid w:val="005130C3"/>
    <w:rPr>
      <w:rFonts w:ascii="Tahoma" w:hAnsi="Tahoma" w:cs="Tahoma"/>
      <w:sz w:val="16"/>
      <w:szCs w:val="16"/>
    </w:rPr>
  </w:style>
  <w:style w:type="character" w:customStyle="1" w:styleId="BodyTextChar">
    <w:name w:val="Body Text Char"/>
    <w:link w:val="BodyText"/>
    <w:rsid w:val="005F40FB"/>
    <w:rPr>
      <w:rFonts w:ascii="CG Times" w:hAnsi="CG Times"/>
      <w:spacing w:val="-2"/>
      <w:sz w:val="24"/>
    </w:rPr>
  </w:style>
  <w:style w:type="paragraph" w:styleId="ListParagraph">
    <w:name w:val="List Paragraph"/>
    <w:aliases w:val="Citation List,본문(내용),List Paragraph (numbered (a)),List Paragraph2,Text,References,سرد الفقرات,Bullets,Liste 1,Numbered List Paragraph,ReferencesCxSpLast,Medium Grid 1 - Accent 21,List Paragraph nowy,Paragraphe  revu,Paragraphe de liste1"/>
    <w:basedOn w:val="Normal"/>
    <w:link w:val="ListParagraphChar"/>
    <w:uiPriority w:val="34"/>
    <w:qFormat/>
    <w:rsid w:val="009865B1"/>
    <w:pPr>
      <w:spacing w:after="120" w:line="264" w:lineRule="auto"/>
      <w:ind w:left="720"/>
      <w:contextualSpacing/>
    </w:pPr>
    <w:rPr>
      <w:rFonts w:asciiTheme="minorHAnsi" w:eastAsiaTheme="minorEastAsia" w:hAnsiTheme="minorHAnsi" w:cstheme="minorBidi"/>
      <w:sz w:val="20"/>
      <w:lang w:val="en-GB"/>
    </w:rPr>
  </w:style>
  <w:style w:type="character" w:customStyle="1" w:styleId="ListParagraphChar">
    <w:name w:val="List Paragraph Char"/>
    <w:aliases w:val="Citation List Char,본문(내용) Char,List Paragraph (numbered (a)) Char,List Paragraph2 Char,Text Char,References Char,سرد الفقرات Char,Bullets Char,Liste 1 Char,Numbered List Paragraph Char,ReferencesCxSpLast Char,List Paragraph nowy Char"/>
    <w:basedOn w:val="DefaultParagraphFont"/>
    <w:link w:val="ListParagraph"/>
    <w:uiPriority w:val="34"/>
    <w:qFormat/>
    <w:rsid w:val="009865B1"/>
    <w:rPr>
      <w:rFonts w:asciiTheme="minorHAnsi" w:eastAsiaTheme="minorEastAsia" w:hAnsiTheme="minorHAnsi" w:cstheme="minorBidi"/>
      <w:lang w:val="en-GB"/>
    </w:rPr>
  </w:style>
  <w:style w:type="character" w:styleId="UnresolvedMention">
    <w:name w:val="Unresolved Mention"/>
    <w:basedOn w:val="DefaultParagraphFont"/>
    <w:uiPriority w:val="99"/>
    <w:semiHidden/>
    <w:unhideWhenUsed/>
    <w:rsid w:val="00AD6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db.org/irj/portal/anonymous?NavigationTarget=navurl://76e1dfd61777849cc88228c9bfe818e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wf.org.uk" TargetMode="External"/><Relationship Id="rId4" Type="http://schemas.openxmlformats.org/officeDocument/2006/relationships/settings" Target="settings.xml"/><Relationship Id="rId9" Type="http://schemas.openxmlformats.org/officeDocument/2006/relationships/hyperlink" Target="mailto:sohail.syed@nw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FB88C14-9115-4AE5-B46D-326BCBDB9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452</Words>
  <Characters>3035</Characters>
  <Application>Microsoft Office Word</Application>
  <DocSecurity>0</DocSecurity>
  <Lines>25</Lines>
  <Paragraphs>6</Paragraphs>
  <ScaleCrop>false</ScaleCrop>
  <Company>The World Bank</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GPN</dc:title>
  <dc:creator>320040</dc:creator>
  <cp:keywords>procurement, GPN, IDB</cp:keywords>
  <cp:lastModifiedBy>Mehmet Eken</cp:lastModifiedBy>
  <cp:revision>66</cp:revision>
  <cp:lastPrinted>2009-03-05T06:40:00Z</cp:lastPrinted>
  <dcterms:created xsi:type="dcterms:W3CDTF">2023-05-23T06:49:00Z</dcterms:created>
  <dcterms:modified xsi:type="dcterms:W3CDTF">2023-06-18T06:52:00Z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2023-05-02T08:04:49Z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83dda9f1-fb1f-43fe-99c4-137a66823b3e</vt:lpwstr>
  </property>
  <property fmtid="{D5CDD505-2E9C-101B-9397-08002B2CF9AE}" pid="8" name="MSIP_Label_9ef4adf7-25a7-4f52-a61a-df7190f1d881_ContentBits">
    <vt:lpwstr>1</vt:lpwstr>
  </property>
  <property fmtid="{D5CDD505-2E9C-101B-9397-08002B2CF9AE}" pid="9" name="GrammarlyDocumentId">
    <vt:lpwstr>9f5e949f8ed1ac25b002043970577e051d12d274550ae4fbf071c677038c3c37</vt:lpwstr>
  </property>
</Properties>
</file>