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3C550" w14:textId="250B6320" w:rsidR="00517E16" w:rsidRPr="00361DFF" w:rsidRDefault="00517E16">
      <w:pPr>
        <w:rPr>
          <w:rFonts w:ascii="CG Times" w:hAnsi="CG Times"/>
          <w:b/>
          <w:lang w:val="fr-FR"/>
        </w:rPr>
      </w:pPr>
    </w:p>
    <w:p w14:paraId="67D275E4" w14:textId="77777777" w:rsidR="00C30C3D" w:rsidRPr="00361DFF" w:rsidRDefault="00C30C3D">
      <w:pPr>
        <w:ind w:right="72"/>
        <w:jc w:val="center"/>
        <w:rPr>
          <w:sz w:val="28"/>
          <w:lang w:val="fr-FR"/>
        </w:rPr>
      </w:pPr>
      <w:r w:rsidRPr="00361DFF">
        <w:rPr>
          <w:b/>
          <w:sz w:val="28"/>
          <w:lang w:val="fr-FR"/>
        </w:rPr>
        <w:t>AVIS GENERAL DE PASSATION DES MARCHES</w:t>
      </w:r>
      <w:r w:rsidR="00D4629B" w:rsidRPr="00361DFF">
        <w:rPr>
          <w:b/>
          <w:sz w:val="28"/>
          <w:lang w:val="fr-FR"/>
        </w:rPr>
        <w:t xml:space="preserve"> (AGPM)</w:t>
      </w:r>
    </w:p>
    <w:p w14:paraId="1001A571" w14:textId="77777777" w:rsidR="00C30C3D" w:rsidRPr="00361DFF" w:rsidRDefault="00C30C3D">
      <w:pPr>
        <w:ind w:right="72"/>
        <w:rPr>
          <w:lang w:val="fr-FR"/>
        </w:rPr>
      </w:pPr>
    </w:p>
    <w:p w14:paraId="3BCA8982" w14:textId="77777777" w:rsidR="00990961" w:rsidRPr="00361DFF" w:rsidRDefault="00990961" w:rsidP="00990961">
      <w:pPr>
        <w:ind w:right="72"/>
        <w:rPr>
          <w:iCs/>
          <w:lang w:val="fr-FR"/>
        </w:rPr>
      </w:pPr>
      <w:r w:rsidRPr="00361DFF">
        <w:rPr>
          <w:b/>
          <w:bCs/>
          <w:u w:val="single"/>
          <w:lang w:val="fr-FR"/>
        </w:rPr>
        <w:t>Nom du Pays</w:t>
      </w:r>
      <w:r w:rsidRPr="00361DFF">
        <w:rPr>
          <w:lang w:val="fr-FR"/>
        </w:rPr>
        <w:t> : TOGO</w:t>
      </w:r>
    </w:p>
    <w:p w14:paraId="640A21DB" w14:textId="04E601AB" w:rsidR="00990961" w:rsidRPr="00361DFF" w:rsidRDefault="00990961" w:rsidP="00990961">
      <w:pPr>
        <w:ind w:right="72"/>
        <w:rPr>
          <w:rFonts w:ascii="Arial Narrow" w:hAnsi="Arial Narrow"/>
          <w:lang w:val="fr-FR"/>
        </w:rPr>
      </w:pPr>
      <w:r w:rsidRPr="00361DFF">
        <w:rPr>
          <w:b/>
          <w:bCs/>
          <w:u w:val="single"/>
          <w:lang w:val="fr-FR"/>
        </w:rPr>
        <w:t>Nom du Projet</w:t>
      </w:r>
      <w:r w:rsidRPr="00361DFF">
        <w:rPr>
          <w:lang w:val="fr-FR"/>
        </w:rPr>
        <w:t xml:space="preserve"> : </w:t>
      </w:r>
      <w:r w:rsidRPr="00361DFF">
        <w:rPr>
          <w:rFonts w:ascii="Arial Narrow" w:hAnsi="Arial Narrow"/>
          <w:lang w:val="fr-FR"/>
        </w:rPr>
        <w:t>Projet de Renforcement du Système de Santé et de</w:t>
      </w:r>
      <w:r w:rsidR="000260C4" w:rsidRPr="00361DFF">
        <w:rPr>
          <w:rFonts w:ascii="Arial Narrow" w:hAnsi="Arial Narrow"/>
          <w:lang w:val="fr-FR"/>
        </w:rPr>
        <w:t>s</w:t>
      </w:r>
      <w:r w:rsidRPr="00361DFF">
        <w:rPr>
          <w:rFonts w:ascii="Arial Narrow" w:hAnsi="Arial Narrow"/>
          <w:lang w:val="fr-FR"/>
        </w:rPr>
        <w:t xml:space="preserve"> Soins </w:t>
      </w:r>
      <w:r w:rsidR="000260C4" w:rsidRPr="00361DFF">
        <w:rPr>
          <w:rFonts w:ascii="Arial Narrow" w:hAnsi="Arial Narrow"/>
          <w:lang w:val="fr-FR"/>
        </w:rPr>
        <w:t xml:space="preserve">de Santé </w:t>
      </w:r>
      <w:r w:rsidRPr="00361DFF">
        <w:rPr>
          <w:rFonts w:ascii="Arial Narrow" w:hAnsi="Arial Narrow"/>
          <w:lang w:val="fr-FR"/>
        </w:rPr>
        <w:t>Primaire</w:t>
      </w:r>
      <w:r w:rsidR="000260C4" w:rsidRPr="00361DFF">
        <w:rPr>
          <w:rFonts w:ascii="Arial Narrow" w:hAnsi="Arial Narrow"/>
          <w:lang w:val="fr-FR"/>
        </w:rPr>
        <w:t>s</w:t>
      </w:r>
      <w:r w:rsidRPr="00361DFF">
        <w:rPr>
          <w:rFonts w:ascii="Arial Narrow" w:hAnsi="Arial Narrow"/>
          <w:lang w:val="fr-FR"/>
        </w:rPr>
        <w:t xml:space="preserve"> au Togo</w:t>
      </w:r>
    </w:p>
    <w:p w14:paraId="73C1C265" w14:textId="77777777" w:rsidR="00990961" w:rsidRPr="00361DFF" w:rsidRDefault="00990961" w:rsidP="00990961">
      <w:pPr>
        <w:ind w:right="72"/>
        <w:rPr>
          <w:iCs/>
          <w:lang w:val="fr-FR"/>
        </w:rPr>
      </w:pPr>
      <w:r w:rsidRPr="00361DFF">
        <w:rPr>
          <w:b/>
          <w:bCs/>
          <w:u w:val="single"/>
          <w:lang w:val="fr-FR"/>
        </w:rPr>
        <w:t>Secteur</w:t>
      </w:r>
      <w:r w:rsidRPr="00361DFF">
        <w:rPr>
          <w:iCs/>
          <w:lang w:val="fr-FR"/>
        </w:rPr>
        <w:t> : Santé</w:t>
      </w:r>
    </w:p>
    <w:p w14:paraId="6B4B95D9" w14:textId="77777777" w:rsidR="00990961" w:rsidRPr="00361DFF" w:rsidRDefault="00990961" w:rsidP="00990961">
      <w:pPr>
        <w:ind w:right="72"/>
        <w:rPr>
          <w:iCs/>
          <w:lang w:val="fr-FR"/>
        </w:rPr>
      </w:pPr>
      <w:r w:rsidRPr="00361DFF">
        <w:rPr>
          <w:b/>
          <w:bCs/>
          <w:u w:val="single"/>
          <w:lang w:val="fr-FR"/>
        </w:rPr>
        <w:t>Mode de financement</w:t>
      </w:r>
      <w:r w:rsidRPr="00361DFF">
        <w:rPr>
          <w:iCs/>
          <w:lang w:val="fr-FR"/>
        </w:rPr>
        <w:t> : Prêt (BID) et subvention (LLF)</w:t>
      </w:r>
    </w:p>
    <w:p w14:paraId="4DC09B18" w14:textId="77777777" w:rsidR="00990961" w:rsidRPr="00361DFF" w:rsidRDefault="00990961" w:rsidP="00990961">
      <w:pPr>
        <w:ind w:right="72"/>
        <w:rPr>
          <w:iCs/>
          <w:lang w:val="fr-FR"/>
        </w:rPr>
      </w:pPr>
      <w:r w:rsidRPr="00361DFF">
        <w:rPr>
          <w:b/>
          <w:bCs/>
          <w:u w:val="single"/>
          <w:lang w:val="fr-FR"/>
        </w:rPr>
        <w:t>No du Financement</w:t>
      </w:r>
      <w:r w:rsidRPr="00361DFF">
        <w:rPr>
          <w:b/>
          <w:bCs/>
          <w:iCs/>
          <w:u w:val="single"/>
          <w:lang w:val="fr-FR"/>
        </w:rPr>
        <w:t> :</w:t>
      </w:r>
      <w:r w:rsidRPr="00361DFF">
        <w:rPr>
          <w:iCs/>
          <w:lang w:val="fr-FR"/>
        </w:rPr>
        <w:t xml:space="preserve"> TGO 1014</w:t>
      </w:r>
    </w:p>
    <w:p w14:paraId="08CC274F" w14:textId="77777777" w:rsidR="00517E16" w:rsidRPr="00361DFF" w:rsidRDefault="00517E16" w:rsidP="00AA4BB7">
      <w:pPr>
        <w:spacing w:after="120"/>
        <w:ind w:right="72"/>
        <w:rPr>
          <w:lang w:val="fr-FR"/>
        </w:rPr>
      </w:pPr>
    </w:p>
    <w:p w14:paraId="1B0CBADF" w14:textId="5567D794" w:rsidR="001C075F" w:rsidRPr="00361DFF" w:rsidRDefault="003253A4" w:rsidP="00361DFF">
      <w:pPr>
        <w:ind w:right="72"/>
        <w:jc w:val="both"/>
        <w:rPr>
          <w:lang w:val="fr-FR"/>
        </w:rPr>
      </w:pPr>
      <w:r w:rsidRPr="00361DFF">
        <w:rPr>
          <w:lang w:val="fr-FR"/>
        </w:rPr>
        <w:t>Le gouvernement du Togo</w:t>
      </w:r>
      <w:r w:rsidR="00990961" w:rsidRPr="00361DFF">
        <w:rPr>
          <w:lang w:val="fr-FR"/>
        </w:rPr>
        <w:t xml:space="preserve"> </w:t>
      </w:r>
      <w:r w:rsidR="00C30C3D" w:rsidRPr="00361DFF">
        <w:rPr>
          <w:lang w:val="fr-FR"/>
        </w:rPr>
        <w:t xml:space="preserve">a obtenu </w:t>
      </w:r>
      <w:r w:rsidR="00D4629B" w:rsidRPr="00361DFF">
        <w:rPr>
          <w:lang w:val="fr-FR"/>
        </w:rPr>
        <w:t xml:space="preserve">un </w:t>
      </w:r>
      <w:r w:rsidR="00531E04" w:rsidRPr="00361DFF">
        <w:rPr>
          <w:lang w:val="fr-FR"/>
        </w:rPr>
        <w:t>financement d</w:t>
      </w:r>
      <w:r w:rsidR="000260C4" w:rsidRPr="00361DFF">
        <w:rPr>
          <w:lang w:val="fr-FR"/>
        </w:rPr>
        <w:t>’un</w:t>
      </w:r>
      <w:r w:rsidR="00531E04" w:rsidRPr="00361DFF">
        <w:rPr>
          <w:lang w:val="fr-FR"/>
        </w:rPr>
        <w:t xml:space="preserve"> </w:t>
      </w:r>
      <w:r w:rsidR="00D4629B" w:rsidRPr="00361DFF">
        <w:rPr>
          <w:lang w:val="fr-FR"/>
        </w:rPr>
        <w:t>montant</w:t>
      </w:r>
      <w:r w:rsidRPr="00361DFF">
        <w:rPr>
          <w:lang w:val="fr-FR"/>
        </w:rPr>
        <w:t xml:space="preserve"> de 42.800.000 $EU sous forme d’un financement ordinaire </w:t>
      </w:r>
      <w:r w:rsidR="00361DFF" w:rsidRPr="00361DFF">
        <w:rPr>
          <w:lang w:val="fr-FR"/>
        </w:rPr>
        <w:t xml:space="preserve">de la Banque Islamique de Développement </w:t>
      </w:r>
      <w:r w:rsidR="00361DFF" w:rsidRPr="00361DFF">
        <w:rPr>
          <w:lang w:val="fr-FR"/>
        </w:rPr>
        <w:t xml:space="preserve">(BID) - </w:t>
      </w:r>
      <w:r w:rsidRPr="00361DFF">
        <w:rPr>
          <w:lang w:val="fr-FR"/>
        </w:rPr>
        <w:t xml:space="preserve">(27.800.000 $EU) et d’une subvention </w:t>
      </w:r>
      <w:r w:rsidR="00361DFF" w:rsidRPr="00361DFF">
        <w:rPr>
          <w:lang w:val="fr-FR"/>
        </w:rPr>
        <w:t xml:space="preserve">de </w:t>
      </w:r>
      <w:proofErr w:type="spellStart"/>
      <w:r w:rsidR="00361DFF" w:rsidRPr="00361DFF">
        <w:rPr>
          <w:lang w:val="fr-FR"/>
        </w:rPr>
        <w:t>Lives</w:t>
      </w:r>
      <w:proofErr w:type="spellEnd"/>
      <w:r w:rsidR="00361DFF" w:rsidRPr="00361DFF">
        <w:rPr>
          <w:lang w:val="fr-FR"/>
        </w:rPr>
        <w:t xml:space="preserve"> and </w:t>
      </w:r>
      <w:proofErr w:type="spellStart"/>
      <w:r w:rsidR="00361DFF" w:rsidRPr="00361DFF">
        <w:rPr>
          <w:lang w:val="fr-FR"/>
        </w:rPr>
        <w:t>Livelihood</w:t>
      </w:r>
      <w:proofErr w:type="spellEnd"/>
      <w:r w:rsidR="00361DFF" w:rsidRPr="00361DFF">
        <w:rPr>
          <w:lang w:val="fr-FR"/>
        </w:rPr>
        <w:t xml:space="preserve"> </w:t>
      </w:r>
      <w:proofErr w:type="spellStart"/>
      <w:r w:rsidR="00361DFF" w:rsidRPr="00361DFF">
        <w:rPr>
          <w:lang w:val="fr-FR"/>
        </w:rPr>
        <w:t>Fund</w:t>
      </w:r>
      <w:proofErr w:type="spellEnd"/>
      <w:r w:rsidR="00361DFF" w:rsidRPr="00361DFF">
        <w:rPr>
          <w:lang w:val="fr-FR"/>
        </w:rPr>
        <w:t xml:space="preserve"> </w:t>
      </w:r>
      <w:r w:rsidR="00361DFF" w:rsidRPr="00361DFF">
        <w:rPr>
          <w:lang w:val="fr-FR"/>
        </w:rPr>
        <w:t>(LLF)</w:t>
      </w:r>
      <w:r w:rsidR="00361DFF" w:rsidRPr="00361DFF">
        <w:rPr>
          <w:lang w:val="fr-FR"/>
        </w:rPr>
        <w:t xml:space="preserve"> </w:t>
      </w:r>
      <w:r w:rsidR="00361DFF" w:rsidRPr="00361DFF">
        <w:rPr>
          <w:lang w:val="fr-FR"/>
        </w:rPr>
        <w:t>dont la BID est l’Administrateur</w:t>
      </w:r>
      <w:r w:rsidR="00361DFF" w:rsidRPr="00361DFF">
        <w:rPr>
          <w:lang w:val="fr-FR"/>
        </w:rPr>
        <w:t xml:space="preserve"> - </w:t>
      </w:r>
      <w:r w:rsidR="000260C4" w:rsidRPr="00361DFF">
        <w:rPr>
          <w:lang w:val="fr-FR"/>
        </w:rPr>
        <w:t>(15.000.000 $EU) p</w:t>
      </w:r>
      <w:r w:rsidR="00C30C3D" w:rsidRPr="00361DFF">
        <w:rPr>
          <w:lang w:val="fr-FR"/>
        </w:rPr>
        <w:t xml:space="preserve">our financer le </w:t>
      </w:r>
      <w:r w:rsidRPr="00361DFF">
        <w:rPr>
          <w:b/>
          <w:lang w:val="fr-FR" w:eastAsia="fr-FR"/>
        </w:rPr>
        <w:t>« Projet de Renforcement du Système de Santé et des Soins de Santé Primaires au Togo (PR4SP) »</w:t>
      </w:r>
      <w:r w:rsidR="001C075F" w:rsidRPr="00361DFF">
        <w:rPr>
          <w:lang w:val="fr-FR"/>
        </w:rPr>
        <w:t xml:space="preserve"> et à l’intention d’utiliser une partie de ce </w:t>
      </w:r>
      <w:r w:rsidR="001C075F" w:rsidRPr="00361DFF">
        <w:rPr>
          <w:iCs/>
          <w:lang w:val="fr-FR"/>
        </w:rPr>
        <w:t>financement</w:t>
      </w:r>
      <w:r w:rsidR="001C075F" w:rsidRPr="00361DFF">
        <w:rPr>
          <w:lang w:val="fr-FR"/>
        </w:rPr>
        <w:t xml:space="preserve"> pour effectuer des paiements pour l’acquisition de biens, travaux et services connexes et de services de consultants nécessaires dans le cadre </w:t>
      </w:r>
      <w:r w:rsidR="000260C4" w:rsidRPr="00361DFF">
        <w:rPr>
          <w:lang w:val="fr-FR"/>
        </w:rPr>
        <w:t>du</w:t>
      </w:r>
      <w:r w:rsidR="001C075F" w:rsidRPr="00361DFF">
        <w:rPr>
          <w:lang w:val="fr-FR"/>
        </w:rPr>
        <w:t xml:space="preserve"> projet.  </w:t>
      </w:r>
    </w:p>
    <w:p w14:paraId="511A6EC7" w14:textId="77777777" w:rsidR="00361DFF" w:rsidRPr="00361DFF" w:rsidRDefault="00361DFF" w:rsidP="00361DFF">
      <w:pPr>
        <w:ind w:right="72"/>
        <w:jc w:val="both"/>
        <w:rPr>
          <w:lang w:val="fr-FR"/>
        </w:rPr>
      </w:pPr>
    </w:p>
    <w:p w14:paraId="5269C731" w14:textId="47E465BD" w:rsidR="00C30C3D" w:rsidRPr="00361DFF" w:rsidRDefault="00C30C3D" w:rsidP="00E35120">
      <w:pPr>
        <w:spacing w:after="120"/>
        <w:ind w:right="72"/>
        <w:rPr>
          <w:i/>
          <w:iCs/>
          <w:lang w:val="fr-FR"/>
        </w:rPr>
      </w:pPr>
      <w:r w:rsidRPr="00361DFF">
        <w:rPr>
          <w:lang w:val="fr-FR"/>
        </w:rPr>
        <w:t>Le projet comprendra les composantes suivantes</w:t>
      </w:r>
      <w:r w:rsidR="00D4629B" w:rsidRPr="00361DFF">
        <w:rPr>
          <w:lang w:val="fr-FR"/>
        </w:rPr>
        <w:t> :</w:t>
      </w:r>
      <w:r w:rsidR="001C075F" w:rsidRPr="00361DFF">
        <w:rPr>
          <w:lang w:val="fr-FR"/>
        </w:rPr>
        <w:t xml:space="preserve"> </w:t>
      </w:r>
      <w:r w:rsidR="003107E9" w:rsidRPr="00361DFF">
        <w:rPr>
          <w:lang w:val="fr-FR"/>
        </w:rPr>
        <w:t xml:space="preserve"> </w:t>
      </w:r>
    </w:p>
    <w:p w14:paraId="5AA8FFF4" w14:textId="77777777" w:rsidR="003253A4" w:rsidRPr="00361DFF" w:rsidRDefault="003253A4" w:rsidP="003253A4">
      <w:pPr>
        <w:ind w:right="72"/>
        <w:jc w:val="both"/>
        <w:rPr>
          <w:lang w:val="fr-FR"/>
        </w:rPr>
      </w:pPr>
      <w:r w:rsidRPr="00361DFF">
        <w:rPr>
          <w:b/>
          <w:bCs/>
          <w:lang w:val="fr-FR"/>
        </w:rPr>
        <w:t>COMPOSANTE 1 : AMELIORATION DE L'OFFRE DE SERVICES</w:t>
      </w:r>
      <w:r w:rsidRPr="00361DFF">
        <w:rPr>
          <w:lang w:val="fr-FR"/>
        </w:rPr>
        <w:t xml:space="preserve"> se traduit par les travaux de construction, de réhabilitation, d’équipement des infrastructures sanitaires et d’acquisition de moyens roulants et le contrôle des principales maladies transmissibles ainsi que la prise en charge des envenimations par morsures de serpent.</w:t>
      </w:r>
    </w:p>
    <w:p w14:paraId="207011D4" w14:textId="77777777" w:rsidR="003253A4" w:rsidRPr="00361DFF" w:rsidRDefault="003253A4" w:rsidP="003253A4">
      <w:pPr>
        <w:ind w:right="72"/>
        <w:jc w:val="both"/>
        <w:rPr>
          <w:lang w:val="fr-FR"/>
        </w:rPr>
      </w:pPr>
    </w:p>
    <w:p w14:paraId="0668B1DC" w14:textId="33CA8410" w:rsidR="003253A4" w:rsidRPr="00361DFF" w:rsidRDefault="003253A4" w:rsidP="003253A4">
      <w:pPr>
        <w:ind w:right="72"/>
        <w:jc w:val="both"/>
        <w:rPr>
          <w:lang w:val="fr-FR"/>
        </w:rPr>
      </w:pPr>
      <w:r w:rsidRPr="00361DFF">
        <w:rPr>
          <w:b/>
          <w:bCs/>
          <w:lang w:val="fr-FR"/>
        </w:rPr>
        <w:t xml:space="preserve">COMPOSANTE  2 : AMELIORATION DE LA QUALITE DES SERVCES </w:t>
      </w:r>
      <w:r w:rsidRPr="00361DFF">
        <w:rPr>
          <w:lang w:val="fr-FR"/>
        </w:rPr>
        <w:t>comprend le renforcement de la capacité des structures des services de santé et la formation et l’appui aux agents de santé communautaires, l’assurance qualité des services y compris la</w:t>
      </w:r>
      <w:r w:rsidR="00A41090" w:rsidRPr="00361DFF">
        <w:rPr>
          <w:lang w:val="fr-FR"/>
        </w:rPr>
        <w:t xml:space="preserve"> </w:t>
      </w:r>
      <w:r w:rsidRPr="00361DFF">
        <w:rPr>
          <w:lang w:val="fr-FR"/>
        </w:rPr>
        <w:t xml:space="preserve">prévention et le contrôle des infections. </w:t>
      </w:r>
    </w:p>
    <w:p w14:paraId="797BEF1A" w14:textId="77777777" w:rsidR="003253A4" w:rsidRPr="00361DFF" w:rsidRDefault="003253A4" w:rsidP="003253A4">
      <w:pPr>
        <w:ind w:right="72"/>
        <w:jc w:val="both"/>
        <w:rPr>
          <w:lang w:val="fr-FR"/>
        </w:rPr>
      </w:pPr>
    </w:p>
    <w:p w14:paraId="2290C2C4" w14:textId="502CF4D7" w:rsidR="003253A4" w:rsidRPr="00361DFF" w:rsidRDefault="003253A4" w:rsidP="003253A4">
      <w:pPr>
        <w:ind w:right="72"/>
        <w:jc w:val="both"/>
        <w:rPr>
          <w:lang w:val="fr-FR"/>
        </w:rPr>
      </w:pPr>
      <w:r w:rsidRPr="00361DFF">
        <w:rPr>
          <w:b/>
          <w:bCs/>
          <w:lang w:val="fr-FR"/>
        </w:rPr>
        <w:t xml:space="preserve">COMPOSANTE 3 : AMELIORATION DE LA GOUVERNANCE DEANS LE SECTEUR DE LA SANTE </w:t>
      </w:r>
      <w:r w:rsidRPr="00361DFF">
        <w:rPr>
          <w:lang w:val="fr-FR"/>
        </w:rPr>
        <w:t>est organisée autour de la normalisation et la régulation du secteur, l’appui à la coordination et interventions du secteur de la santé et l’appui aux politique</w:t>
      </w:r>
      <w:r w:rsidR="000260C4" w:rsidRPr="00361DFF">
        <w:rPr>
          <w:lang w:val="fr-FR"/>
        </w:rPr>
        <w:t>s</w:t>
      </w:r>
      <w:r w:rsidRPr="00361DFF">
        <w:rPr>
          <w:lang w:val="fr-FR"/>
        </w:rPr>
        <w:t xml:space="preserve"> et stratégies de développement sanitaire.</w:t>
      </w:r>
    </w:p>
    <w:p w14:paraId="268C98AB" w14:textId="77777777" w:rsidR="003253A4" w:rsidRPr="00361DFF" w:rsidRDefault="003253A4" w:rsidP="003253A4">
      <w:pPr>
        <w:ind w:right="72"/>
        <w:jc w:val="both"/>
        <w:rPr>
          <w:lang w:val="fr-FR"/>
        </w:rPr>
      </w:pPr>
    </w:p>
    <w:p w14:paraId="7AC9AC30" w14:textId="77777777" w:rsidR="003253A4" w:rsidRPr="00361DFF" w:rsidRDefault="003253A4" w:rsidP="003253A4">
      <w:pPr>
        <w:ind w:right="72"/>
        <w:jc w:val="both"/>
        <w:rPr>
          <w:lang w:val="fr-FR"/>
        </w:rPr>
      </w:pPr>
      <w:r w:rsidRPr="00361DFF">
        <w:rPr>
          <w:b/>
          <w:bCs/>
          <w:lang w:val="fr-FR"/>
        </w:rPr>
        <w:t xml:space="preserve">COMPOSANTE 4 APPUI A LA MISE EN OUVRE DU PROJET </w:t>
      </w:r>
      <w:r w:rsidRPr="00361DFF">
        <w:rPr>
          <w:lang w:val="fr-FR"/>
        </w:rPr>
        <w:t xml:space="preserve">se traduit par des biens et services nécessaires à la gestion du projet. </w:t>
      </w:r>
    </w:p>
    <w:p w14:paraId="25DFA600" w14:textId="77777777" w:rsidR="003253A4" w:rsidRPr="00361DFF" w:rsidRDefault="003253A4" w:rsidP="003253A4">
      <w:pPr>
        <w:ind w:right="72"/>
        <w:jc w:val="both"/>
        <w:rPr>
          <w:b/>
          <w:bCs/>
          <w:lang w:val="fr-FR"/>
        </w:rPr>
      </w:pPr>
      <w:r w:rsidRPr="00361DFF">
        <w:rPr>
          <w:b/>
          <w:bCs/>
          <w:lang w:val="fr-FR"/>
        </w:rPr>
        <w:t xml:space="preserve"> </w:t>
      </w:r>
    </w:p>
    <w:p w14:paraId="0FF00B85" w14:textId="77777777" w:rsidR="003253A4" w:rsidRPr="00361DFF" w:rsidRDefault="003253A4" w:rsidP="003253A4">
      <w:pPr>
        <w:ind w:right="72"/>
        <w:jc w:val="both"/>
        <w:rPr>
          <w:lang w:val="fr-FR"/>
        </w:rPr>
      </w:pPr>
      <w:r w:rsidRPr="00361DFF">
        <w:rPr>
          <w:b/>
          <w:bCs/>
          <w:lang w:val="fr-FR"/>
        </w:rPr>
        <w:t>COMPOSANTE  5 : AUDIT FINANCIER</w:t>
      </w:r>
      <w:r w:rsidRPr="00361DFF">
        <w:rPr>
          <w:lang w:val="fr-FR"/>
        </w:rPr>
        <w:t xml:space="preserve"> se traduit par l’audit des comptes du projet. </w:t>
      </w:r>
    </w:p>
    <w:p w14:paraId="06F6A5AB" w14:textId="77777777" w:rsidR="003253A4" w:rsidRPr="00361DFF" w:rsidRDefault="003253A4" w:rsidP="003253A4">
      <w:pPr>
        <w:ind w:right="72"/>
        <w:jc w:val="both"/>
        <w:rPr>
          <w:lang w:val="fr-FR"/>
        </w:rPr>
      </w:pPr>
    </w:p>
    <w:p w14:paraId="3F3E3503" w14:textId="77777777" w:rsidR="003253A4" w:rsidRPr="00361DFF" w:rsidRDefault="003253A4" w:rsidP="003253A4">
      <w:pPr>
        <w:ind w:right="72"/>
        <w:jc w:val="both"/>
        <w:rPr>
          <w:lang w:val="fr-FR"/>
        </w:rPr>
      </w:pPr>
      <w:r w:rsidRPr="00361DFF">
        <w:rPr>
          <w:b/>
          <w:bCs/>
          <w:lang w:val="fr-FR"/>
        </w:rPr>
        <w:t xml:space="preserve">COMPOSANTE 6 : IMPREVUS POUR LES INTERVENTIONS D'URGENCE, </w:t>
      </w:r>
      <w:r w:rsidRPr="00361DFF">
        <w:rPr>
          <w:lang w:val="fr-FR"/>
        </w:rPr>
        <w:t xml:space="preserve">est une composante sans affectation de budget. </w:t>
      </w:r>
    </w:p>
    <w:p w14:paraId="0AB4CC7B" w14:textId="77777777" w:rsidR="003253A4" w:rsidRPr="00361DFF" w:rsidRDefault="003253A4" w:rsidP="003253A4">
      <w:pPr>
        <w:ind w:right="72"/>
        <w:jc w:val="both"/>
        <w:rPr>
          <w:lang w:val="fr-FR"/>
        </w:rPr>
      </w:pPr>
    </w:p>
    <w:p w14:paraId="13BD3759" w14:textId="49590877" w:rsidR="003253A4" w:rsidRPr="00361DFF" w:rsidRDefault="003253A4" w:rsidP="003253A4">
      <w:pPr>
        <w:ind w:right="72"/>
        <w:jc w:val="both"/>
        <w:rPr>
          <w:lang w:val="fr-FR"/>
        </w:rPr>
      </w:pPr>
      <w:r w:rsidRPr="00361DFF">
        <w:rPr>
          <w:lang w:val="fr-FR"/>
        </w:rPr>
        <w:t xml:space="preserve">La liste des marchés envisagés dans le cadre du </w:t>
      </w:r>
      <w:r w:rsidR="006566F9" w:rsidRPr="00361DFF">
        <w:rPr>
          <w:lang w:val="fr-FR"/>
        </w:rPr>
        <w:t xml:space="preserve">projet </w:t>
      </w:r>
      <w:r w:rsidRPr="00361DFF">
        <w:rPr>
          <w:lang w:val="fr-FR"/>
        </w:rPr>
        <w:t xml:space="preserve">suivant les types de marchés publics se présente comme suit : </w:t>
      </w:r>
    </w:p>
    <w:p w14:paraId="77A69844" w14:textId="77777777" w:rsidR="006566F9" w:rsidRPr="00361DFF" w:rsidRDefault="006566F9" w:rsidP="003253A4">
      <w:pPr>
        <w:ind w:right="72"/>
        <w:jc w:val="both"/>
        <w:rPr>
          <w:lang w:val="fr-FR"/>
        </w:rPr>
      </w:pPr>
    </w:p>
    <w:p w14:paraId="1A17BFBA" w14:textId="77777777" w:rsidR="00A832A0" w:rsidRDefault="00A832A0" w:rsidP="003253A4">
      <w:pPr>
        <w:ind w:right="72"/>
        <w:jc w:val="both"/>
        <w:rPr>
          <w:lang w:val="fr-FR"/>
        </w:rPr>
      </w:pPr>
    </w:p>
    <w:p w14:paraId="40987622" w14:textId="77777777" w:rsidR="00361DFF" w:rsidRPr="00361DFF" w:rsidRDefault="00361DFF" w:rsidP="003253A4">
      <w:pPr>
        <w:ind w:right="72"/>
        <w:jc w:val="both"/>
        <w:rPr>
          <w:lang w:val="fr-FR"/>
        </w:rPr>
      </w:pPr>
    </w:p>
    <w:p w14:paraId="7E18B396" w14:textId="77777777" w:rsidR="00361DFF" w:rsidRPr="00361DFF" w:rsidRDefault="00361DFF" w:rsidP="003253A4">
      <w:pPr>
        <w:ind w:right="72"/>
        <w:jc w:val="both"/>
        <w:rPr>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0"/>
        <w:gridCol w:w="3318"/>
      </w:tblGrid>
      <w:tr w:rsidR="00361DFF" w:rsidRPr="00361DFF" w14:paraId="4ACC0CBB" w14:textId="77777777" w:rsidTr="00BE0E16">
        <w:trPr>
          <w:trHeight w:val="454"/>
        </w:trPr>
        <w:tc>
          <w:tcPr>
            <w:tcW w:w="5000" w:type="pct"/>
            <w:gridSpan w:val="2"/>
            <w:shd w:val="clear" w:color="auto" w:fill="B6DDE8" w:themeFill="accent5" w:themeFillTint="66"/>
            <w:noWrap/>
            <w:vAlign w:val="center"/>
          </w:tcPr>
          <w:p w14:paraId="2AEC6ADB" w14:textId="77777777" w:rsidR="00A832A0" w:rsidRPr="00361DFF" w:rsidRDefault="00A832A0" w:rsidP="006400D9">
            <w:pPr>
              <w:jc w:val="center"/>
              <w:rPr>
                <w:b/>
                <w:bCs/>
              </w:rPr>
            </w:pPr>
            <w:r w:rsidRPr="00361DFF">
              <w:rPr>
                <w:b/>
                <w:bCs/>
              </w:rPr>
              <w:lastRenderedPageBreak/>
              <w:t xml:space="preserve">TRAVAUX </w:t>
            </w:r>
          </w:p>
        </w:tc>
      </w:tr>
      <w:tr w:rsidR="00361DFF" w:rsidRPr="00361DFF" w14:paraId="3267CA3D" w14:textId="77777777" w:rsidTr="006566F9">
        <w:trPr>
          <w:trHeight w:val="454"/>
        </w:trPr>
        <w:tc>
          <w:tcPr>
            <w:tcW w:w="3255" w:type="pct"/>
            <w:shd w:val="clear" w:color="auto" w:fill="B6DDE8" w:themeFill="accent5" w:themeFillTint="66"/>
            <w:noWrap/>
            <w:vAlign w:val="center"/>
          </w:tcPr>
          <w:p w14:paraId="5D179732" w14:textId="64AE7098" w:rsidR="00A41090" w:rsidRPr="00361DFF" w:rsidRDefault="00A41090" w:rsidP="006825AD">
            <w:pPr>
              <w:rPr>
                <w:b/>
                <w:bCs/>
              </w:rPr>
            </w:pPr>
            <w:r w:rsidRPr="00361DFF">
              <w:rPr>
                <w:b/>
                <w:lang w:val="fr-FR"/>
              </w:rPr>
              <w:t>Description</w:t>
            </w:r>
          </w:p>
        </w:tc>
        <w:tc>
          <w:tcPr>
            <w:tcW w:w="1745" w:type="pct"/>
            <w:shd w:val="clear" w:color="auto" w:fill="B6DDE8" w:themeFill="accent5" w:themeFillTint="66"/>
            <w:vAlign w:val="center"/>
          </w:tcPr>
          <w:p w14:paraId="2DA1C74E" w14:textId="13226032" w:rsidR="00A41090" w:rsidRPr="00361DFF" w:rsidRDefault="00A41090" w:rsidP="00A41090">
            <w:pPr>
              <w:jc w:val="center"/>
              <w:rPr>
                <w:b/>
                <w:bCs/>
              </w:rPr>
            </w:pPr>
            <w:r w:rsidRPr="00361DFF">
              <w:rPr>
                <w:b/>
                <w:lang w:val="fr-FR"/>
              </w:rPr>
              <w:t xml:space="preserve">Mode de passation </w:t>
            </w:r>
          </w:p>
        </w:tc>
      </w:tr>
      <w:tr w:rsidR="00361DFF" w:rsidRPr="00361DFF" w14:paraId="7CB03A7F" w14:textId="77777777" w:rsidTr="006566F9">
        <w:trPr>
          <w:trHeight w:val="454"/>
        </w:trPr>
        <w:tc>
          <w:tcPr>
            <w:tcW w:w="3255" w:type="pct"/>
            <w:shd w:val="clear" w:color="auto" w:fill="auto"/>
            <w:noWrap/>
            <w:vAlign w:val="center"/>
          </w:tcPr>
          <w:p w14:paraId="25EC26BA" w14:textId="0E5FDE3C" w:rsidR="0099601B" w:rsidRPr="00361DFF" w:rsidRDefault="006566F9" w:rsidP="0091345E">
            <w:pPr>
              <w:rPr>
                <w:lang w:val="fr-FR"/>
              </w:rPr>
            </w:pPr>
            <w:r w:rsidRPr="00361DFF">
              <w:rPr>
                <w:lang w:val="fr-FR"/>
              </w:rPr>
              <w:t>T</w:t>
            </w:r>
            <w:r w:rsidR="0099601B" w:rsidRPr="00361DFF">
              <w:rPr>
                <w:lang w:val="fr-FR"/>
              </w:rPr>
              <w:t xml:space="preserve">ravaux de construction (Construction de </w:t>
            </w:r>
            <w:r w:rsidR="0091345E" w:rsidRPr="00361DFF">
              <w:rPr>
                <w:lang w:val="fr-FR"/>
              </w:rPr>
              <w:t>maternité ;</w:t>
            </w:r>
            <w:r w:rsidR="0099601B" w:rsidRPr="00361DFF">
              <w:rPr>
                <w:lang w:val="fr-FR"/>
              </w:rPr>
              <w:t xml:space="preserve"> Construction de bloc obstétrical ; Construction d'Unité Périphérique de Soins ; Construction de service régional de maintenance ; Construction de bloc pédagogique dans 2 écoles de formation en santé ; Construction de branche de l'Institut National d'Hygiène ; Construction de bloc administratif dans 2 Directions Régionales de la Santé)</w:t>
            </w:r>
          </w:p>
        </w:tc>
        <w:tc>
          <w:tcPr>
            <w:tcW w:w="1745" w:type="pct"/>
            <w:shd w:val="clear" w:color="auto" w:fill="auto"/>
            <w:vAlign w:val="center"/>
          </w:tcPr>
          <w:p w14:paraId="6F96866F" w14:textId="2E5CED59" w:rsidR="0099601B" w:rsidRPr="00361DFF" w:rsidRDefault="0099601B" w:rsidP="00A41090">
            <w:pPr>
              <w:jc w:val="center"/>
              <w:rPr>
                <w:lang w:val="fr-FR"/>
              </w:rPr>
            </w:pPr>
            <w:r w:rsidRPr="00361DFF">
              <w:rPr>
                <w:lang w:val="fr-FR"/>
              </w:rPr>
              <w:t>AON</w:t>
            </w:r>
          </w:p>
        </w:tc>
      </w:tr>
      <w:tr w:rsidR="00361DFF" w:rsidRPr="00361DFF" w14:paraId="6A72EBD4" w14:textId="77777777" w:rsidTr="006566F9">
        <w:trPr>
          <w:trHeight w:val="454"/>
        </w:trPr>
        <w:tc>
          <w:tcPr>
            <w:tcW w:w="3255" w:type="pct"/>
            <w:shd w:val="clear" w:color="auto" w:fill="auto"/>
            <w:noWrap/>
            <w:vAlign w:val="center"/>
          </w:tcPr>
          <w:p w14:paraId="7539985D" w14:textId="5BFF8EE3" w:rsidR="0099601B" w:rsidRPr="00361DFF" w:rsidRDefault="006566F9" w:rsidP="0091345E">
            <w:pPr>
              <w:rPr>
                <w:lang w:val="fr-FR"/>
              </w:rPr>
            </w:pPr>
            <w:r w:rsidRPr="00361DFF">
              <w:rPr>
                <w:lang w:val="fr-FR"/>
              </w:rPr>
              <w:t>T</w:t>
            </w:r>
            <w:r w:rsidR="0099601B" w:rsidRPr="00361DFF">
              <w:rPr>
                <w:lang w:val="fr-FR"/>
              </w:rPr>
              <w:t>ravaux de réhabilitation (Réhabilitation de maternité ; Réhabilitation de bloc obstétrical ; Réhabilitation Unité Périphérique de Soins ; Réhabilitation de service régional de maintenance ; Réhabilitation de bloc pédagogique dans 2 écoles de formation en santé ; Réhabilitation de bloc administratif dans 2 Directions Régionales de la Santé)</w:t>
            </w:r>
          </w:p>
        </w:tc>
        <w:tc>
          <w:tcPr>
            <w:tcW w:w="1745" w:type="pct"/>
            <w:shd w:val="clear" w:color="auto" w:fill="auto"/>
            <w:vAlign w:val="center"/>
          </w:tcPr>
          <w:p w14:paraId="3D9724FE" w14:textId="65364CCC" w:rsidR="0099601B" w:rsidRPr="00361DFF" w:rsidRDefault="0099601B" w:rsidP="00A41090">
            <w:pPr>
              <w:jc w:val="center"/>
              <w:rPr>
                <w:lang w:val="fr-FR"/>
              </w:rPr>
            </w:pPr>
            <w:r w:rsidRPr="00361DFF">
              <w:rPr>
                <w:lang w:val="fr-FR"/>
              </w:rPr>
              <w:t>AON</w:t>
            </w:r>
          </w:p>
        </w:tc>
      </w:tr>
    </w:tbl>
    <w:p w14:paraId="07177B93" w14:textId="77777777" w:rsidR="00A832A0" w:rsidRPr="00361DFF" w:rsidRDefault="00A832A0" w:rsidP="003253A4">
      <w:pPr>
        <w:ind w:right="72"/>
        <w:jc w:val="both"/>
        <w:rPr>
          <w:lang w:val="fr-FR"/>
        </w:rPr>
      </w:pPr>
    </w:p>
    <w:p w14:paraId="499C7F0A" w14:textId="77777777" w:rsidR="00A41090" w:rsidRPr="00361DFF" w:rsidRDefault="00A41090" w:rsidP="003253A4">
      <w:pPr>
        <w:ind w:right="72"/>
        <w:jc w:val="both"/>
        <w:rPr>
          <w:lang w:val="fr-FR"/>
        </w:rPr>
      </w:pPr>
    </w:p>
    <w:tbl>
      <w:tblPr>
        <w:tblStyle w:val="Grilledutableau"/>
        <w:tblW w:w="5000" w:type="pct"/>
        <w:tblLook w:val="04A0" w:firstRow="1" w:lastRow="0" w:firstColumn="1" w:lastColumn="0" w:noHBand="0" w:noVBand="1"/>
      </w:tblPr>
      <w:tblGrid>
        <w:gridCol w:w="5570"/>
        <w:gridCol w:w="3938"/>
      </w:tblGrid>
      <w:tr w:rsidR="00361DFF" w:rsidRPr="00361DFF" w14:paraId="0E0DE8E2" w14:textId="77777777" w:rsidTr="00361DFF">
        <w:trPr>
          <w:trHeight w:val="397"/>
        </w:trPr>
        <w:tc>
          <w:tcPr>
            <w:tcW w:w="5000" w:type="pct"/>
            <w:gridSpan w:val="2"/>
            <w:shd w:val="clear" w:color="auto" w:fill="B6DDE8" w:themeFill="accent5" w:themeFillTint="66"/>
            <w:vAlign w:val="center"/>
          </w:tcPr>
          <w:p w14:paraId="6B43407D" w14:textId="2B6151B4" w:rsidR="000260C4" w:rsidRPr="00361DFF" w:rsidRDefault="000260C4" w:rsidP="005D777B">
            <w:pPr>
              <w:ind w:right="72"/>
              <w:jc w:val="center"/>
              <w:rPr>
                <w:lang w:val="fr-FR"/>
              </w:rPr>
            </w:pPr>
            <w:r w:rsidRPr="00361DFF">
              <w:rPr>
                <w:b/>
                <w:bCs/>
              </w:rPr>
              <w:t>BIENS</w:t>
            </w:r>
          </w:p>
        </w:tc>
      </w:tr>
      <w:tr w:rsidR="00361DFF" w:rsidRPr="00361DFF" w14:paraId="7D2CE4DD" w14:textId="77777777" w:rsidTr="00361DFF">
        <w:trPr>
          <w:trHeight w:val="397"/>
        </w:trPr>
        <w:tc>
          <w:tcPr>
            <w:tcW w:w="2929" w:type="pct"/>
            <w:shd w:val="clear" w:color="auto" w:fill="B6DDE8" w:themeFill="accent5" w:themeFillTint="66"/>
            <w:vAlign w:val="center"/>
          </w:tcPr>
          <w:p w14:paraId="46ABE81D" w14:textId="77777777" w:rsidR="000260C4" w:rsidRPr="00361DFF" w:rsidRDefault="000260C4" w:rsidP="005D777B">
            <w:pPr>
              <w:ind w:right="72"/>
              <w:jc w:val="both"/>
              <w:rPr>
                <w:b/>
                <w:lang w:val="fr-FR"/>
              </w:rPr>
            </w:pPr>
            <w:r w:rsidRPr="00361DFF">
              <w:rPr>
                <w:b/>
                <w:lang w:val="fr-FR"/>
              </w:rPr>
              <w:t>Description</w:t>
            </w:r>
          </w:p>
        </w:tc>
        <w:tc>
          <w:tcPr>
            <w:tcW w:w="2071" w:type="pct"/>
            <w:shd w:val="clear" w:color="auto" w:fill="B6DDE8" w:themeFill="accent5" w:themeFillTint="66"/>
            <w:vAlign w:val="center"/>
          </w:tcPr>
          <w:p w14:paraId="4BF47B59" w14:textId="6D9595F9" w:rsidR="000260C4" w:rsidRPr="00361DFF" w:rsidRDefault="00F84420" w:rsidP="005D777B">
            <w:pPr>
              <w:ind w:right="72"/>
              <w:jc w:val="both"/>
              <w:rPr>
                <w:b/>
                <w:lang w:val="fr-FR"/>
              </w:rPr>
            </w:pPr>
            <w:r w:rsidRPr="00361DFF">
              <w:rPr>
                <w:b/>
                <w:lang w:val="fr-FR"/>
              </w:rPr>
              <w:t xml:space="preserve">Mode de passation </w:t>
            </w:r>
          </w:p>
        </w:tc>
      </w:tr>
      <w:tr w:rsidR="00361DFF" w:rsidRPr="00361DFF" w14:paraId="5259869C" w14:textId="77777777" w:rsidTr="00361DFF">
        <w:trPr>
          <w:trHeight w:val="397"/>
        </w:trPr>
        <w:tc>
          <w:tcPr>
            <w:tcW w:w="2929" w:type="pct"/>
            <w:vAlign w:val="center"/>
          </w:tcPr>
          <w:p w14:paraId="3E54E2D4" w14:textId="3C74ECB8" w:rsidR="000260C4" w:rsidRPr="00361DFF" w:rsidRDefault="000260C4" w:rsidP="000260C4">
            <w:pPr>
              <w:ind w:right="72"/>
              <w:rPr>
                <w:lang w:val="fr-FR"/>
              </w:rPr>
            </w:pPr>
            <w:r w:rsidRPr="00361DFF">
              <w:rPr>
                <w:lang w:val="fr-FR"/>
              </w:rPr>
              <w:t>Achat de véhicule tout terrain (4x4)</w:t>
            </w:r>
          </w:p>
        </w:tc>
        <w:tc>
          <w:tcPr>
            <w:tcW w:w="2071" w:type="pct"/>
            <w:vAlign w:val="center"/>
          </w:tcPr>
          <w:p w14:paraId="598EB242" w14:textId="59B39F8A" w:rsidR="000260C4" w:rsidRPr="00361DFF" w:rsidRDefault="005B2C6F" w:rsidP="000260C4">
            <w:pPr>
              <w:ind w:right="72"/>
              <w:jc w:val="both"/>
              <w:rPr>
                <w:lang w:val="fr-FR"/>
              </w:rPr>
            </w:pPr>
            <w:r w:rsidRPr="00361DFF">
              <w:rPr>
                <w:lang w:val="fr-FR"/>
              </w:rPr>
              <w:t>Consultation de fournisseurs</w:t>
            </w:r>
            <w:r w:rsidR="00A41090" w:rsidRPr="00361DFF">
              <w:rPr>
                <w:lang w:val="fr-FR"/>
              </w:rPr>
              <w:t xml:space="preserve"> </w:t>
            </w:r>
            <w:r w:rsidRPr="00361DFF">
              <w:rPr>
                <w:lang w:val="fr-FR"/>
              </w:rPr>
              <w:t xml:space="preserve">(CF) </w:t>
            </w:r>
          </w:p>
        </w:tc>
      </w:tr>
      <w:tr w:rsidR="00361DFF" w:rsidRPr="00361DFF" w14:paraId="779A23E0" w14:textId="77777777" w:rsidTr="00361DFF">
        <w:trPr>
          <w:trHeight w:val="397"/>
        </w:trPr>
        <w:tc>
          <w:tcPr>
            <w:tcW w:w="2929" w:type="pct"/>
            <w:vAlign w:val="center"/>
          </w:tcPr>
          <w:p w14:paraId="72898398" w14:textId="1ADF608B" w:rsidR="005B2C6F" w:rsidRPr="00361DFF" w:rsidRDefault="005B2C6F" w:rsidP="005B2C6F">
            <w:pPr>
              <w:ind w:right="72"/>
              <w:rPr>
                <w:lang w:val="fr-FR"/>
              </w:rPr>
            </w:pPr>
            <w:r w:rsidRPr="00361DFF">
              <w:rPr>
                <w:lang w:val="fr-FR"/>
              </w:rPr>
              <w:t>Achat de Motos</w:t>
            </w:r>
          </w:p>
        </w:tc>
        <w:tc>
          <w:tcPr>
            <w:tcW w:w="2071" w:type="pct"/>
            <w:vAlign w:val="center"/>
          </w:tcPr>
          <w:p w14:paraId="208A6039" w14:textId="5AFC674B" w:rsidR="005B2C6F" w:rsidRPr="00361DFF" w:rsidRDefault="005B2C6F" w:rsidP="005B2C6F">
            <w:pPr>
              <w:ind w:right="72"/>
              <w:jc w:val="both"/>
              <w:rPr>
                <w:lang w:val="fr-FR"/>
              </w:rPr>
            </w:pPr>
            <w:r w:rsidRPr="00361DFF">
              <w:rPr>
                <w:lang w:val="fr-FR"/>
              </w:rPr>
              <w:t>Consultation de fournisseurs</w:t>
            </w:r>
            <w:r w:rsidR="00A41090" w:rsidRPr="00361DFF">
              <w:rPr>
                <w:lang w:val="fr-FR"/>
              </w:rPr>
              <w:t xml:space="preserve"> </w:t>
            </w:r>
            <w:r w:rsidRPr="00361DFF">
              <w:rPr>
                <w:lang w:val="fr-FR"/>
              </w:rPr>
              <w:t xml:space="preserve">(CF) </w:t>
            </w:r>
          </w:p>
        </w:tc>
      </w:tr>
      <w:tr w:rsidR="00361DFF" w:rsidRPr="00361DFF" w14:paraId="6366708C" w14:textId="77777777" w:rsidTr="00361DFF">
        <w:trPr>
          <w:trHeight w:val="397"/>
        </w:trPr>
        <w:tc>
          <w:tcPr>
            <w:tcW w:w="2929" w:type="pct"/>
            <w:vAlign w:val="center"/>
          </w:tcPr>
          <w:p w14:paraId="263FB4D1" w14:textId="6BF8987A" w:rsidR="005B2C6F" w:rsidRPr="00361DFF" w:rsidRDefault="005B2C6F" w:rsidP="005B2C6F">
            <w:pPr>
              <w:ind w:right="72"/>
              <w:rPr>
                <w:lang w:val="fr-FR"/>
              </w:rPr>
            </w:pPr>
            <w:r w:rsidRPr="00361DFF">
              <w:rPr>
                <w:lang w:val="fr-FR"/>
              </w:rPr>
              <w:t>Mobilier de bureau</w:t>
            </w:r>
          </w:p>
        </w:tc>
        <w:tc>
          <w:tcPr>
            <w:tcW w:w="2071" w:type="pct"/>
            <w:vAlign w:val="center"/>
          </w:tcPr>
          <w:p w14:paraId="7508886B" w14:textId="2013933F" w:rsidR="005B2C6F" w:rsidRPr="00361DFF" w:rsidRDefault="005B2C6F" w:rsidP="005B2C6F">
            <w:pPr>
              <w:ind w:right="72"/>
              <w:jc w:val="both"/>
              <w:rPr>
                <w:lang w:val="fr-FR"/>
              </w:rPr>
            </w:pPr>
            <w:r w:rsidRPr="00361DFF">
              <w:rPr>
                <w:lang w:val="fr-FR"/>
              </w:rPr>
              <w:t>Consultation de fournisseurs</w:t>
            </w:r>
            <w:r w:rsidR="00A41090" w:rsidRPr="00361DFF">
              <w:rPr>
                <w:lang w:val="fr-FR"/>
              </w:rPr>
              <w:t xml:space="preserve"> </w:t>
            </w:r>
            <w:r w:rsidRPr="00361DFF">
              <w:rPr>
                <w:lang w:val="fr-FR"/>
              </w:rPr>
              <w:t xml:space="preserve">(CF) </w:t>
            </w:r>
          </w:p>
        </w:tc>
      </w:tr>
      <w:tr w:rsidR="00361DFF" w:rsidRPr="00361DFF" w14:paraId="3290453E" w14:textId="77777777" w:rsidTr="00361DFF">
        <w:trPr>
          <w:trHeight w:val="397"/>
        </w:trPr>
        <w:tc>
          <w:tcPr>
            <w:tcW w:w="2929" w:type="pct"/>
            <w:vAlign w:val="center"/>
          </w:tcPr>
          <w:p w14:paraId="2DE79708" w14:textId="63BD269A" w:rsidR="005B2C6F" w:rsidRPr="00361DFF" w:rsidRDefault="005B2C6F" w:rsidP="005B2C6F">
            <w:pPr>
              <w:ind w:right="72"/>
              <w:rPr>
                <w:lang w:val="fr-FR"/>
              </w:rPr>
            </w:pPr>
            <w:r w:rsidRPr="00361DFF">
              <w:rPr>
                <w:lang w:val="fr-FR"/>
              </w:rPr>
              <w:t>Fournitures et consommables du bureau</w:t>
            </w:r>
          </w:p>
        </w:tc>
        <w:tc>
          <w:tcPr>
            <w:tcW w:w="2071" w:type="pct"/>
            <w:vAlign w:val="center"/>
          </w:tcPr>
          <w:p w14:paraId="2899E26D" w14:textId="2A049A0D" w:rsidR="005B2C6F" w:rsidRPr="00361DFF" w:rsidRDefault="005B2C6F" w:rsidP="005B2C6F">
            <w:pPr>
              <w:ind w:right="72"/>
              <w:jc w:val="both"/>
              <w:rPr>
                <w:lang w:val="fr-FR"/>
              </w:rPr>
            </w:pPr>
            <w:r w:rsidRPr="00361DFF">
              <w:rPr>
                <w:lang w:val="fr-FR"/>
              </w:rPr>
              <w:t>Consultation de fournisseurs</w:t>
            </w:r>
            <w:r w:rsidR="00A41090" w:rsidRPr="00361DFF">
              <w:rPr>
                <w:lang w:val="fr-FR"/>
              </w:rPr>
              <w:t xml:space="preserve"> </w:t>
            </w:r>
            <w:r w:rsidRPr="00361DFF">
              <w:rPr>
                <w:lang w:val="fr-FR"/>
              </w:rPr>
              <w:t xml:space="preserve">(CF) </w:t>
            </w:r>
          </w:p>
        </w:tc>
      </w:tr>
      <w:tr w:rsidR="00361DFF" w:rsidRPr="00361DFF" w14:paraId="4301EFE6" w14:textId="77777777" w:rsidTr="00361DFF">
        <w:trPr>
          <w:trHeight w:val="397"/>
        </w:trPr>
        <w:tc>
          <w:tcPr>
            <w:tcW w:w="2929" w:type="pct"/>
            <w:vAlign w:val="center"/>
          </w:tcPr>
          <w:p w14:paraId="269F8EEF" w14:textId="3C5D2F2F" w:rsidR="005B2C6F" w:rsidRPr="00361DFF" w:rsidRDefault="005B2C6F" w:rsidP="005B2C6F">
            <w:pPr>
              <w:ind w:right="72"/>
              <w:rPr>
                <w:lang w:val="fr-FR"/>
              </w:rPr>
            </w:pPr>
            <w:r w:rsidRPr="00361DFF">
              <w:rPr>
                <w:lang w:val="fr-FR"/>
              </w:rPr>
              <w:t>Matériels informatiques (Ordinateur, photocopieur et Scanner)</w:t>
            </w:r>
          </w:p>
        </w:tc>
        <w:tc>
          <w:tcPr>
            <w:tcW w:w="2071" w:type="pct"/>
            <w:vAlign w:val="center"/>
          </w:tcPr>
          <w:p w14:paraId="523B2B88" w14:textId="0D96A71D" w:rsidR="005B2C6F" w:rsidRPr="00361DFF" w:rsidRDefault="005B2C6F" w:rsidP="005B2C6F">
            <w:pPr>
              <w:ind w:right="72"/>
              <w:jc w:val="both"/>
              <w:rPr>
                <w:lang w:val="fr-FR"/>
              </w:rPr>
            </w:pPr>
            <w:r w:rsidRPr="00361DFF">
              <w:rPr>
                <w:lang w:val="fr-FR"/>
              </w:rPr>
              <w:t>Consultation de fournisseurs</w:t>
            </w:r>
            <w:r w:rsidR="00A41090" w:rsidRPr="00361DFF">
              <w:rPr>
                <w:lang w:val="fr-FR"/>
              </w:rPr>
              <w:t xml:space="preserve"> </w:t>
            </w:r>
            <w:r w:rsidRPr="00361DFF">
              <w:rPr>
                <w:lang w:val="fr-FR"/>
              </w:rPr>
              <w:t xml:space="preserve">(CF) </w:t>
            </w:r>
          </w:p>
        </w:tc>
      </w:tr>
      <w:tr w:rsidR="00361DFF" w:rsidRPr="00361DFF" w14:paraId="6048DBFE" w14:textId="77777777" w:rsidTr="00361DFF">
        <w:trPr>
          <w:trHeight w:val="397"/>
        </w:trPr>
        <w:tc>
          <w:tcPr>
            <w:tcW w:w="2929" w:type="pct"/>
            <w:vAlign w:val="center"/>
          </w:tcPr>
          <w:p w14:paraId="521E3657" w14:textId="3533D645" w:rsidR="00AA32CE" w:rsidRPr="00361DFF" w:rsidRDefault="00AA32CE" w:rsidP="005B2C6F">
            <w:pPr>
              <w:ind w:right="72"/>
              <w:rPr>
                <w:lang w:val="fr-FR"/>
              </w:rPr>
            </w:pPr>
            <w:r w:rsidRPr="00361DFF">
              <w:rPr>
                <w:lang w:val="fr-FR"/>
              </w:rPr>
              <w:t xml:space="preserve">Fourniture et installation </w:t>
            </w:r>
            <w:r w:rsidR="0091345E" w:rsidRPr="00361DFF">
              <w:rPr>
                <w:lang w:val="fr-FR"/>
              </w:rPr>
              <w:t>d’équipements biomédicaux</w:t>
            </w:r>
            <w:r w:rsidRPr="00361DFF">
              <w:rPr>
                <w:lang w:val="fr-FR"/>
              </w:rPr>
              <w:t xml:space="preserve"> </w:t>
            </w:r>
          </w:p>
        </w:tc>
        <w:tc>
          <w:tcPr>
            <w:tcW w:w="2071" w:type="pct"/>
            <w:vAlign w:val="center"/>
          </w:tcPr>
          <w:p w14:paraId="6C1798AB" w14:textId="49E32502" w:rsidR="00AA32CE" w:rsidRPr="00361DFF" w:rsidRDefault="00AA32CE" w:rsidP="005B2C6F">
            <w:pPr>
              <w:ind w:right="72"/>
              <w:jc w:val="both"/>
              <w:rPr>
                <w:lang w:val="fr-FR"/>
              </w:rPr>
            </w:pPr>
            <w:r w:rsidRPr="00361DFF">
              <w:rPr>
                <w:lang w:val="fr-FR"/>
              </w:rPr>
              <w:t xml:space="preserve">Appel d’offres international (AOI) </w:t>
            </w:r>
          </w:p>
        </w:tc>
      </w:tr>
      <w:tr w:rsidR="00361DFF" w:rsidRPr="00361DFF" w14:paraId="76A5FC42" w14:textId="77777777" w:rsidTr="00361DFF">
        <w:trPr>
          <w:trHeight w:val="397"/>
        </w:trPr>
        <w:tc>
          <w:tcPr>
            <w:tcW w:w="2929" w:type="pct"/>
            <w:vAlign w:val="center"/>
          </w:tcPr>
          <w:p w14:paraId="729EA727" w14:textId="08C6D928" w:rsidR="00AA32CE" w:rsidRPr="00361DFF" w:rsidRDefault="00AA32CE" w:rsidP="005B2C6F">
            <w:pPr>
              <w:ind w:right="72"/>
              <w:rPr>
                <w:lang w:val="fr-FR"/>
              </w:rPr>
            </w:pPr>
            <w:r w:rsidRPr="00361DFF">
              <w:rPr>
                <w:lang w:val="fr-FR"/>
              </w:rPr>
              <w:t>Fourniture d’autres équipement</w:t>
            </w:r>
            <w:r w:rsidR="00320A32" w:rsidRPr="00361DFF">
              <w:rPr>
                <w:lang w:val="fr-FR"/>
              </w:rPr>
              <w:t>s</w:t>
            </w:r>
            <w:r w:rsidRPr="00361DFF">
              <w:rPr>
                <w:lang w:val="fr-FR"/>
              </w:rPr>
              <w:t xml:space="preserve"> </w:t>
            </w:r>
            <w:r w:rsidR="00320A32" w:rsidRPr="00361DFF">
              <w:rPr>
                <w:lang w:val="fr-FR"/>
              </w:rPr>
              <w:t xml:space="preserve"> (matériel de </w:t>
            </w:r>
            <w:r w:rsidRPr="00361DFF">
              <w:rPr>
                <w:lang w:val="fr-FR"/>
              </w:rPr>
              <w:t xml:space="preserve">de laboratoire, </w:t>
            </w:r>
            <w:r w:rsidR="00320A32" w:rsidRPr="00361DFF">
              <w:rPr>
                <w:lang w:val="fr-FR"/>
              </w:rPr>
              <w:t xml:space="preserve">d’hôpital et de </w:t>
            </w:r>
            <w:r w:rsidRPr="00361DFF">
              <w:rPr>
                <w:lang w:val="fr-FR"/>
              </w:rPr>
              <w:t>diagnostic</w:t>
            </w:r>
            <w:r w:rsidR="00320A32" w:rsidRPr="00361DFF">
              <w:rPr>
                <w:lang w:val="fr-FR"/>
              </w:rPr>
              <w:t>)</w:t>
            </w:r>
          </w:p>
        </w:tc>
        <w:tc>
          <w:tcPr>
            <w:tcW w:w="2071" w:type="pct"/>
            <w:vAlign w:val="center"/>
          </w:tcPr>
          <w:p w14:paraId="4B7F888A" w14:textId="31873ABF" w:rsidR="00AA32CE" w:rsidRPr="00361DFF" w:rsidRDefault="00AA32CE" w:rsidP="005B2C6F">
            <w:pPr>
              <w:ind w:right="72"/>
              <w:jc w:val="both"/>
              <w:rPr>
                <w:lang w:val="fr-FR"/>
              </w:rPr>
            </w:pPr>
            <w:r w:rsidRPr="00361DFF">
              <w:rPr>
                <w:lang w:val="fr-FR"/>
              </w:rPr>
              <w:t>Appel d’offres international (AOI)</w:t>
            </w:r>
          </w:p>
        </w:tc>
      </w:tr>
      <w:tr w:rsidR="00361DFF" w:rsidRPr="00361DFF" w14:paraId="4A654860" w14:textId="77777777" w:rsidTr="00361DFF">
        <w:trPr>
          <w:trHeight w:val="397"/>
        </w:trPr>
        <w:tc>
          <w:tcPr>
            <w:tcW w:w="2929" w:type="pct"/>
            <w:vAlign w:val="center"/>
          </w:tcPr>
          <w:p w14:paraId="1F335EC4" w14:textId="39744A13" w:rsidR="00320A32" w:rsidRPr="00361DFF" w:rsidRDefault="00320A32" w:rsidP="005B2C6F">
            <w:pPr>
              <w:ind w:right="72"/>
              <w:rPr>
                <w:lang w:val="fr-FR"/>
              </w:rPr>
            </w:pPr>
            <w:r w:rsidRPr="00361DFF">
              <w:rPr>
                <w:lang w:val="fr-FR"/>
              </w:rPr>
              <w:t xml:space="preserve">Achat </w:t>
            </w:r>
            <w:r w:rsidR="0091345E" w:rsidRPr="00361DFF">
              <w:rPr>
                <w:lang w:val="fr-FR"/>
              </w:rPr>
              <w:t>d’ambulances médicalisées</w:t>
            </w:r>
            <w:r w:rsidRPr="00361DFF">
              <w:rPr>
                <w:lang w:val="fr-FR"/>
              </w:rPr>
              <w:t xml:space="preserve"> </w:t>
            </w:r>
          </w:p>
        </w:tc>
        <w:tc>
          <w:tcPr>
            <w:tcW w:w="2071" w:type="pct"/>
            <w:vAlign w:val="center"/>
          </w:tcPr>
          <w:p w14:paraId="10C7571A" w14:textId="3C51C867" w:rsidR="00320A32" w:rsidRPr="00361DFF" w:rsidRDefault="00320A32" w:rsidP="005B2C6F">
            <w:pPr>
              <w:ind w:right="72"/>
              <w:jc w:val="both"/>
              <w:rPr>
                <w:lang w:val="fr-FR"/>
              </w:rPr>
            </w:pPr>
            <w:r w:rsidRPr="00361DFF">
              <w:rPr>
                <w:lang w:val="fr-FR"/>
              </w:rPr>
              <w:t>Consultation de fournisseurs (CF)</w:t>
            </w:r>
          </w:p>
        </w:tc>
      </w:tr>
      <w:tr w:rsidR="00361DFF" w:rsidRPr="00361DFF" w14:paraId="26F2AF77" w14:textId="77777777" w:rsidTr="00361DFF">
        <w:trPr>
          <w:trHeight w:val="397"/>
        </w:trPr>
        <w:tc>
          <w:tcPr>
            <w:tcW w:w="2929" w:type="pct"/>
            <w:vAlign w:val="center"/>
          </w:tcPr>
          <w:p w14:paraId="5F4CBBEC" w14:textId="29F8D2AF" w:rsidR="00320A32" w:rsidRPr="00361DFF" w:rsidRDefault="00320A32" w:rsidP="005B2C6F">
            <w:pPr>
              <w:ind w:right="72"/>
              <w:rPr>
                <w:lang w:val="fr-FR"/>
              </w:rPr>
            </w:pPr>
            <w:r w:rsidRPr="00361DFF">
              <w:rPr>
                <w:lang w:val="fr-FR"/>
              </w:rPr>
              <w:t xml:space="preserve">Fourniture et installation Machine de lessives, générateurs électrique, réfrigérateur pour la conservation des vaccins et du sang  </w:t>
            </w:r>
          </w:p>
        </w:tc>
        <w:tc>
          <w:tcPr>
            <w:tcW w:w="2071" w:type="pct"/>
            <w:vAlign w:val="center"/>
          </w:tcPr>
          <w:p w14:paraId="1DD246CC" w14:textId="22F00A23" w:rsidR="00320A32" w:rsidRPr="00361DFF" w:rsidRDefault="00320A32" w:rsidP="005B2C6F">
            <w:pPr>
              <w:ind w:right="72"/>
              <w:jc w:val="both"/>
              <w:rPr>
                <w:lang w:val="fr-FR"/>
              </w:rPr>
            </w:pPr>
            <w:r w:rsidRPr="00361DFF">
              <w:rPr>
                <w:lang w:val="fr-FR"/>
              </w:rPr>
              <w:t>Consultation de fournisseurs (CF)</w:t>
            </w:r>
          </w:p>
        </w:tc>
      </w:tr>
      <w:tr w:rsidR="00361DFF" w:rsidRPr="00361DFF" w14:paraId="1EB17136" w14:textId="77777777" w:rsidTr="00361DFF">
        <w:trPr>
          <w:trHeight w:val="397"/>
        </w:trPr>
        <w:tc>
          <w:tcPr>
            <w:tcW w:w="2929" w:type="pct"/>
            <w:vAlign w:val="center"/>
          </w:tcPr>
          <w:p w14:paraId="4D6AAF60" w14:textId="4D0610F5" w:rsidR="00624F8F" w:rsidRPr="00361DFF" w:rsidRDefault="00624F8F" w:rsidP="005B2C6F">
            <w:pPr>
              <w:ind w:right="72"/>
              <w:rPr>
                <w:lang w:val="fr-FR"/>
              </w:rPr>
            </w:pPr>
            <w:r w:rsidRPr="00361DFF">
              <w:rPr>
                <w:lang w:val="fr-FR"/>
              </w:rPr>
              <w:t>Matériel de bureau</w:t>
            </w:r>
          </w:p>
        </w:tc>
        <w:tc>
          <w:tcPr>
            <w:tcW w:w="2071" w:type="pct"/>
            <w:vAlign w:val="center"/>
          </w:tcPr>
          <w:p w14:paraId="10D6E239" w14:textId="0E862509" w:rsidR="00624F8F" w:rsidRPr="00361DFF" w:rsidRDefault="00624F8F" w:rsidP="005B2C6F">
            <w:pPr>
              <w:ind w:right="72"/>
              <w:jc w:val="both"/>
              <w:rPr>
                <w:lang w:val="fr-FR"/>
              </w:rPr>
            </w:pPr>
            <w:r w:rsidRPr="00361DFF">
              <w:rPr>
                <w:lang w:val="fr-FR"/>
              </w:rPr>
              <w:t>Consultation de fournisseurs (CF)</w:t>
            </w:r>
          </w:p>
        </w:tc>
      </w:tr>
      <w:tr w:rsidR="00361DFF" w:rsidRPr="00361DFF" w14:paraId="58B02702" w14:textId="77777777" w:rsidTr="00361DFF">
        <w:trPr>
          <w:trHeight w:val="397"/>
        </w:trPr>
        <w:tc>
          <w:tcPr>
            <w:tcW w:w="2929" w:type="pct"/>
            <w:vAlign w:val="center"/>
          </w:tcPr>
          <w:p w14:paraId="2CD6503E" w14:textId="43F81EAD" w:rsidR="00624F8F" w:rsidRPr="00361DFF" w:rsidRDefault="00624F8F" w:rsidP="005B2C6F">
            <w:pPr>
              <w:ind w:right="72"/>
              <w:rPr>
                <w:lang w:val="fr-FR"/>
              </w:rPr>
            </w:pPr>
            <w:r w:rsidRPr="00361DFF">
              <w:rPr>
                <w:lang w:val="fr-FR"/>
              </w:rPr>
              <w:t xml:space="preserve">Acquisition de logiciel de gestion financière et comptable au profit du PR4SP </w:t>
            </w:r>
          </w:p>
        </w:tc>
        <w:tc>
          <w:tcPr>
            <w:tcW w:w="2071" w:type="pct"/>
            <w:vAlign w:val="center"/>
          </w:tcPr>
          <w:p w14:paraId="34D13377" w14:textId="4C8427F9" w:rsidR="00624F8F" w:rsidRPr="00361DFF" w:rsidRDefault="00624F8F" w:rsidP="005B2C6F">
            <w:pPr>
              <w:ind w:right="72"/>
              <w:jc w:val="both"/>
              <w:rPr>
                <w:lang w:val="fr-FR"/>
              </w:rPr>
            </w:pPr>
            <w:r w:rsidRPr="00361DFF">
              <w:rPr>
                <w:lang w:val="fr-FR"/>
              </w:rPr>
              <w:t>Entente directe</w:t>
            </w:r>
          </w:p>
        </w:tc>
      </w:tr>
      <w:tr w:rsidR="00361DFF" w:rsidRPr="00361DFF" w14:paraId="2BE621F4" w14:textId="77777777" w:rsidTr="00361DFF">
        <w:trPr>
          <w:trHeight w:val="397"/>
        </w:trPr>
        <w:tc>
          <w:tcPr>
            <w:tcW w:w="2929" w:type="pct"/>
            <w:vAlign w:val="center"/>
          </w:tcPr>
          <w:p w14:paraId="517E8041" w14:textId="04768CCE" w:rsidR="004832B8" w:rsidRPr="00361DFF" w:rsidRDefault="004832B8" w:rsidP="005B2C6F">
            <w:pPr>
              <w:ind w:right="72"/>
              <w:rPr>
                <w:lang w:val="fr-FR"/>
              </w:rPr>
            </w:pPr>
            <w:r w:rsidRPr="00361DFF">
              <w:rPr>
                <w:lang w:val="fr-FR"/>
              </w:rPr>
              <w:t xml:space="preserve">Fournitures de médicaments antirétroviraux et de consommables pour le dépistage (VIH/sida) </w:t>
            </w:r>
          </w:p>
        </w:tc>
        <w:tc>
          <w:tcPr>
            <w:tcW w:w="2071" w:type="pct"/>
            <w:vAlign w:val="center"/>
          </w:tcPr>
          <w:p w14:paraId="7D0B0C5C" w14:textId="01F76CC4" w:rsidR="004832B8" w:rsidRPr="00361DFF" w:rsidRDefault="0094163F" w:rsidP="005B2C6F">
            <w:pPr>
              <w:ind w:right="72"/>
              <w:jc w:val="both"/>
              <w:rPr>
                <w:lang w:val="fr-FR"/>
              </w:rPr>
            </w:pPr>
            <w:r w:rsidRPr="00361DFF">
              <w:rPr>
                <w:lang w:val="fr-FR"/>
              </w:rPr>
              <w:t xml:space="preserve">Entente directe </w:t>
            </w:r>
          </w:p>
        </w:tc>
      </w:tr>
      <w:tr w:rsidR="00361DFF" w:rsidRPr="00361DFF" w14:paraId="13553D91" w14:textId="77777777" w:rsidTr="00361DFF">
        <w:trPr>
          <w:trHeight w:val="397"/>
        </w:trPr>
        <w:tc>
          <w:tcPr>
            <w:tcW w:w="2929" w:type="pct"/>
            <w:vAlign w:val="center"/>
          </w:tcPr>
          <w:p w14:paraId="6DF93ACD" w14:textId="4827A011" w:rsidR="004832B8" w:rsidRPr="00361DFF" w:rsidRDefault="004832B8" w:rsidP="005B2C6F">
            <w:pPr>
              <w:ind w:right="72"/>
              <w:rPr>
                <w:lang w:val="fr-FR"/>
              </w:rPr>
            </w:pPr>
            <w:r w:rsidRPr="00361DFF">
              <w:rPr>
                <w:lang w:val="fr-FR"/>
              </w:rPr>
              <w:t>Fourniture de médicaments antipaludiques</w:t>
            </w:r>
          </w:p>
        </w:tc>
        <w:tc>
          <w:tcPr>
            <w:tcW w:w="2071" w:type="pct"/>
            <w:vAlign w:val="center"/>
          </w:tcPr>
          <w:p w14:paraId="0D51B9E5" w14:textId="60F1B76E" w:rsidR="004832B8" w:rsidRPr="00361DFF" w:rsidRDefault="0094163F" w:rsidP="005B2C6F">
            <w:pPr>
              <w:ind w:right="72"/>
              <w:jc w:val="both"/>
              <w:rPr>
                <w:lang w:val="fr-FR"/>
              </w:rPr>
            </w:pPr>
            <w:r w:rsidRPr="00361DFF">
              <w:rPr>
                <w:lang w:val="fr-FR"/>
              </w:rPr>
              <w:t>Entente directe</w:t>
            </w:r>
          </w:p>
        </w:tc>
      </w:tr>
      <w:tr w:rsidR="00361DFF" w:rsidRPr="00361DFF" w14:paraId="02512C81" w14:textId="77777777" w:rsidTr="00361DFF">
        <w:trPr>
          <w:trHeight w:val="397"/>
        </w:trPr>
        <w:tc>
          <w:tcPr>
            <w:tcW w:w="2929" w:type="pct"/>
            <w:vAlign w:val="center"/>
          </w:tcPr>
          <w:p w14:paraId="3215ADBE" w14:textId="7F250250" w:rsidR="004832B8" w:rsidRPr="00361DFF" w:rsidRDefault="004832B8" w:rsidP="005B2C6F">
            <w:pPr>
              <w:ind w:right="72"/>
              <w:rPr>
                <w:lang w:val="fr-FR"/>
              </w:rPr>
            </w:pPr>
            <w:r w:rsidRPr="00361DFF">
              <w:rPr>
                <w:lang w:val="fr-FR"/>
              </w:rPr>
              <w:t>Approvisionnement en sérum anti-venin</w:t>
            </w:r>
          </w:p>
        </w:tc>
        <w:tc>
          <w:tcPr>
            <w:tcW w:w="2071" w:type="pct"/>
            <w:vAlign w:val="center"/>
          </w:tcPr>
          <w:p w14:paraId="04B72D4A" w14:textId="6D68B6B5" w:rsidR="004832B8" w:rsidRPr="00361DFF" w:rsidRDefault="0094163F" w:rsidP="005B2C6F">
            <w:pPr>
              <w:ind w:right="72"/>
              <w:jc w:val="both"/>
              <w:rPr>
                <w:lang w:val="fr-FR"/>
              </w:rPr>
            </w:pPr>
            <w:r w:rsidRPr="00361DFF">
              <w:rPr>
                <w:lang w:val="fr-FR"/>
              </w:rPr>
              <w:t>Entente directe</w:t>
            </w:r>
          </w:p>
        </w:tc>
      </w:tr>
      <w:tr w:rsidR="00361DFF" w:rsidRPr="00361DFF" w14:paraId="36DC26DB" w14:textId="77777777" w:rsidTr="00361DFF">
        <w:trPr>
          <w:trHeight w:val="397"/>
        </w:trPr>
        <w:tc>
          <w:tcPr>
            <w:tcW w:w="2929" w:type="pct"/>
            <w:vAlign w:val="center"/>
          </w:tcPr>
          <w:p w14:paraId="3C262032" w14:textId="4B11BB11" w:rsidR="004832B8" w:rsidRPr="00361DFF" w:rsidRDefault="004832B8" w:rsidP="005B2C6F">
            <w:pPr>
              <w:ind w:right="72"/>
              <w:rPr>
                <w:lang w:val="fr-FR"/>
              </w:rPr>
            </w:pPr>
            <w:r w:rsidRPr="00361DFF">
              <w:rPr>
                <w:lang w:val="fr-FR"/>
              </w:rPr>
              <w:t>Fourniture de poche de sang</w:t>
            </w:r>
          </w:p>
        </w:tc>
        <w:tc>
          <w:tcPr>
            <w:tcW w:w="2071" w:type="pct"/>
            <w:vAlign w:val="center"/>
          </w:tcPr>
          <w:p w14:paraId="1DADFD53" w14:textId="6A644F3C" w:rsidR="004832B8" w:rsidRPr="00361DFF" w:rsidRDefault="0094163F" w:rsidP="005B2C6F">
            <w:pPr>
              <w:ind w:right="72"/>
              <w:jc w:val="both"/>
              <w:rPr>
                <w:lang w:val="fr-FR"/>
              </w:rPr>
            </w:pPr>
            <w:r w:rsidRPr="00361DFF">
              <w:rPr>
                <w:lang w:val="fr-FR"/>
              </w:rPr>
              <w:t>Entente directe</w:t>
            </w:r>
          </w:p>
        </w:tc>
      </w:tr>
    </w:tbl>
    <w:p w14:paraId="2545D6B6" w14:textId="77777777" w:rsidR="0094163F" w:rsidRPr="00361DFF" w:rsidRDefault="0094163F" w:rsidP="003253A4">
      <w:pPr>
        <w:ind w:right="72"/>
        <w:jc w:val="both"/>
        <w:rPr>
          <w:lang w:val="fr-FR"/>
        </w:rPr>
      </w:pPr>
    </w:p>
    <w:tbl>
      <w:tblPr>
        <w:tblW w:w="5000" w:type="pct"/>
        <w:tblLayout w:type="fixed"/>
        <w:tblLook w:val="04A0" w:firstRow="1" w:lastRow="0" w:firstColumn="1" w:lastColumn="0" w:noHBand="0" w:noVBand="1"/>
      </w:tblPr>
      <w:tblGrid>
        <w:gridCol w:w="5411"/>
        <w:gridCol w:w="4092"/>
      </w:tblGrid>
      <w:tr w:rsidR="00361DFF" w:rsidRPr="00361DFF" w14:paraId="21E50C22" w14:textId="77777777" w:rsidTr="0091345E">
        <w:trPr>
          <w:trHeight w:val="454"/>
        </w:trPr>
        <w:tc>
          <w:tcPr>
            <w:tcW w:w="5000" w:type="pct"/>
            <w:gridSpan w:val="2"/>
            <w:tcBorders>
              <w:top w:val="single" w:sz="8" w:space="0" w:color="auto"/>
              <w:left w:val="single" w:sz="8" w:space="0" w:color="auto"/>
              <w:bottom w:val="single" w:sz="4" w:space="0" w:color="000000"/>
              <w:right w:val="single" w:sz="4" w:space="0" w:color="auto"/>
            </w:tcBorders>
            <w:shd w:val="clear" w:color="auto" w:fill="C6D9F1" w:themeFill="text2" w:themeFillTint="33"/>
            <w:vAlign w:val="center"/>
          </w:tcPr>
          <w:p w14:paraId="44E1B4E2" w14:textId="78A91955" w:rsidR="00111E7C" w:rsidRPr="00361DFF" w:rsidRDefault="00111E7C">
            <w:pPr>
              <w:jc w:val="center"/>
              <w:rPr>
                <w:b/>
                <w:bCs/>
              </w:rPr>
            </w:pPr>
            <w:r w:rsidRPr="00361DFF">
              <w:rPr>
                <w:b/>
                <w:bCs/>
              </w:rPr>
              <w:lastRenderedPageBreak/>
              <w:t xml:space="preserve">SERVICES CONSULTANT </w:t>
            </w:r>
          </w:p>
        </w:tc>
      </w:tr>
      <w:tr w:rsidR="00361DFF" w:rsidRPr="00361DFF" w14:paraId="18EB162C" w14:textId="77777777" w:rsidTr="00361DFF">
        <w:trPr>
          <w:trHeight w:val="792"/>
        </w:trPr>
        <w:tc>
          <w:tcPr>
            <w:tcW w:w="2847" w:type="pct"/>
            <w:tcBorders>
              <w:top w:val="single" w:sz="8" w:space="0" w:color="auto"/>
              <w:left w:val="single" w:sz="8" w:space="0" w:color="auto"/>
              <w:bottom w:val="single" w:sz="4" w:space="0" w:color="000000"/>
              <w:right w:val="single" w:sz="4" w:space="0" w:color="auto"/>
            </w:tcBorders>
            <w:shd w:val="clear" w:color="auto" w:fill="auto"/>
            <w:vAlign w:val="center"/>
          </w:tcPr>
          <w:p w14:paraId="1837861C" w14:textId="7446D6DF" w:rsidR="00AC50EE" w:rsidRPr="00361DFF" w:rsidRDefault="00AC50EE" w:rsidP="0091345E">
            <w:pPr>
              <w:rPr>
                <w:bCs/>
                <w:lang w:val="fr-FR"/>
              </w:rPr>
            </w:pPr>
            <w:r w:rsidRPr="00361DFF">
              <w:rPr>
                <w:lang w:val="fr-FR"/>
              </w:rPr>
              <w:t xml:space="preserve">Recrutement d'un consultant pour élaborer le Manuel de procédures opérationnelles du Projet </w:t>
            </w:r>
          </w:p>
        </w:tc>
        <w:tc>
          <w:tcPr>
            <w:tcW w:w="2153" w:type="pct"/>
            <w:tcBorders>
              <w:top w:val="single" w:sz="8" w:space="0" w:color="auto"/>
              <w:left w:val="single" w:sz="8" w:space="0" w:color="auto"/>
              <w:bottom w:val="single" w:sz="4" w:space="0" w:color="000000"/>
              <w:right w:val="single" w:sz="4" w:space="0" w:color="auto"/>
            </w:tcBorders>
            <w:shd w:val="clear" w:color="auto" w:fill="auto"/>
            <w:vAlign w:val="center"/>
          </w:tcPr>
          <w:p w14:paraId="79BC379C" w14:textId="77777777" w:rsidR="0094163F" w:rsidRPr="00361DFF" w:rsidRDefault="0094163F" w:rsidP="0094163F">
            <w:pPr>
              <w:rPr>
                <w:bCs/>
                <w:lang w:val="aa-ET"/>
              </w:rPr>
            </w:pPr>
            <w:r w:rsidRPr="00361DFF">
              <w:rPr>
                <w:bCs/>
                <w:lang w:val="fr-FR"/>
              </w:rPr>
              <w:t>Sélection de Consultant Individuel réservée aux consultants Locaux</w:t>
            </w:r>
          </w:p>
          <w:p w14:paraId="6749E535" w14:textId="19440351" w:rsidR="00AC50EE" w:rsidRPr="00361DFF" w:rsidRDefault="0094163F" w:rsidP="0094163F">
            <w:pPr>
              <w:rPr>
                <w:bCs/>
                <w:lang w:val="aa-ET"/>
              </w:rPr>
            </w:pPr>
            <w:r w:rsidRPr="00361DFF">
              <w:rPr>
                <w:bCs/>
                <w:lang w:val="fr-FR"/>
              </w:rPr>
              <w:t>CI/CL</w:t>
            </w:r>
            <w:bookmarkStart w:id="0" w:name="_GoBack"/>
            <w:bookmarkEnd w:id="0"/>
          </w:p>
        </w:tc>
      </w:tr>
      <w:tr w:rsidR="00361DFF" w:rsidRPr="00361DFF" w14:paraId="3AA401B3" w14:textId="77777777" w:rsidTr="006566F9">
        <w:trPr>
          <w:trHeight w:val="276"/>
        </w:trPr>
        <w:tc>
          <w:tcPr>
            <w:tcW w:w="2847" w:type="pct"/>
            <w:tcBorders>
              <w:top w:val="single" w:sz="8" w:space="0" w:color="auto"/>
              <w:left w:val="single" w:sz="8" w:space="0" w:color="auto"/>
              <w:bottom w:val="single" w:sz="4" w:space="0" w:color="000000"/>
              <w:right w:val="single" w:sz="4" w:space="0" w:color="auto"/>
            </w:tcBorders>
            <w:shd w:val="clear" w:color="auto" w:fill="auto"/>
            <w:vAlign w:val="center"/>
          </w:tcPr>
          <w:p w14:paraId="40F7F42E" w14:textId="45AA564A" w:rsidR="00AC50EE" w:rsidRPr="00361DFF" w:rsidRDefault="00AC50EE" w:rsidP="0091345E">
            <w:pPr>
              <w:rPr>
                <w:lang w:val="fr-FR"/>
              </w:rPr>
            </w:pPr>
            <w:r w:rsidRPr="00361DFF">
              <w:rPr>
                <w:bCs/>
                <w:lang w:val="fr-FR"/>
              </w:rPr>
              <w:t>Recrutement d’un cabinet d’étude de conseil et supervision des travaux du génie civil</w:t>
            </w:r>
          </w:p>
        </w:tc>
        <w:tc>
          <w:tcPr>
            <w:tcW w:w="2153" w:type="pct"/>
            <w:tcBorders>
              <w:top w:val="single" w:sz="8" w:space="0" w:color="auto"/>
              <w:left w:val="single" w:sz="4" w:space="0" w:color="auto"/>
              <w:bottom w:val="single" w:sz="4" w:space="0" w:color="000000"/>
              <w:right w:val="single" w:sz="4" w:space="0" w:color="auto"/>
            </w:tcBorders>
            <w:shd w:val="clear" w:color="auto" w:fill="auto"/>
            <w:vAlign w:val="center"/>
          </w:tcPr>
          <w:p w14:paraId="207197E4" w14:textId="7CCEDD42" w:rsidR="0094163F" w:rsidRPr="00361DFF" w:rsidRDefault="0094163F" w:rsidP="0094163F">
            <w:pPr>
              <w:rPr>
                <w:lang w:val="aa-ET"/>
              </w:rPr>
            </w:pPr>
          </w:p>
          <w:p w14:paraId="40DCBBB4" w14:textId="77777777" w:rsidR="0094163F" w:rsidRPr="00361DFF" w:rsidRDefault="0094163F" w:rsidP="0094163F">
            <w:pPr>
              <w:rPr>
                <w:lang w:val="aa-ET"/>
              </w:rPr>
            </w:pPr>
            <w:r w:rsidRPr="00361DFF">
              <w:rPr>
                <w:lang w:val="fr-FR"/>
              </w:rPr>
              <w:t>Sélection Fondée sur la Qualité et le Cout-Pays Membres</w:t>
            </w:r>
          </w:p>
          <w:p w14:paraId="035F6BB2" w14:textId="6F19B2DE" w:rsidR="00AC50EE" w:rsidRPr="00361DFF" w:rsidRDefault="0094163F" w:rsidP="0094163F">
            <w:pPr>
              <w:rPr>
                <w:lang w:val="fr-FR"/>
              </w:rPr>
            </w:pPr>
            <w:r w:rsidRPr="00361DFF">
              <w:rPr>
                <w:lang w:val="aa-ET"/>
              </w:rPr>
              <w:t>SFQC/PM</w:t>
            </w:r>
          </w:p>
        </w:tc>
      </w:tr>
      <w:tr w:rsidR="00361DFF" w:rsidRPr="00361DFF" w14:paraId="6DC17E18" w14:textId="77777777" w:rsidTr="006566F9">
        <w:trPr>
          <w:trHeight w:val="454"/>
        </w:trPr>
        <w:tc>
          <w:tcPr>
            <w:tcW w:w="2847" w:type="pct"/>
            <w:tcBorders>
              <w:top w:val="nil"/>
              <w:left w:val="single" w:sz="8" w:space="0" w:color="auto"/>
              <w:bottom w:val="single" w:sz="4" w:space="0" w:color="000000"/>
              <w:right w:val="single" w:sz="4" w:space="0" w:color="auto"/>
            </w:tcBorders>
            <w:shd w:val="clear" w:color="auto" w:fill="auto"/>
            <w:vAlign w:val="center"/>
          </w:tcPr>
          <w:p w14:paraId="4FD982E6" w14:textId="1F767F75" w:rsidR="00AC50EE" w:rsidRPr="00361DFF" w:rsidRDefault="00AC50EE" w:rsidP="0091345E">
            <w:pPr>
              <w:rPr>
                <w:lang w:val="fr-FR"/>
              </w:rPr>
            </w:pPr>
            <w:r w:rsidRPr="00361DFF">
              <w:rPr>
                <w:lang w:val="fr-FR"/>
              </w:rPr>
              <w:t xml:space="preserve">Recrutement d'un consultant pour l’examen et/ou la rédaction des textes relatifs à la normalisation et la régulation du secteur de la santé </w:t>
            </w:r>
          </w:p>
        </w:tc>
        <w:tc>
          <w:tcPr>
            <w:tcW w:w="2153" w:type="pct"/>
            <w:tcBorders>
              <w:top w:val="nil"/>
              <w:left w:val="single" w:sz="4" w:space="0" w:color="auto"/>
              <w:bottom w:val="single" w:sz="4" w:space="0" w:color="000000"/>
              <w:right w:val="single" w:sz="4" w:space="0" w:color="auto"/>
            </w:tcBorders>
            <w:shd w:val="clear" w:color="auto" w:fill="auto"/>
            <w:vAlign w:val="center"/>
          </w:tcPr>
          <w:p w14:paraId="41CC65BF" w14:textId="77777777" w:rsidR="0094163F" w:rsidRPr="00361DFF" w:rsidRDefault="0094163F" w:rsidP="0094163F">
            <w:pPr>
              <w:rPr>
                <w:lang w:val="aa-ET"/>
              </w:rPr>
            </w:pPr>
            <w:r w:rsidRPr="00361DFF">
              <w:rPr>
                <w:lang w:val="fr-FR"/>
              </w:rPr>
              <w:t>Sélection de Consultant Individuel réservée aux consultants Locaux</w:t>
            </w:r>
          </w:p>
          <w:p w14:paraId="5968273A" w14:textId="77777777" w:rsidR="0094163F" w:rsidRPr="00361DFF" w:rsidRDefault="0094163F" w:rsidP="0094163F">
            <w:pPr>
              <w:rPr>
                <w:lang w:val="aa-ET"/>
              </w:rPr>
            </w:pPr>
            <w:r w:rsidRPr="00361DFF">
              <w:rPr>
                <w:lang w:val="fr-FR"/>
              </w:rPr>
              <w:t>CI/CL</w:t>
            </w:r>
          </w:p>
          <w:p w14:paraId="667F8A91" w14:textId="65D4DC77" w:rsidR="00AC50EE" w:rsidRPr="00361DFF" w:rsidRDefault="00AC50EE" w:rsidP="00AC50EE">
            <w:pPr>
              <w:rPr>
                <w:lang w:val="fr-FR"/>
              </w:rPr>
            </w:pPr>
          </w:p>
        </w:tc>
      </w:tr>
      <w:tr w:rsidR="00361DFF" w:rsidRPr="00361DFF" w14:paraId="0E54D87B" w14:textId="77777777" w:rsidTr="006566F9">
        <w:trPr>
          <w:trHeight w:val="454"/>
        </w:trPr>
        <w:tc>
          <w:tcPr>
            <w:tcW w:w="2847" w:type="pct"/>
            <w:tcBorders>
              <w:top w:val="nil"/>
              <w:left w:val="single" w:sz="8" w:space="0" w:color="auto"/>
              <w:bottom w:val="single" w:sz="4" w:space="0" w:color="auto"/>
              <w:right w:val="single" w:sz="4" w:space="0" w:color="auto"/>
            </w:tcBorders>
            <w:shd w:val="clear" w:color="auto" w:fill="auto"/>
            <w:vAlign w:val="center"/>
            <w:hideMark/>
          </w:tcPr>
          <w:p w14:paraId="573EE1E0" w14:textId="36B73279" w:rsidR="00AC50EE" w:rsidRPr="00361DFF" w:rsidRDefault="00AC50EE" w:rsidP="0091345E">
            <w:pPr>
              <w:rPr>
                <w:bCs/>
                <w:lang w:val="fr-FR"/>
              </w:rPr>
            </w:pPr>
            <w:r w:rsidRPr="00361DFF">
              <w:rPr>
                <w:bCs/>
                <w:lang w:val="fr-FR"/>
              </w:rPr>
              <w:t xml:space="preserve">Recrutement d’un consultant pour le développement d’une une plateforme de formation et de partage d’expérience en ligne </w:t>
            </w:r>
          </w:p>
        </w:tc>
        <w:tc>
          <w:tcPr>
            <w:tcW w:w="2153" w:type="pct"/>
            <w:tcBorders>
              <w:top w:val="nil"/>
              <w:left w:val="nil"/>
              <w:bottom w:val="single" w:sz="4" w:space="0" w:color="auto"/>
              <w:right w:val="single" w:sz="4" w:space="0" w:color="auto"/>
            </w:tcBorders>
            <w:shd w:val="clear" w:color="auto" w:fill="auto"/>
            <w:noWrap/>
            <w:vAlign w:val="center"/>
            <w:hideMark/>
          </w:tcPr>
          <w:p w14:paraId="6D0AD75B" w14:textId="20293DEC" w:rsidR="0094163F" w:rsidRPr="00361DFF" w:rsidRDefault="0094163F" w:rsidP="0094163F">
            <w:pPr>
              <w:rPr>
                <w:bCs/>
                <w:lang w:val="aa-ET"/>
              </w:rPr>
            </w:pPr>
            <w:r w:rsidRPr="00361DFF">
              <w:rPr>
                <w:bCs/>
                <w:lang w:val="fr-FR"/>
              </w:rPr>
              <w:t>Sélection Fondée sur la Qualité et le Coût-Pays Membres</w:t>
            </w:r>
          </w:p>
          <w:p w14:paraId="226C4537" w14:textId="53F49E57" w:rsidR="00AC50EE" w:rsidRPr="00361DFF" w:rsidRDefault="0094163F" w:rsidP="0094163F">
            <w:pPr>
              <w:rPr>
                <w:bCs/>
                <w:lang w:val="fr-FR"/>
              </w:rPr>
            </w:pPr>
            <w:r w:rsidRPr="00361DFF">
              <w:rPr>
                <w:bCs/>
                <w:lang w:val="fr-FR"/>
              </w:rPr>
              <w:t>SFQC/PM</w:t>
            </w:r>
          </w:p>
        </w:tc>
      </w:tr>
      <w:tr w:rsidR="00361DFF" w:rsidRPr="00361DFF" w14:paraId="148B2BCD" w14:textId="04098D05" w:rsidTr="006566F9">
        <w:trPr>
          <w:trHeight w:val="454"/>
        </w:trPr>
        <w:tc>
          <w:tcPr>
            <w:tcW w:w="2847" w:type="pct"/>
            <w:tcBorders>
              <w:top w:val="nil"/>
              <w:left w:val="single" w:sz="8" w:space="0" w:color="auto"/>
              <w:bottom w:val="single" w:sz="4" w:space="0" w:color="auto"/>
              <w:right w:val="single" w:sz="4" w:space="0" w:color="auto"/>
            </w:tcBorders>
            <w:shd w:val="clear" w:color="auto" w:fill="auto"/>
            <w:vAlign w:val="center"/>
            <w:hideMark/>
          </w:tcPr>
          <w:p w14:paraId="68019895" w14:textId="01A3A76D" w:rsidR="00AC50EE" w:rsidRPr="00361DFF" w:rsidRDefault="00AC50EE" w:rsidP="0091345E">
            <w:pPr>
              <w:rPr>
                <w:lang w:val="fr-FR"/>
              </w:rPr>
            </w:pPr>
            <w:r w:rsidRPr="00361DFF">
              <w:rPr>
                <w:lang w:val="fr-FR"/>
              </w:rPr>
              <w:t>Recrutement de consultants pour élaborer des programmes de formation sur une large gamme de thèmes</w:t>
            </w:r>
          </w:p>
        </w:tc>
        <w:tc>
          <w:tcPr>
            <w:tcW w:w="2153" w:type="pct"/>
            <w:tcBorders>
              <w:top w:val="nil"/>
              <w:left w:val="nil"/>
              <w:bottom w:val="single" w:sz="4" w:space="0" w:color="auto"/>
              <w:right w:val="single" w:sz="4" w:space="0" w:color="auto"/>
            </w:tcBorders>
            <w:shd w:val="clear" w:color="auto" w:fill="auto"/>
            <w:noWrap/>
            <w:vAlign w:val="center"/>
            <w:hideMark/>
          </w:tcPr>
          <w:p w14:paraId="02ACFC28" w14:textId="39027843" w:rsidR="001852AB" w:rsidRPr="00361DFF" w:rsidRDefault="001852AB" w:rsidP="001852AB">
            <w:pPr>
              <w:rPr>
                <w:lang w:val="aa-ET"/>
              </w:rPr>
            </w:pPr>
          </w:p>
          <w:p w14:paraId="41524427" w14:textId="77777777" w:rsidR="001852AB" w:rsidRPr="00361DFF" w:rsidRDefault="001852AB" w:rsidP="001852AB">
            <w:pPr>
              <w:rPr>
                <w:lang w:val="aa-ET"/>
              </w:rPr>
            </w:pPr>
            <w:r w:rsidRPr="00361DFF">
              <w:rPr>
                <w:lang w:val="fr-FR"/>
              </w:rPr>
              <w:t>Sélection de Consultant Individuel réservée aux consultants Locaux</w:t>
            </w:r>
          </w:p>
          <w:p w14:paraId="20478B49" w14:textId="0C0D59CD" w:rsidR="00AC50EE" w:rsidRPr="00361DFF" w:rsidRDefault="001852AB" w:rsidP="001852AB">
            <w:pPr>
              <w:rPr>
                <w:lang w:val="fr-FR"/>
              </w:rPr>
            </w:pPr>
            <w:r w:rsidRPr="00361DFF">
              <w:rPr>
                <w:lang w:val="fr-FR"/>
              </w:rPr>
              <w:t>CI/CL</w:t>
            </w:r>
          </w:p>
        </w:tc>
      </w:tr>
      <w:tr w:rsidR="00361DFF" w:rsidRPr="00361DFF" w14:paraId="3FE9578A" w14:textId="77777777" w:rsidTr="006566F9">
        <w:trPr>
          <w:trHeight w:val="454"/>
        </w:trPr>
        <w:tc>
          <w:tcPr>
            <w:tcW w:w="2847" w:type="pct"/>
            <w:tcBorders>
              <w:top w:val="nil"/>
              <w:left w:val="single" w:sz="8" w:space="0" w:color="auto"/>
              <w:bottom w:val="single" w:sz="4" w:space="0" w:color="auto"/>
              <w:right w:val="single" w:sz="4" w:space="0" w:color="auto"/>
            </w:tcBorders>
            <w:shd w:val="clear" w:color="auto" w:fill="auto"/>
            <w:vAlign w:val="center"/>
            <w:hideMark/>
          </w:tcPr>
          <w:p w14:paraId="3A1C0CE6" w14:textId="77777777" w:rsidR="00AC50EE" w:rsidRPr="00361DFF" w:rsidRDefault="00AC50EE" w:rsidP="0091345E">
            <w:pPr>
              <w:rPr>
                <w:lang w:val="fr-FR"/>
              </w:rPr>
            </w:pPr>
            <w:r w:rsidRPr="00361DFF">
              <w:rPr>
                <w:lang w:val="fr-FR"/>
              </w:rPr>
              <w:t>Recrutement de consultants pour réaliser l'enquête de satisfaction clients</w:t>
            </w:r>
          </w:p>
        </w:tc>
        <w:tc>
          <w:tcPr>
            <w:tcW w:w="2153" w:type="pct"/>
            <w:tcBorders>
              <w:top w:val="nil"/>
              <w:left w:val="nil"/>
              <w:bottom w:val="single" w:sz="4" w:space="0" w:color="auto"/>
              <w:right w:val="single" w:sz="4" w:space="0" w:color="auto"/>
            </w:tcBorders>
            <w:shd w:val="clear" w:color="auto" w:fill="auto"/>
            <w:noWrap/>
            <w:vAlign w:val="center"/>
            <w:hideMark/>
          </w:tcPr>
          <w:p w14:paraId="12212C0E" w14:textId="77777777" w:rsidR="001852AB" w:rsidRPr="00361DFF" w:rsidRDefault="001852AB" w:rsidP="001852AB">
            <w:pPr>
              <w:rPr>
                <w:lang w:val="aa-ET"/>
              </w:rPr>
            </w:pPr>
            <w:r w:rsidRPr="00361DFF">
              <w:rPr>
                <w:lang w:val="fr-FR"/>
              </w:rPr>
              <w:t>Sélection de Consultant Individuel réservée aux consultants Locaux</w:t>
            </w:r>
          </w:p>
          <w:p w14:paraId="61279A96" w14:textId="1DA3CC63" w:rsidR="00AC50EE" w:rsidRPr="00361DFF" w:rsidRDefault="001852AB" w:rsidP="001852AB">
            <w:pPr>
              <w:rPr>
                <w:lang w:val="fr-FR"/>
              </w:rPr>
            </w:pPr>
            <w:r w:rsidRPr="00361DFF">
              <w:rPr>
                <w:lang w:val="fr-FR"/>
              </w:rPr>
              <w:t>CI/CL</w:t>
            </w:r>
          </w:p>
        </w:tc>
      </w:tr>
      <w:tr w:rsidR="00361DFF" w:rsidRPr="00361DFF" w14:paraId="1DB8A421" w14:textId="77777777" w:rsidTr="006566F9">
        <w:trPr>
          <w:trHeight w:val="454"/>
        </w:trPr>
        <w:tc>
          <w:tcPr>
            <w:tcW w:w="2847" w:type="pct"/>
            <w:tcBorders>
              <w:top w:val="nil"/>
              <w:left w:val="single" w:sz="8" w:space="0" w:color="auto"/>
              <w:bottom w:val="single" w:sz="4" w:space="0" w:color="auto"/>
              <w:right w:val="single" w:sz="4" w:space="0" w:color="auto"/>
            </w:tcBorders>
            <w:shd w:val="clear" w:color="auto" w:fill="auto"/>
            <w:vAlign w:val="center"/>
            <w:hideMark/>
          </w:tcPr>
          <w:p w14:paraId="75D00DFD" w14:textId="113E227E" w:rsidR="00AC50EE" w:rsidRPr="00361DFF" w:rsidRDefault="00AC50EE" w:rsidP="0091345E">
            <w:pPr>
              <w:rPr>
                <w:lang w:val="fr-FR"/>
              </w:rPr>
            </w:pPr>
            <w:r w:rsidRPr="00361DFF">
              <w:rPr>
                <w:lang w:val="fr-FR"/>
              </w:rPr>
              <w:t xml:space="preserve">Recrutement d'un consultant pour réaliser l’audit de la qualité des services de santé </w:t>
            </w:r>
          </w:p>
        </w:tc>
        <w:tc>
          <w:tcPr>
            <w:tcW w:w="2153" w:type="pct"/>
            <w:tcBorders>
              <w:top w:val="nil"/>
              <w:left w:val="nil"/>
              <w:bottom w:val="single" w:sz="4" w:space="0" w:color="auto"/>
              <w:right w:val="single" w:sz="4" w:space="0" w:color="auto"/>
            </w:tcBorders>
            <w:shd w:val="clear" w:color="auto" w:fill="auto"/>
            <w:noWrap/>
            <w:vAlign w:val="center"/>
            <w:hideMark/>
          </w:tcPr>
          <w:p w14:paraId="3E28A7F2" w14:textId="77777777" w:rsidR="001852AB" w:rsidRPr="00361DFF" w:rsidRDefault="001852AB" w:rsidP="001852AB">
            <w:pPr>
              <w:rPr>
                <w:lang w:val="aa-ET"/>
              </w:rPr>
            </w:pPr>
            <w:r w:rsidRPr="00361DFF">
              <w:rPr>
                <w:lang w:val="fr-FR"/>
              </w:rPr>
              <w:t>Sélection de Consultant Individuel réservée aux consultants Locaux</w:t>
            </w:r>
          </w:p>
          <w:p w14:paraId="49B5A057" w14:textId="38BFC9BA" w:rsidR="00AC50EE" w:rsidRPr="00361DFF" w:rsidRDefault="001852AB" w:rsidP="001852AB">
            <w:pPr>
              <w:rPr>
                <w:lang w:val="fr-FR"/>
              </w:rPr>
            </w:pPr>
            <w:r w:rsidRPr="00361DFF">
              <w:rPr>
                <w:lang w:val="fr-FR"/>
              </w:rPr>
              <w:t>CI/CL</w:t>
            </w:r>
          </w:p>
        </w:tc>
      </w:tr>
      <w:tr w:rsidR="00361DFF" w:rsidRPr="00361DFF" w14:paraId="337B7475" w14:textId="77777777" w:rsidTr="006566F9">
        <w:trPr>
          <w:trHeight w:val="454"/>
        </w:trPr>
        <w:tc>
          <w:tcPr>
            <w:tcW w:w="2847" w:type="pct"/>
            <w:tcBorders>
              <w:top w:val="nil"/>
              <w:left w:val="single" w:sz="8" w:space="0" w:color="auto"/>
              <w:bottom w:val="single" w:sz="4" w:space="0" w:color="auto"/>
              <w:right w:val="single" w:sz="4" w:space="0" w:color="auto"/>
            </w:tcBorders>
            <w:shd w:val="clear" w:color="auto" w:fill="auto"/>
            <w:vAlign w:val="center"/>
            <w:hideMark/>
          </w:tcPr>
          <w:p w14:paraId="4F7D460D" w14:textId="29271122" w:rsidR="00AC50EE" w:rsidRPr="00361DFF" w:rsidRDefault="00AC50EE" w:rsidP="0091345E">
            <w:pPr>
              <w:rPr>
                <w:lang w:val="fr-FR"/>
              </w:rPr>
            </w:pPr>
            <w:r w:rsidRPr="00361DFF">
              <w:rPr>
                <w:lang w:val="fr-FR"/>
              </w:rPr>
              <w:t>Recrutement d’un consultant pour appuyer l'élaboration de programmes de formation sur une gamme de thèmes en faveur des écoles de formation en santé</w:t>
            </w:r>
          </w:p>
        </w:tc>
        <w:tc>
          <w:tcPr>
            <w:tcW w:w="2153" w:type="pct"/>
            <w:tcBorders>
              <w:top w:val="nil"/>
              <w:left w:val="nil"/>
              <w:bottom w:val="single" w:sz="4" w:space="0" w:color="auto"/>
              <w:right w:val="single" w:sz="4" w:space="0" w:color="auto"/>
            </w:tcBorders>
            <w:shd w:val="clear" w:color="auto" w:fill="auto"/>
            <w:noWrap/>
            <w:vAlign w:val="center"/>
            <w:hideMark/>
          </w:tcPr>
          <w:p w14:paraId="68E179D7" w14:textId="77777777" w:rsidR="002A67E6" w:rsidRPr="00361DFF" w:rsidRDefault="002A67E6" w:rsidP="002A67E6">
            <w:pPr>
              <w:rPr>
                <w:lang w:val="aa-ET"/>
              </w:rPr>
            </w:pPr>
            <w:r w:rsidRPr="00361DFF">
              <w:rPr>
                <w:lang w:val="fr-FR"/>
              </w:rPr>
              <w:t>Sélection de Consultant Individuel réservée aux consultants Locaux</w:t>
            </w:r>
          </w:p>
          <w:p w14:paraId="13F5462E" w14:textId="2D0C21EC" w:rsidR="00AC50EE" w:rsidRPr="00361DFF" w:rsidRDefault="002A67E6" w:rsidP="002A67E6">
            <w:pPr>
              <w:rPr>
                <w:lang w:val="fr-FR"/>
              </w:rPr>
            </w:pPr>
            <w:r w:rsidRPr="00361DFF">
              <w:rPr>
                <w:lang w:val="fr-FR"/>
              </w:rPr>
              <w:t>CI/CL</w:t>
            </w:r>
          </w:p>
        </w:tc>
      </w:tr>
      <w:tr w:rsidR="00361DFF" w:rsidRPr="00361DFF" w14:paraId="446BA3AB" w14:textId="77777777" w:rsidTr="006566F9">
        <w:trPr>
          <w:trHeight w:val="454"/>
        </w:trPr>
        <w:tc>
          <w:tcPr>
            <w:tcW w:w="2847" w:type="pct"/>
            <w:tcBorders>
              <w:top w:val="nil"/>
              <w:left w:val="single" w:sz="8" w:space="0" w:color="auto"/>
              <w:bottom w:val="single" w:sz="4" w:space="0" w:color="auto"/>
              <w:right w:val="single" w:sz="4" w:space="0" w:color="auto"/>
            </w:tcBorders>
            <w:shd w:val="clear" w:color="auto" w:fill="auto"/>
            <w:vAlign w:val="center"/>
            <w:hideMark/>
          </w:tcPr>
          <w:p w14:paraId="222F6ED1" w14:textId="77777777" w:rsidR="00AC50EE" w:rsidRPr="00361DFF" w:rsidRDefault="00AC50EE" w:rsidP="0091345E">
            <w:pPr>
              <w:rPr>
                <w:lang w:val="fr-FR"/>
              </w:rPr>
            </w:pPr>
            <w:r w:rsidRPr="00361DFF">
              <w:rPr>
                <w:lang w:val="fr-FR"/>
              </w:rPr>
              <w:t xml:space="preserve">Sélection d'une ONG pour faire le suivi/monitoring citoyen (contrat de performance) </w:t>
            </w:r>
          </w:p>
        </w:tc>
        <w:tc>
          <w:tcPr>
            <w:tcW w:w="2153" w:type="pct"/>
            <w:tcBorders>
              <w:top w:val="nil"/>
              <w:left w:val="nil"/>
              <w:bottom w:val="single" w:sz="4" w:space="0" w:color="auto"/>
              <w:right w:val="single" w:sz="4" w:space="0" w:color="auto"/>
            </w:tcBorders>
            <w:shd w:val="clear" w:color="auto" w:fill="auto"/>
            <w:noWrap/>
            <w:vAlign w:val="center"/>
            <w:hideMark/>
          </w:tcPr>
          <w:p w14:paraId="7EA6C8FD" w14:textId="0BF9B16C" w:rsidR="00533B7E" w:rsidRPr="00361DFF" w:rsidRDefault="00533B7E" w:rsidP="00533B7E">
            <w:pPr>
              <w:rPr>
                <w:lang w:val="aa-ET"/>
              </w:rPr>
            </w:pPr>
            <w:r w:rsidRPr="00361DFF">
              <w:rPr>
                <w:lang w:val="fr-FR"/>
              </w:rPr>
              <w:t xml:space="preserve">Sélection au Moindre </w:t>
            </w:r>
            <w:r w:rsidR="003F4D54" w:rsidRPr="00361DFF">
              <w:rPr>
                <w:lang w:val="fr-FR"/>
              </w:rPr>
              <w:t>Coût</w:t>
            </w:r>
            <w:r w:rsidRPr="00361DFF">
              <w:rPr>
                <w:lang w:val="fr-FR"/>
              </w:rPr>
              <w:t xml:space="preserve"> réservée aux cabinets locaux</w:t>
            </w:r>
          </w:p>
          <w:p w14:paraId="10BB1841" w14:textId="18DC7826" w:rsidR="00AC50EE" w:rsidRPr="00361DFF" w:rsidRDefault="00533B7E" w:rsidP="00533B7E">
            <w:pPr>
              <w:rPr>
                <w:lang w:val="fr-FR"/>
              </w:rPr>
            </w:pPr>
            <w:r w:rsidRPr="00361DFF">
              <w:rPr>
                <w:lang w:val="fr-FR"/>
              </w:rPr>
              <w:t>SMC/CL</w:t>
            </w:r>
          </w:p>
        </w:tc>
      </w:tr>
      <w:tr w:rsidR="00361DFF" w:rsidRPr="00361DFF" w14:paraId="5DB3CDEB" w14:textId="77777777" w:rsidTr="006566F9">
        <w:trPr>
          <w:trHeight w:val="454"/>
        </w:trPr>
        <w:tc>
          <w:tcPr>
            <w:tcW w:w="2847" w:type="pct"/>
            <w:tcBorders>
              <w:top w:val="nil"/>
              <w:left w:val="single" w:sz="8" w:space="0" w:color="auto"/>
              <w:bottom w:val="single" w:sz="4" w:space="0" w:color="auto"/>
              <w:right w:val="single" w:sz="4" w:space="0" w:color="auto"/>
            </w:tcBorders>
            <w:shd w:val="clear" w:color="auto" w:fill="auto"/>
            <w:vAlign w:val="center"/>
          </w:tcPr>
          <w:p w14:paraId="0DEE810C" w14:textId="55EF9094" w:rsidR="00AC50EE" w:rsidRPr="00361DFF" w:rsidRDefault="00AC50EE" w:rsidP="0091345E">
            <w:pPr>
              <w:rPr>
                <w:lang w:val="fr-FR"/>
              </w:rPr>
            </w:pPr>
            <w:r w:rsidRPr="00361DFF">
              <w:rPr>
                <w:lang w:val="fr-FR"/>
              </w:rPr>
              <w:t>Formation spécialisée de 12 médecins</w:t>
            </w:r>
          </w:p>
        </w:tc>
        <w:tc>
          <w:tcPr>
            <w:tcW w:w="2153" w:type="pct"/>
            <w:tcBorders>
              <w:top w:val="nil"/>
              <w:left w:val="nil"/>
              <w:bottom w:val="single" w:sz="4" w:space="0" w:color="auto"/>
              <w:right w:val="single" w:sz="4" w:space="0" w:color="auto"/>
            </w:tcBorders>
            <w:shd w:val="clear" w:color="auto" w:fill="auto"/>
            <w:noWrap/>
            <w:vAlign w:val="center"/>
          </w:tcPr>
          <w:p w14:paraId="11D9703F" w14:textId="39335E99" w:rsidR="00AC50EE" w:rsidRPr="00361DFF" w:rsidRDefault="003F4D54" w:rsidP="006825AD">
            <w:pPr>
              <w:rPr>
                <w:lang w:val="fr-FR"/>
              </w:rPr>
            </w:pPr>
            <w:r w:rsidRPr="00361DFF">
              <w:rPr>
                <w:lang w:val="fr-FR"/>
              </w:rPr>
              <w:t xml:space="preserve">Entente directe </w:t>
            </w:r>
          </w:p>
        </w:tc>
      </w:tr>
      <w:tr w:rsidR="00361DFF" w:rsidRPr="00361DFF" w14:paraId="26E830AD" w14:textId="77777777" w:rsidTr="006566F9">
        <w:trPr>
          <w:trHeight w:val="454"/>
        </w:trPr>
        <w:tc>
          <w:tcPr>
            <w:tcW w:w="2847" w:type="pct"/>
            <w:tcBorders>
              <w:top w:val="nil"/>
              <w:left w:val="single" w:sz="8" w:space="0" w:color="auto"/>
              <w:bottom w:val="single" w:sz="4" w:space="0" w:color="auto"/>
              <w:right w:val="single" w:sz="4" w:space="0" w:color="auto"/>
            </w:tcBorders>
            <w:shd w:val="clear" w:color="auto" w:fill="auto"/>
            <w:vAlign w:val="center"/>
            <w:hideMark/>
          </w:tcPr>
          <w:p w14:paraId="21FF897A" w14:textId="6E4BC8AA" w:rsidR="00AC50EE" w:rsidRPr="00361DFF" w:rsidRDefault="00AC50EE" w:rsidP="0091345E">
            <w:pPr>
              <w:rPr>
                <w:lang w:val="fr-FR"/>
              </w:rPr>
            </w:pPr>
            <w:r w:rsidRPr="00361DFF">
              <w:rPr>
                <w:lang w:val="fr-FR"/>
              </w:rPr>
              <w:t>Recrutement d'un cabinet d’audit des états financiers du projet</w:t>
            </w:r>
          </w:p>
        </w:tc>
        <w:tc>
          <w:tcPr>
            <w:tcW w:w="2153" w:type="pct"/>
            <w:tcBorders>
              <w:top w:val="nil"/>
              <w:left w:val="nil"/>
              <w:bottom w:val="single" w:sz="4" w:space="0" w:color="auto"/>
              <w:right w:val="single" w:sz="4" w:space="0" w:color="auto"/>
            </w:tcBorders>
            <w:shd w:val="clear" w:color="auto" w:fill="auto"/>
            <w:noWrap/>
            <w:vAlign w:val="center"/>
            <w:hideMark/>
          </w:tcPr>
          <w:p w14:paraId="186E68AB" w14:textId="77777777" w:rsidR="003F4D54" w:rsidRPr="00361DFF" w:rsidRDefault="003F4D54" w:rsidP="003F4D54">
            <w:pPr>
              <w:rPr>
                <w:lang w:val="aa-ET"/>
              </w:rPr>
            </w:pPr>
            <w:r w:rsidRPr="00361DFF">
              <w:rPr>
                <w:lang w:val="fr-FR"/>
              </w:rPr>
              <w:t>Sélection au Moindre Coût réservée aux cabinets locaux</w:t>
            </w:r>
          </w:p>
          <w:p w14:paraId="6349E403" w14:textId="5EB234D9" w:rsidR="00AC50EE" w:rsidRPr="00361DFF" w:rsidRDefault="003F4D54" w:rsidP="003F4D54">
            <w:pPr>
              <w:rPr>
                <w:lang w:val="fr-FR"/>
              </w:rPr>
            </w:pPr>
            <w:r w:rsidRPr="00361DFF">
              <w:rPr>
                <w:lang w:val="fr-FR"/>
              </w:rPr>
              <w:t>SMC/CL</w:t>
            </w:r>
          </w:p>
        </w:tc>
      </w:tr>
    </w:tbl>
    <w:p w14:paraId="4E16188E" w14:textId="77777777" w:rsidR="00111E7C" w:rsidRPr="00361DFF" w:rsidRDefault="00111E7C" w:rsidP="003253A4">
      <w:pPr>
        <w:ind w:right="72"/>
        <w:jc w:val="both"/>
        <w:rPr>
          <w:lang w:val="fr-FR"/>
        </w:rPr>
      </w:pPr>
    </w:p>
    <w:p w14:paraId="7E80715D" w14:textId="0B91E3CD" w:rsidR="00361DFF" w:rsidRPr="00361DFF" w:rsidRDefault="00C30C3D" w:rsidP="00361DFF">
      <w:pPr>
        <w:ind w:right="72"/>
        <w:jc w:val="both"/>
        <w:rPr>
          <w:lang w:val="fr-FR"/>
        </w:rPr>
      </w:pPr>
      <w:r w:rsidRPr="00361DFF">
        <w:rPr>
          <w:lang w:val="fr-FR"/>
        </w:rPr>
        <w:t xml:space="preserve">Les </w:t>
      </w:r>
      <w:r w:rsidR="00F61B08" w:rsidRPr="00361DFF">
        <w:rPr>
          <w:lang w:val="fr-FR"/>
        </w:rPr>
        <w:t>acquisition</w:t>
      </w:r>
      <w:r w:rsidRPr="00361DFF">
        <w:rPr>
          <w:lang w:val="fr-FR"/>
        </w:rPr>
        <w:t xml:space="preserve">s </w:t>
      </w:r>
      <w:r w:rsidR="00E35120" w:rsidRPr="00361DFF">
        <w:rPr>
          <w:lang w:val="fr-FR"/>
        </w:rPr>
        <w:t xml:space="preserve">financées par la Banque Islamique de Développement </w:t>
      </w:r>
      <w:r w:rsidRPr="00361DFF">
        <w:rPr>
          <w:lang w:val="fr-FR"/>
        </w:rPr>
        <w:t xml:space="preserve">seront </w:t>
      </w:r>
      <w:r w:rsidR="00F61B08" w:rsidRPr="00361DFF">
        <w:rPr>
          <w:lang w:val="fr-FR"/>
        </w:rPr>
        <w:t>effectu</w:t>
      </w:r>
      <w:r w:rsidRPr="00361DFF">
        <w:rPr>
          <w:lang w:val="fr-FR"/>
        </w:rPr>
        <w:t>é</w:t>
      </w:r>
      <w:r w:rsidR="00F61B08" w:rsidRPr="00361DFF">
        <w:rPr>
          <w:lang w:val="fr-FR"/>
        </w:rPr>
        <w:t>e</w:t>
      </w:r>
      <w:r w:rsidRPr="00361DFF">
        <w:rPr>
          <w:lang w:val="fr-FR"/>
        </w:rPr>
        <w:t>s conformément aux Directives</w:t>
      </w:r>
      <w:r w:rsidR="009F6C07" w:rsidRPr="00361DFF">
        <w:rPr>
          <w:lang w:val="fr-FR"/>
        </w:rPr>
        <w:t xml:space="preserve"> pour </w:t>
      </w:r>
      <w:r w:rsidR="00E35120" w:rsidRPr="00361DFF">
        <w:rPr>
          <w:lang w:val="fr-FR"/>
        </w:rPr>
        <w:t>l’acquisition de Biens, Travaux et services connexes</w:t>
      </w:r>
      <w:r w:rsidRPr="00361DFF">
        <w:rPr>
          <w:lang w:val="fr-FR"/>
        </w:rPr>
        <w:t xml:space="preserve"> </w:t>
      </w:r>
      <w:r w:rsidR="009474B0" w:rsidRPr="00361DFF">
        <w:rPr>
          <w:lang w:val="fr-FR"/>
        </w:rPr>
        <w:t xml:space="preserve">dans le cadre des Projets </w:t>
      </w:r>
      <w:r w:rsidRPr="00361DFF">
        <w:rPr>
          <w:lang w:val="fr-FR"/>
        </w:rPr>
        <w:t>financés par la B</w:t>
      </w:r>
      <w:r w:rsidR="009F6C07" w:rsidRPr="00361DFF">
        <w:rPr>
          <w:lang w:val="fr-FR"/>
        </w:rPr>
        <w:t xml:space="preserve">anque </w:t>
      </w:r>
      <w:r w:rsidRPr="00361DFF">
        <w:rPr>
          <w:lang w:val="fr-FR"/>
        </w:rPr>
        <w:t>I</w:t>
      </w:r>
      <w:r w:rsidR="009F6C07" w:rsidRPr="00361DFF">
        <w:rPr>
          <w:lang w:val="fr-FR"/>
        </w:rPr>
        <w:t xml:space="preserve">slamique de Développement </w:t>
      </w:r>
      <w:r w:rsidRPr="00361DFF">
        <w:rPr>
          <w:lang w:val="fr-FR"/>
        </w:rPr>
        <w:t>(</w:t>
      </w:r>
      <w:r w:rsidR="00C47CDF" w:rsidRPr="00361DFF">
        <w:rPr>
          <w:lang w:val="fr-FR"/>
        </w:rPr>
        <w:t xml:space="preserve">édition </w:t>
      </w:r>
      <w:r w:rsidR="00E35120" w:rsidRPr="00361DFF">
        <w:rPr>
          <w:lang w:val="fr-FR"/>
        </w:rPr>
        <w:t>courante</w:t>
      </w:r>
      <w:r w:rsidRPr="00361DFF">
        <w:rPr>
          <w:lang w:val="fr-FR"/>
        </w:rPr>
        <w:t>)</w:t>
      </w:r>
      <w:r w:rsidR="00E35120" w:rsidRPr="00361DFF">
        <w:rPr>
          <w:lang w:val="fr-FR"/>
        </w:rPr>
        <w:t xml:space="preserve"> et sont ouvertes à tous les soumissionnaires éligibles, tels que définis dans ces Directives</w:t>
      </w:r>
      <w:r w:rsidRPr="00361DFF">
        <w:rPr>
          <w:lang w:val="fr-FR"/>
        </w:rPr>
        <w:t xml:space="preserve">. Les </w:t>
      </w:r>
      <w:r w:rsidR="00E35120" w:rsidRPr="00361DFF">
        <w:rPr>
          <w:lang w:val="fr-FR"/>
        </w:rPr>
        <w:t xml:space="preserve">acquisitions </w:t>
      </w:r>
      <w:r w:rsidR="009F6C07" w:rsidRPr="00361DFF">
        <w:rPr>
          <w:lang w:val="fr-FR"/>
        </w:rPr>
        <w:t xml:space="preserve">de services de </w:t>
      </w:r>
      <w:r w:rsidRPr="00361DFF">
        <w:rPr>
          <w:lang w:val="fr-FR"/>
        </w:rPr>
        <w:t xml:space="preserve">consultants </w:t>
      </w:r>
      <w:r w:rsidR="00E35120" w:rsidRPr="00361DFF">
        <w:rPr>
          <w:lang w:val="fr-FR"/>
        </w:rPr>
        <w:t xml:space="preserve">seront effectuées conformément aux Directives pour l’acquisition de Services de Consultants </w:t>
      </w:r>
      <w:r w:rsidR="009474B0" w:rsidRPr="00361DFF">
        <w:rPr>
          <w:lang w:val="fr-FR"/>
        </w:rPr>
        <w:t xml:space="preserve">dans le cadre des Projets </w:t>
      </w:r>
      <w:r w:rsidR="00E35120" w:rsidRPr="00361DFF">
        <w:rPr>
          <w:lang w:val="fr-FR"/>
        </w:rPr>
        <w:t>financés par la Banque Islamique de Développement (édition courante)</w:t>
      </w:r>
      <w:r w:rsidR="009F6C07" w:rsidRPr="00361DFF">
        <w:rPr>
          <w:lang w:val="fr-FR"/>
        </w:rPr>
        <w:t>.</w:t>
      </w:r>
    </w:p>
    <w:p w14:paraId="1725432A" w14:textId="77777777" w:rsidR="00361DFF" w:rsidRPr="00361DFF" w:rsidRDefault="00361DFF" w:rsidP="00361DFF">
      <w:pPr>
        <w:ind w:right="72"/>
        <w:jc w:val="both"/>
        <w:rPr>
          <w:lang w:val="fr-FR"/>
        </w:rPr>
      </w:pPr>
    </w:p>
    <w:p w14:paraId="4A12EC34" w14:textId="46D940BD" w:rsidR="00AC50EE" w:rsidRPr="00361DFF" w:rsidRDefault="00361DFF" w:rsidP="00361DFF">
      <w:pPr>
        <w:ind w:right="72"/>
        <w:jc w:val="both"/>
        <w:rPr>
          <w:b/>
          <w:lang w:val="fr-FR"/>
        </w:rPr>
      </w:pPr>
      <w:r w:rsidRPr="00361DFF">
        <w:rPr>
          <w:lang w:val="fr-FR"/>
        </w:rPr>
        <w:lastRenderedPageBreak/>
        <w:t>Les avis spécifiques de passation des marchés pour les acquisitions à effectuer pa</w:t>
      </w:r>
      <w:r w:rsidRPr="00361DFF">
        <w:rPr>
          <w:lang w:val="fr-FR"/>
        </w:rPr>
        <w:t xml:space="preserve">r Appel d’Offres national (AON), Appel d’Offres International (AOI) et </w:t>
      </w:r>
      <w:r w:rsidRPr="00361DFF">
        <w:rPr>
          <w:lang w:val="fr-FR"/>
        </w:rPr>
        <w:t xml:space="preserve">appels à manifestation d’intérêt pour les services de consultants seront publiés au fur et à mesure qu’ils seront disponibles, sur le </w:t>
      </w:r>
      <w:r w:rsidRPr="00361DFF">
        <w:rPr>
          <w:b/>
          <w:lang w:val="fr-FR"/>
        </w:rPr>
        <w:t xml:space="preserve">site internet de la BID, sur le site de la Direction Nationale de Contrôle de la Commande Publique </w:t>
      </w:r>
      <w:r w:rsidRPr="00361DFF">
        <w:rPr>
          <w:b/>
          <w:lang w:val="fr-FR"/>
        </w:rPr>
        <w:t xml:space="preserve">(DNCCP) </w:t>
      </w:r>
      <w:r w:rsidRPr="00361DFF">
        <w:rPr>
          <w:b/>
          <w:lang w:val="fr-FR"/>
        </w:rPr>
        <w:t>de la République</w:t>
      </w:r>
      <w:r w:rsidRPr="00361DFF">
        <w:rPr>
          <w:b/>
          <w:lang w:val="fr-FR"/>
        </w:rPr>
        <w:t xml:space="preserve"> Togolaise de même que dans le Grand Q</w:t>
      </w:r>
      <w:r w:rsidRPr="00361DFF">
        <w:rPr>
          <w:b/>
          <w:lang w:val="fr-FR"/>
        </w:rPr>
        <w:t xml:space="preserve">uotidien </w:t>
      </w:r>
      <w:r w:rsidRPr="00361DFF">
        <w:rPr>
          <w:b/>
          <w:lang w:val="fr-FR"/>
        </w:rPr>
        <w:t>National d’Information « TOGO PRESSE ».</w:t>
      </w:r>
    </w:p>
    <w:p w14:paraId="3C7FBD67" w14:textId="77777777" w:rsidR="00361DFF" w:rsidRPr="00361DFF" w:rsidRDefault="00361DFF" w:rsidP="00361DFF">
      <w:pPr>
        <w:ind w:right="72"/>
        <w:jc w:val="both"/>
        <w:rPr>
          <w:b/>
          <w:lang w:val="fr-FR"/>
        </w:rPr>
      </w:pPr>
    </w:p>
    <w:p w14:paraId="29CF5561" w14:textId="3279D91E" w:rsidR="00691DCE" w:rsidRPr="00361DFF" w:rsidRDefault="00691DCE" w:rsidP="00691DCE">
      <w:pPr>
        <w:spacing w:after="120"/>
        <w:ind w:right="72"/>
        <w:jc w:val="both"/>
        <w:rPr>
          <w:b/>
          <w:bCs/>
          <w:lang w:val="fr-FR"/>
        </w:rPr>
      </w:pPr>
      <w:r w:rsidRPr="00361DFF">
        <w:rPr>
          <w:lang w:val="fr-FR"/>
        </w:rPr>
        <w:t xml:space="preserve">La </w:t>
      </w:r>
      <w:r w:rsidR="00F84420" w:rsidRPr="00361DFF">
        <w:rPr>
          <w:lang w:val="fr-FR"/>
        </w:rPr>
        <w:t>pré-qualification</w:t>
      </w:r>
      <w:r w:rsidRPr="00361DFF">
        <w:rPr>
          <w:lang w:val="fr-FR"/>
        </w:rPr>
        <w:t xml:space="preserve"> de fournisseurs et d’entreprises est prévue pour les marchés ci-après : </w:t>
      </w:r>
      <w:r w:rsidR="00714A0E" w:rsidRPr="00361DFF">
        <w:rPr>
          <w:b/>
          <w:bCs/>
          <w:lang w:val="fr-FR"/>
        </w:rPr>
        <w:t>NEANT</w:t>
      </w:r>
    </w:p>
    <w:p w14:paraId="120B4342" w14:textId="244AEE96" w:rsidR="00F61B08" w:rsidRPr="00361DFF" w:rsidRDefault="00F61B08" w:rsidP="00361DFF">
      <w:pPr>
        <w:ind w:right="72"/>
        <w:jc w:val="both"/>
        <w:rPr>
          <w:lang w:val="fr-FR"/>
        </w:rPr>
      </w:pPr>
      <w:r w:rsidRPr="00361DFF">
        <w:rPr>
          <w:lang w:val="fr-FR"/>
        </w:rPr>
        <w:t xml:space="preserve">Les candidats intéressés </w:t>
      </w:r>
      <w:r w:rsidR="00517E16" w:rsidRPr="00361DFF">
        <w:rPr>
          <w:lang w:val="fr-FR"/>
        </w:rPr>
        <w:t xml:space="preserve">et éligibles, qui souhaitent être considérés pour la </w:t>
      </w:r>
      <w:r w:rsidR="00861189" w:rsidRPr="00361DFF">
        <w:rPr>
          <w:lang w:val="fr-FR"/>
        </w:rPr>
        <w:t>fourniture</w:t>
      </w:r>
      <w:r w:rsidR="00517E16" w:rsidRPr="00361DFF">
        <w:rPr>
          <w:lang w:val="fr-FR"/>
        </w:rPr>
        <w:t xml:space="preserve"> de biens, travaux et services de consultants pour le projet, ou qui désirent obtenir des informations additionnelles, sont invités à contacter le Bénéficiaire à l’adresse ci-</w:t>
      </w:r>
      <w:r w:rsidR="00D65745" w:rsidRPr="00361DFF">
        <w:rPr>
          <w:lang w:val="fr-FR"/>
        </w:rPr>
        <w:t>dessous :</w:t>
      </w:r>
    </w:p>
    <w:p w14:paraId="6EB63BE2" w14:textId="77777777" w:rsidR="00361DFF" w:rsidRPr="00361DFF" w:rsidRDefault="00361DFF" w:rsidP="00361DFF">
      <w:pPr>
        <w:ind w:right="72"/>
        <w:jc w:val="both"/>
        <w:rPr>
          <w:i/>
          <w:lang w:val="fr-FR"/>
        </w:rPr>
      </w:pPr>
    </w:p>
    <w:p w14:paraId="3D644D4A" w14:textId="77777777" w:rsidR="00714A0E" w:rsidRPr="00361DFF" w:rsidRDefault="00714A0E" w:rsidP="00714A0E">
      <w:pPr>
        <w:rPr>
          <w:b/>
          <w:bCs/>
          <w:iCs/>
          <w:spacing w:val="-2"/>
          <w:lang w:val="fr-FR"/>
        </w:rPr>
      </w:pPr>
      <w:r w:rsidRPr="00361DFF">
        <w:rPr>
          <w:b/>
          <w:bCs/>
          <w:spacing w:val="-2"/>
          <w:lang w:val="fr-FR"/>
        </w:rPr>
        <w:t>Ministère de la Santé, de l’Hygiène Publique et de l’Accès Universel aux Soins/</w:t>
      </w:r>
    </w:p>
    <w:p w14:paraId="4BF5E8BF" w14:textId="45D182C7" w:rsidR="00714A0E" w:rsidRPr="00361DFF" w:rsidRDefault="000260C4" w:rsidP="00714A0E">
      <w:pPr>
        <w:rPr>
          <w:b/>
          <w:bCs/>
          <w:iCs/>
          <w:spacing w:val="-2"/>
          <w:lang w:val="fr-FR"/>
        </w:rPr>
      </w:pPr>
      <w:r w:rsidRPr="00361DFF">
        <w:rPr>
          <w:b/>
          <w:bCs/>
          <w:iCs/>
          <w:spacing w:val="-2"/>
          <w:lang w:val="fr-FR"/>
        </w:rPr>
        <w:t xml:space="preserve">Unité de Gestion du </w:t>
      </w:r>
      <w:r w:rsidR="00714A0E" w:rsidRPr="00361DFF">
        <w:rPr>
          <w:b/>
          <w:bCs/>
          <w:iCs/>
          <w:spacing w:val="-2"/>
          <w:lang w:val="fr-FR"/>
        </w:rPr>
        <w:t>Projet de renforcement du système de santé et des soins de santé primaires au Togo (</w:t>
      </w:r>
      <w:r w:rsidRPr="00361DFF">
        <w:rPr>
          <w:b/>
          <w:bCs/>
          <w:iCs/>
          <w:spacing w:val="-2"/>
          <w:lang w:val="fr-FR"/>
        </w:rPr>
        <w:t>UG</w:t>
      </w:r>
      <w:r w:rsidR="00714A0E" w:rsidRPr="00361DFF">
        <w:rPr>
          <w:b/>
          <w:bCs/>
          <w:iCs/>
          <w:spacing w:val="-2"/>
          <w:lang w:val="fr-FR"/>
        </w:rPr>
        <w:t>P</w:t>
      </w:r>
      <w:r w:rsidRPr="00361DFF">
        <w:rPr>
          <w:b/>
          <w:bCs/>
          <w:iCs/>
          <w:spacing w:val="-2"/>
          <w:lang w:val="fr-FR"/>
        </w:rPr>
        <w:t>-</w:t>
      </w:r>
      <w:r w:rsidR="00714A0E" w:rsidRPr="00361DFF">
        <w:rPr>
          <w:b/>
          <w:bCs/>
          <w:iCs/>
          <w:spacing w:val="-2"/>
          <w:lang w:val="fr-FR"/>
        </w:rPr>
        <w:t>R4SP)</w:t>
      </w:r>
    </w:p>
    <w:p w14:paraId="781F29BA" w14:textId="0DE37987" w:rsidR="00714A0E" w:rsidRPr="00361DFF" w:rsidRDefault="00714A0E" w:rsidP="00714A0E">
      <w:pPr>
        <w:ind w:right="72"/>
        <w:rPr>
          <w:b/>
          <w:bCs/>
          <w:iCs/>
          <w:spacing w:val="-2"/>
          <w:lang w:val="fr-FR"/>
        </w:rPr>
      </w:pPr>
      <w:r w:rsidRPr="00361DFF">
        <w:rPr>
          <w:b/>
          <w:bCs/>
          <w:iCs/>
          <w:spacing w:val="-2"/>
          <w:lang w:val="fr-FR"/>
        </w:rPr>
        <w:t xml:space="preserve">Docteur ZIGAN </w:t>
      </w:r>
      <w:proofErr w:type="spellStart"/>
      <w:r w:rsidRPr="00361DFF">
        <w:rPr>
          <w:b/>
          <w:bCs/>
          <w:iCs/>
          <w:spacing w:val="-2"/>
          <w:lang w:val="fr-FR"/>
        </w:rPr>
        <w:t>Mawuyno</w:t>
      </w:r>
      <w:proofErr w:type="spellEnd"/>
    </w:p>
    <w:p w14:paraId="5E90BCAE" w14:textId="7AE99980" w:rsidR="00714A0E" w:rsidRPr="00361DFF" w:rsidRDefault="00714A0E" w:rsidP="00714A0E">
      <w:pPr>
        <w:ind w:right="72"/>
        <w:rPr>
          <w:b/>
          <w:bCs/>
          <w:iCs/>
          <w:spacing w:val="-2"/>
          <w:lang w:val="fr-FR"/>
        </w:rPr>
      </w:pPr>
      <w:r w:rsidRPr="00361DFF">
        <w:rPr>
          <w:b/>
          <w:bCs/>
          <w:iCs/>
          <w:spacing w:val="-2"/>
          <w:lang w:val="fr-FR"/>
        </w:rPr>
        <w:t>Coordination du projet</w:t>
      </w:r>
    </w:p>
    <w:p w14:paraId="1ECD6E04" w14:textId="3A04C85A" w:rsidR="00714A0E" w:rsidRPr="00361DFF" w:rsidRDefault="00714A0E" w:rsidP="00714A0E">
      <w:pPr>
        <w:ind w:right="72"/>
        <w:rPr>
          <w:b/>
          <w:bCs/>
          <w:iCs/>
          <w:spacing w:val="-2"/>
          <w:lang w:val="fr-FR"/>
        </w:rPr>
      </w:pPr>
      <w:r w:rsidRPr="00361DFF">
        <w:rPr>
          <w:b/>
          <w:bCs/>
          <w:iCs/>
          <w:spacing w:val="-2"/>
          <w:lang w:val="fr-FR"/>
        </w:rPr>
        <w:t>Tel : +228 90 95 65 94</w:t>
      </w:r>
    </w:p>
    <w:p w14:paraId="4A02579C" w14:textId="2018C5F7" w:rsidR="00714A0E" w:rsidRPr="00361DFF" w:rsidRDefault="00714A0E" w:rsidP="00714A0E">
      <w:pPr>
        <w:ind w:right="72"/>
        <w:rPr>
          <w:b/>
          <w:bCs/>
          <w:iCs/>
          <w:spacing w:val="-2"/>
          <w:lang w:val="fr-FR"/>
        </w:rPr>
      </w:pPr>
      <w:r w:rsidRPr="00361DFF">
        <w:rPr>
          <w:b/>
          <w:bCs/>
          <w:iCs/>
          <w:spacing w:val="-2"/>
          <w:lang w:val="fr-FR"/>
        </w:rPr>
        <w:t xml:space="preserve">Courriel : </w:t>
      </w:r>
      <w:hyperlink r:id="rId8" w:history="1">
        <w:r w:rsidR="000260C4" w:rsidRPr="00361DFF">
          <w:rPr>
            <w:rStyle w:val="Lienhypertexte"/>
            <w:b/>
            <w:bCs/>
            <w:iCs/>
            <w:color w:val="auto"/>
            <w:spacing w:val="-2"/>
            <w:u w:val="none"/>
            <w:lang w:val="fr-FR"/>
          </w:rPr>
          <w:t>mawuyozigan@yahoo.fr</w:t>
        </w:r>
      </w:hyperlink>
      <w:r w:rsidR="000260C4" w:rsidRPr="00361DFF">
        <w:rPr>
          <w:b/>
          <w:bCs/>
          <w:iCs/>
          <w:spacing w:val="-2"/>
          <w:lang w:val="fr-FR"/>
        </w:rPr>
        <w:t xml:space="preserve"> / </w:t>
      </w:r>
      <w:hyperlink r:id="rId9" w:history="1">
        <w:r w:rsidR="000260C4" w:rsidRPr="00361DFF">
          <w:rPr>
            <w:rStyle w:val="Lienhypertexte"/>
            <w:color w:val="auto"/>
            <w:u w:val="none"/>
            <w:lang w:val="fr-FR"/>
          </w:rPr>
          <w:t>mstogo_ugpr4sp@yahoo.com</w:t>
        </w:r>
      </w:hyperlink>
      <w:r w:rsidR="000260C4" w:rsidRPr="00361DFF">
        <w:rPr>
          <w:lang w:val="fr-FR"/>
        </w:rPr>
        <w:t xml:space="preserve"> </w:t>
      </w:r>
    </w:p>
    <w:p w14:paraId="5387953A" w14:textId="77777777" w:rsidR="00992D95" w:rsidRPr="00361DFF" w:rsidRDefault="00992D95" w:rsidP="00992D95">
      <w:pPr>
        <w:ind w:right="72"/>
        <w:jc w:val="both"/>
        <w:rPr>
          <w:rFonts w:ascii="CG Times" w:hAnsi="CG Times"/>
          <w:lang w:val="fr-FR"/>
        </w:rPr>
      </w:pPr>
    </w:p>
    <w:sectPr w:rsidR="00992D95" w:rsidRPr="00361DFF" w:rsidSect="00361DFF">
      <w:footerReference w:type="default" r:id="rId10"/>
      <w:endnotePr>
        <w:numFmt w:val="decimal"/>
      </w:endnotePr>
      <w:type w:val="continuous"/>
      <w:pgSz w:w="12240" w:h="15840"/>
      <w:pgMar w:top="1191" w:right="130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14EC6" w14:textId="77777777" w:rsidR="000B66D9" w:rsidRDefault="000B66D9">
      <w:r>
        <w:separator/>
      </w:r>
    </w:p>
  </w:endnote>
  <w:endnote w:type="continuationSeparator" w:id="0">
    <w:p w14:paraId="53E81F4F" w14:textId="77777777" w:rsidR="000B66D9" w:rsidRDefault="000B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1047959"/>
      <w:docPartObj>
        <w:docPartGallery w:val="Page Numbers (Bottom of Page)"/>
        <w:docPartUnique/>
      </w:docPartObj>
    </w:sdtPr>
    <w:sdtContent>
      <w:p w14:paraId="15EE53BB" w14:textId="1FF44917" w:rsidR="00361DFF" w:rsidRDefault="00361DFF">
        <w:pPr>
          <w:pStyle w:val="Pieddepage"/>
          <w:jc w:val="right"/>
        </w:pPr>
        <w:r>
          <w:fldChar w:fldCharType="begin"/>
        </w:r>
        <w:r>
          <w:instrText>PAGE   \* MERGEFORMAT</w:instrText>
        </w:r>
        <w:r>
          <w:fldChar w:fldCharType="separate"/>
        </w:r>
        <w:r w:rsidRPr="00361DFF">
          <w:rPr>
            <w:noProof/>
            <w:lang w:val="fr-FR"/>
          </w:rPr>
          <w:t>4</w:t>
        </w:r>
        <w:r>
          <w:fldChar w:fldCharType="end"/>
        </w:r>
      </w:p>
    </w:sdtContent>
  </w:sdt>
  <w:p w14:paraId="729364F3" w14:textId="77777777" w:rsidR="00361DFF" w:rsidRDefault="00361DF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40BD2" w14:textId="77777777" w:rsidR="000B66D9" w:rsidRDefault="000B66D9">
      <w:r>
        <w:separator/>
      </w:r>
    </w:p>
  </w:footnote>
  <w:footnote w:type="continuationSeparator" w:id="0">
    <w:p w14:paraId="73FDB762" w14:textId="77777777" w:rsidR="000B66D9" w:rsidRDefault="000B66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85465E"/>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620A01"/>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046674"/>
    <w:multiLevelType w:val="multilevel"/>
    <w:tmpl w:val="74EAC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3D"/>
    <w:rsid w:val="000260C4"/>
    <w:rsid w:val="000B66D9"/>
    <w:rsid w:val="000C530A"/>
    <w:rsid w:val="00102569"/>
    <w:rsid w:val="00111E7C"/>
    <w:rsid w:val="001852AB"/>
    <w:rsid w:val="001C075F"/>
    <w:rsid w:val="002032BA"/>
    <w:rsid w:val="00222E88"/>
    <w:rsid w:val="00225E26"/>
    <w:rsid w:val="00250167"/>
    <w:rsid w:val="002630F8"/>
    <w:rsid w:val="002812C6"/>
    <w:rsid w:val="002A67E6"/>
    <w:rsid w:val="002C1335"/>
    <w:rsid w:val="002D3AE0"/>
    <w:rsid w:val="002E1EC1"/>
    <w:rsid w:val="002E207A"/>
    <w:rsid w:val="002E774C"/>
    <w:rsid w:val="003107E9"/>
    <w:rsid w:val="00320A32"/>
    <w:rsid w:val="003253A4"/>
    <w:rsid w:val="00330C26"/>
    <w:rsid w:val="00361DFF"/>
    <w:rsid w:val="00392D9B"/>
    <w:rsid w:val="003A3B7B"/>
    <w:rsid w:val="003D2FE9"/>
    <w:rsid w:val="003E24CF"/>
    <w:rsid w:val="003F4D54"/>
    <w:rsid w:val="00406DAD"/>
    <w:rsid w:val="004832B8"/>
    <w:rsid w:val="0049493B"/>
    <w:rsid w:val="004E42F1"/>
    <w:rsid w:val="004E7CA4"/>
    <w:rsid w:val="005020C8"/>
    <w:rsid w:val="00517E16"/>
    <w:rsid w:val="00531E04"/>
    <w:rsid w:val="00533B7E"/>
    <w:rsid w:val="005946BC"/>
    <w:rsid w:val="005B2C6F"/>
    <w:rsid w:val="00603B95"/>
    <w:rsid w:val="00624F8F"/>
    <w:rsid w:val="006566F9"/>
    <w:rsid w:val="00663B96"/>
    <w:rsid w:val="006825AD"/>
    <w:rsid w:val="00691DCE"/>
    <w:rsid w:val="006F1DD8"/>
    <w:rsid w:val="00714A0E"/>
    <w:rsid w:val="007262BE"/>
    <w:rsid w:val="007D24DA"/>
    <w:rsid w:val="007E17B3"/>
    <w:rsid w:val="007F3E78"/>
    <w:rsid w:val="007F4DE5"/>
    <w:rsid w:val="00861189"/>
    <w:rsid w:val="008C2948"/>
    <w:rsid w:val="00912919"/>
    <w:rsid w:val="0091345E"/>
    <w:rsid w:val="00915CFE"/>
    <w:rsid w:val="0094163F"/>
    <w:rsid w:val="009474B0"/>
    <w:rsid w:val="00954FA2"/>
    <w:rsid w:val="00990961"/>
    <w:rsid w:val="00992D95"/>
    <w:rsid w:val="0099601B"/>
    <w:rsid w:val="009F49D7"/>
    <w:rsid w:val="009F6C07"/>
    <w:rsid w:val="00A30714"/>
    <w:rsid w:val="00A41090"/>
    <w:rsid w:val="00A832A0"/>
    <w:rsid w:val="00AA32CE"/>
    <w:rsid w:val="00AA4BB7"/>
    <w:rsid w:val="00AA70D0"/>
    <w:rsid w:val="00AB7A74"/>
    <w:rsid w:val="00AC50EE"/>
    <w:rsid w:val="00AC5807"/>
    <w:rsid w:val="00B4367E"/>
    <w:rsid w:val="00B4511D"/>
    <w:rsid w:val="00B63B97"/>
    <w:rsid w:val="00BC2AB4"/>
    <w:rsid w:val="00BE0E16"/>
    <w:rsid w:val="00C30C3D"/>
    <w:rsid w:val="00C47CDF"/>
    <w:rsid w:val="00C94FF4"/>
    <w:rsid w:val="00CE2F6C"/>
    <w:rsid w:val="00CE5DB8"/>
    <w:rsid w:val="00D276EC"/>
    <w:rsid w:val="00D4629B"/>
    <w:rsid w:val="00D65745"/>
    <w:rsid w:val="00DE67A8"/>
    <w:rsid w:val="00DF392B"/>
    <w:rsid w:val="00E12CD6"/>
    <w:rsid w:val="00E35120"/>
    <w:rsid w:val="00E35472"/>
    <w:rsid w:val="00EA2DC8"/>
    <w:rsid w:val="00ED6371"/>
    <w:rsid w:val="00F02D6E"/>
    <w:rsid w:val="00F61B08"/>
    <w:rsid w:val="00F62F32"/>
    <w:rsid w:val="00F71706"/>
    <w:rsid w:val="00F80F20"/>
    <w:rsid w:val="00F84420"/>
    <w:rsid w:val="00F9290A"/>
    <w:rsid w:val="00F938D9"/>
    <w:rsid w:val="00F94950"/>
    <w:rsid w:val="00FA7FD1"/>
    <w:rsid w:val="00FC339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F2ACE"/>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left" w:pos="7200"/>
      </w:tabs>
    </w:pPr>
    <w:rPr>
      <w:i/>
      <w:sz w:val="22"/>
      <w:szCs w:val="20"/>
    </w:rPr>
  </w:style>
  <w:style w:type="character" w:styleId="Numrodepage">
    <w:name w:val="page number"/>
    <w:basedOn w:val="Policepardfaut"/>
  </w:style>
  <w:style w:type="paragraph" w:customStyle="1" w:styleId="BankNormal">
    <w:name w:val="BankNormal"/>
    <w:basedOn w:val="Normal"/>
    <w:pPr>
      <w:spacing w:before="240" w:after="60"/>
    </w:pPr>
    <w:rPr>
      <w:szCs w:val="20"/>
    </w:rPr>
  </w:style>
  <w:style w:type="paragraph" w:styleId="Notedefin">
    <w:name w:val="endnote text"/>
    <w:basedOn w:val="Normal"/>
    <w:semiHidden/>
    <w:rPr>
      <w:sz w:val="20"/>
      <w:szCs w:val="20"/>
    </w:rPr>
  </w:style>
  <w:style w:type="character" w:styleId="Appeldenotedefin">
    <w:name w:val="endnote reference"/>
    <w:basedOn w:val="Policepardfaut"/>
    <w:semiHidden/>
    <w:rPr>
      <w:vertAlign w:val="superscript"/>
    </w:rPr>
  </w:style>
  <w:style w:type="paragraph" w:styleId="Titre">
    <w:name w:val="Title"/>
    <w:basedOn w:val="Normal"/>
    <w:qFormat/>
    <w:pPr>
      <w:ind w:right="72"/>
      <w:jc w:val="center"/>
    </w:pPr>
    <w:rPr>
      <w:rFonts w:ascii="CG Times" w:hAnsi="CG Times"/>
      <w:b/>
      <w:u w:val="single"/>
      <w:lang w:val="fr-FR"/>
    </w:rPr>
  </w:style>
  <w:style w:type="paragraph" w:styleId="Corpsdetexte">
    <w:name w:val="Body Text"/>
    <w:basedOn w:val="Normal"/>
    <w:pPr>
      <w:ind w:right="72"/>
    </w:pPr>
    <w:rPr>
      <w:rFonts w:ascii="CG Times" w:hAnsi="CG Times"/>
      <w:lang w:val="fr-FR"/>
    </w:rPr>
  </w:style>
  <w:style w:type="paragraph" w:styleId="Pieddepage">
    <w:name w:val="footer"/>
    <w:basedOn w:val="Normal"/>
    <w:link w:val="PieddepageCar"/>
    <w:uiPriority w:val="99"/>
    <w:rsid w:val="00A30714"/>
    <w:pPr>
      <w:tabs>
        <w:tab w:val="center" w:pos="4320"/>
        <w:tab w:val="right" w:pos="8640"/>
      </w:tabs>
    </w:pPr>
  </w:style>
  <w:style w:type="paragraph" w:styleId="Textedebulles">
    <w:name w:val="Balloon Text"/>
    <w:basedOn w:val="Normal"/>
    <w:link w:val="TextedebullesCar"/>
    <w:rsid w:val="00250167"/>
    <w:rPr>
      <w:rFonts w:ascii="Tahoma" w:hAnsi="Tahoma" w:cs="Tahoma"/>
      <w:sz w:val="16"/>
      <w:szCs w:val="16"/>
    </w:rPr>
  </w:style>
  <w:style w:type="character" w:customStyle="1" w:styleId="TextedebullesCar">
    <w:name w:val="Texte de bulles Car"/>
    <w:basedOn w:val="Policepardfaut"/>
    <w:link w:val="Textedebulles"/>
    <w:rsid w:val="00250167"/>
    <w:rPr>
      <w:rFonts w:ascii="Tahoma" w:hAnsi="Tahoma" w:cs="Tahoma"/>
      <w:sz w:val="16"/>
      <w:szCs w:val="16"/>
      <w:lang w:val="en-US" w:eastAsia="en-US"/>
    </w:rPr>
  </w:style>
  <w:style w:type="paragraph" w:styleId="Paragraphedeliste">
    <w:name w:val="List Paragraph"/>
    <w:aliases w:val="Citation List,본문(내용),List Paragraph (numbered (a))"/>
    <w:basedOn w:val="Normal"/>
    <w:link w:val="ParagraphedelisteCar"/>
    <w:uiPriority w:val="34"/>
    <w:qFormat/>
    <w:rsid w:val="00531E04"/>
    <w:pPr>
      <w:spacing w:after="120" w:line="264" w:lineRule="auto"/>
      <w:ind w:left="720"/>
      <w:contextualSpacing/>
    </w:pPr>
    <w:rPr>
      <w:rFonts w:asciiTheme="minorHAnsi" w:eastAsiaTheme="minorEastAsia" w:hAnsiTheme="minorHAnsi" w:cstheme="minorBidi"/>
      <w:sz w:val="20"/>
      <w:szCs w:val="20"/>
      <w:lang w:val="en-GB"/>
    </w:rPr>
  </w:style>
  <w:style w:type="character" w:customStyle="1" w:styleId="ParagraphedelisteCar">
    <w:name w:val="Paragraphe de liste Car"/>
    <w:aliases w:val="Citation List Car,본문(내용) Car,List Paragraph (numbered (a)) Car"/>
    <w:basedOn w:val="Policepardfaut"/>
    <w:link w:val="Paragraphedeliste"/>
    <w:uiPriority w:val="34"/>
    <w:rsid w:val="00531E04"/>
    <w:rPr>
      <w:rFonts w:asciiTheme="minorHAnsi" w:eastAsiaTheme="minorEastAsia" w:hAnsiTheme="minorHAnsi" w:cstheme="minorBidi"/>
      <w:lang w:val="en-GB" w:eastAsia="en-US"/>
    </w:rPr>
  </w:style>
  <w:style w:type="character" w:styleId="Appelnotedebasdep">
    <w:name w:val="footnote reference"/>
    <w:rsid w:val="001C075F"/>
    <w:rPr>
      <w:vertAlign w:val="superscript"/>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rsid w:val="001C075F"/>
    <w:pPr>
      <w:jc w:val="both"/>
    </w:pPr>
    <w:rPr>
      <w:sz w:val="20"/>
      <w:szCs w:val="20"/>
      <w:lang w:val="es-ES_tradnl" w:eastAsia="fr-FR"/>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rsid w:val="001C075F"/>
    <w:rPr>
      <w:lang w:val="es-ES_tradnl"/>
    </w:rPr>
  </w:style>
  <w:style w:type="table" w:styleId="Grilledutableau">
    <w:name w:val="Table Grid"/>
    <w:basedOn w:val="TableauNormal"/>
    <w:rsid w:val="00026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0260C4"/>
    <w:rPr>
      <w:color w:val="0000FF" w:themeColor="hyperlink"/>
      <w:u w:val="single"/>
    </w:rPr>
  </w:style>
  <w:style w:type="character" w:styleId="Marquedecommentaire">
    <w:name w:val="annotation reference"/>
    <w:basedOn w:val="Policepardfaut"/>
    <w:semiHidden/>
    <w:unhideWhenUsed/>
    <w:rsid w:val="000260C4"/>
    <w:rPr>
      <w:sz w:val="16"/>
      <w:szCs w:val="16"/>
    </w:rPr>
  </w:style>
  <w:style w:type="paragraph" w:styleId="Commentaire">
    <w:name w:val="annotation text"/>
    <w:basedOn w:val="Normal"/>
    <w:link w:val="CommentaireCar"/>
    <w:semiHidden/>
    <w:unhideWhenUsed/>
    <w:rsid w:val="000260C4"/>
    <w:rPr>
      <w:sz w:val="20"/>
      <w:szCs w:val="20"/>
    </w:rPr>
  </w:style>
  <w:style w:type="character" w:customStyle="1" w:styleId="CommentaireCar">
    <w:name w:val="Commentaire Car"/>
    <w:basedOn w:val="Policepardfaut"/>
    <w:link w:val="Commentaire"/>
    <w:semiHidden/>
    <w:rsid w:val="000260C4"/>
    <w:rPr>
      <w:lang w:val="en-US" w:eastAsia="en-US"/>
    </w:rPr>
  </w:style>
  <w:style w:type="paragraph" w:styleId="Objetducommentaire">
    <w:name w:val="annotation subject"/>
    <w:basedOn w:val="Commentaire"/>
    <w:next w:val="Commentaire"/>
    <w:link w:val="ObjetducommentaireCar"/>
    <w:semiHidden/>
    <w:unhideWhenUsed/>
    <w:rsid w:val="000260C4"/>
    <w:rPr>
      <w:b/>
      <w:bCs/>
    </w:rPr>
  </w:style>
  <w:style w:type="character" w:customStyle="1" w:styleId="ObjetducommentaireCar">
    <w:name w:val="Objet du commentaire Car"/>
    <w:basedOn w:val="CommentaireCar"/>
    <w:link w:val="Objetducommentaire"/>
    <w:semiHidden/>
    <w:rsid w:val="000260C4"/>
    <w:rPr>
      <w:b/>
      <w:bCs/>
      <w:lang w:val="en-US" w:eastAsia="en-US"/>
    </w:rPr>
  </w:style>
  <w:style w:type="paragraph" w:styleId="Rvision">
    <w:name w:val="Revision"/>
    <w:hidden/>
    <w:uiPriority w:val="99"/>
    <w:semiHidden/>
    <w:rsid w:val="005B2C6F"/>
    <w:rPr>
      <w:sz w:val="24"/>
      <w:szCs w:val="24"/>
      <w:lang w:val="en-US" w:eastAsia="en-US"/>
    </w:rPr>
  </w:style>
  <w:style w:type="paragraph" w:customStyle="1" w:styleId="yiv1566392462msonormal">
    <w:name w:val="yiv1566392462msonormal"/>
    <w:basedOn w:val="Normal"/>
    <w:rsid w:val="00361DFF"/>
    <w:pPr>
      <w:spacing w:before="100" w:beforeAutospacing="1" w:after="100" w:afterAutospacing="1"/>
    </w:pPr>
    <w:rPr>
      <w:lang w:val="fr-FR" w:eastAsia="fr-FR"/>
    </w:rPr>
  </w:style>
  <w:style w:type="character" w:customStyle="1" w:styleId="PieddepageCar">
    <w:name w:val="Pied de page Car"/>
    <w:basedOn w:val="Policepardfaut"/>
    <w:link w:val="Pieddepage"/>
    <w:uiPriority w:val="99"/>
    <w:rsid w:val="00361DF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960690">
      <w:bodyDiv w:val="1"/>
      <w:marLeft w:val="0"/>
      <w:marRight w:val="0"/>
      <w:marTop w:val="0"/>
      <w:marBottom w:val="0"/>
      <w:divBdr>
        <w:top w:val="none" w:sz="0" w:space="0" w:color="auto"/>
        <w:left w:val="none" w:sz="0" w:space="0" w:color="auto"/>
        <w:bottom w:val="none" w:sz="0" w:space="0" w:color="auto"/>
        <w:right w:val="none" w:sz="0" w:space="0" w:color="auto"/>
      </w:divBdr>
    </w:div>
    <w:div w:id="1543906008">
      <w:bodyDiv w:val="1"/>
      <w:marLeft w:val="0"/>
      <w:marRight w:val="0"/>
      <w:marTop w:val="0"/>
      <w:marBottom w:val="0"/>
      <w:divBdr>
        <w:top w:val="none" w:sz="0" w:space="0" w:color="auto"/>
        <w:left w:val="none" w:sz="0" w:space="0" w:color="auto"/>
        <w:bottom w:val="none" w:sz="0" w:space="0" w:color="auto"/>
        <w:right w:val="none" w:sz="0" w:space="0" w:color="auto"/>
      </w:divBdr>
    </w:div>
    <w:div w:id="190182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wuyozigan@yahoo.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stogo_ugpr4sp@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43250-7414-4264-9D77-ECA24F166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1224</Words>
  <Characters>6735</Characters>
  <Application>Microsoft Office Word</Application>
  <DocSecurity>0</DocSecurity>
  <Lines>56</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Examplaire de modèle de</vt:lpstr>
      <vt:lpstr>Examplaire de modèle de</vt:lpstr>
    </vt:vector>
  </TitlesOfParts>
  <Company>World Bank Group</Company>
  <LinksUpToDate>false</LinksUpToDate>
  <CharactersWithSpaces>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Examplaire de modèle de</dc:title>
  <dc:creator>Jean-Jacques</dc:creator>
  <cp:lastModifiedBy>Zigan</cp:lastModifiedBy>
  <cp:revision>4</cp:revision>
  <cp:lastPrinted>2003-07-29T07:59:00Z</cp:lastPrinted>
  <dcterms:created xsi:type="dcterms:W3CDTF">2023-07-10T17:41:00Z</dcterms:created>
  <dcterms:modified xsi:type="dcterms:W3CDTF">2023-07-25T04:38:00Z</dcterms:modified>
</cp:coreProperties>
</file>