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20EE" w14:textId="77777777" w:rsidR="00D12BAE" w:rsidRDefault="00D12BAE" w:rsidP="00831554">
      <w:pPr>
        <w:tabs>
          <w:tab w:val="left" w:pos="0"/>
        </w:tabs>
        <w:jc w:val="right"/>
        <w:rPr>
          <w:b/>
          <w:lang w:val="fr-FR"/>
        </w:rPr>
      </w:pPr>
      <w:r>
        <w:rPr>
          <w:b/>
          <w:lang w:val="fr-FR"/>
        </w:rPr>
        <w:t xml:space="preserve">                                                                                        </w:t>
      </w:r>
      <w:r w:rsidRPr="00941DCE">
        <w:rPr>
          <w:rFonts w:ascii="Gill Sans MT" w:hAnsi="Gill Sans MT"/>
          <w:i/>
          <w:iCs/>
          <w:noProof/>
          <w:lang w:val="fr-FR" w:eastAsia="fr-FR"/>
        </w:rPr>
        <w:drawing>
          <wp:inline distT="0" distB="0" distL="0" distR="0" wp14:anchorId="65E6CD44" wp14:editId="625D88EF">
            <wp:extent cx="1304925" cy="889277"/>
            <wp:effectExtent l="0" t="0" r="0" b="6350"/>
            <wp:docPr id="102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7" cstate="print"/>
                    <a:srcRect/>
                    <a:stretch/>
                  </pic:blipFill>
                  <pic:spPr>
                    <a:xfrm>
                      <a:off x="0" y="0"/>
                      <a:ext cx="1306382" cy="890270"/>
                    </a:xfrm>
                    <a:prstGeom prst="rect">
                      <a:avLst/>
                    </a:prstGeom>
                  </pic:spPr>
                </pic:pic>
              </a:graphicData>
            </a:graphic>
          </wp:inline>
        </w:drawing>
      </w:r>
    </w:p>
    <w:p w14:paraId="6A9A3A7A" w14:textId="77777777" w:rsidR="00D12BAE" w:rsidRDefault="00D12BAE" w:rsidP="00D12BAE">
      <w:pPr>
        <w:tabs>
          <w:tab w:val="left" w:pos="0"/>
        </w:tabs>
        <w:jc w:val="center"/>
        <w:rPr>
          <w:b/>
          <w:lang w:val="fr-FR"/>
        </w:rPr>
      </w:pPr>
    </w:p>
    <w:p w14:paraId="3EDFF1C9" w14:textId="0EC5210F" w:rsidR="00D12BAE" w:rsidRPr="00C77487" w:rsidRDefault="00D12BAE" w:rsidP="00831554">
      <w:pPr>
        <w:tabs>
          <w:tab w:val="left" w:pos="0"/>
        </w:tabs>
        <w:rPr>
          <w:rFonts w:ascii="Amasis MT Pro" w:hAnsi="Amasis MT Pro"/>
          <w:b/>
          <w:spacing w:val="60"/>
          <w:sz w:val="20"/>
          <w:szCs w:val="20"/>
          <w:lang w:val="fr-FR"/>
        </w:rPr>
      </w:pPr>
      <w:r w:rsidRPr="008E1516">
        <w:rPr>
          <w:b/>
          <w:noProof/>
          <w:spacing w:val="60"/>
          <w:sz w:val="20"/>
          <w:szCs w:val="20"/>
          <w:lang w:val="fr-FR" w:eastAsia="fr-FR"/>
        </w:rPr>
        <w:drawing>
          <wp:anchor distT="0" distB="0" distL="114300" distR="114300" simplePos="0" relativeHeight="251658240" behindDoc="0" locked="0" layoutInCell="1" allowOverlap="1" wp14:anchorId="395B33DB" wp14:editId="7AE13C23">
            <wp:simplePos x="0" y="0"/>
            <wp:positionH relativeFrom="margin">
              <wp:posOffset>-55245</wp:posOffset>
            </wp:positionH>
            <wp:positionV relativeFrom="margin">
              <wp:posOffset>104140</wp:posOffset>
            </wp:positionV>
            <wp:extent cx="1115695" cy="981075"/>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695" cy="981075"/>
                    </a:xfrm>
                    <a:prstGeom prst="rect">
                      <a:avLst/>
                    </a:prstGeom>
                    <a:noFill/>
                  </pic:spPr>
                </pic:pic>
              </a:graphicData>
            </a:graphic>
            <wp14:sizeRelH relativeFrom="page">
              <wp14:pctWidth>0</wp14:pctWidth>
            </wp14:sizeRelH>
            <wp14:sizeRelV relativeFrom="page">
              <wp14:pctHeight>0</wp14:pctHeight>
            </wp14:sizeRelV>
          </wp:anchor>
        </w:drawing>
      </w:r>
      <w:r>
        <w:rPr>
          <w:b/>
          <w:lang w:val="fr-FR"/>
        </w:rPr>
        <w:t xml:space="preserve">                   </w:t>
      </w:r>
    </w:p>
    <w:p w14:paraId="304B7899" w14:textId="77777777" w:rsidR="00D12BAE" w:rsidRPr="00D02C46" w:rsidRDefault="00D12BAE" w:rsidP="00D12BAE">
      <w:pPr>
        <w:tabs>
          <w:tab w:val="left" w:pos="0"/>
        </w:tabs>
        <w:jc w:val="center"/>
        <w:rPr>
          <w:b/>
          <w:lang w:val="fr-FR"/>
        </w:rPr>
      </w:pPr>
      <w:r w:rsidRPr="00D02C46">
        <w:rPr>
          <w:b/>
          <w:lang w:val="fr-FR"/>
        </w:rPr>
        <w:t>REPUBLIQUE DU BENIN</w:t>
      </w:r>
    </w:p>
    <w:p w14:paraId="25233312" w14:textId="77777777" w:rsidR="00D12BAE" w:rsidRPr="00C77487" w:rsidRDefault="00D12BAE" w:rsidP="00831554">
      <w:pPr>
        <w:tabs>
          <w:tab w:val="right" w:leader="dot" w:pos="8640"/>
        </w:tabs>
        <w:spacing w:before="120"/>
        <w:jc w:val="center"/>
        <w:rPr>
          <w:rFonts w:ascii="Amasis MT Pro" w:hAnsi="Amasis MT Pro"/>
          <w:b/>
          <w:spacing w:val="60"/>
          <w:sz w:val="20"/>
          <w:szCs w:val="20"/>
          <w:lang w:val="fr-FR"/>
        </w:rPr>
      </w:pPr>
      <w:r w:rsidRPr="00C77487">
        <w:rPr>
          <w:rFonts w:ascii="Amasis MT Pro" w:hAnsi="Amasis MT Pro"/>
          <w:b/>
          <w:spacing w:val="60"/>
          <w:sz w:val="20"/>
          <w:szCs w:val="20"/>
          <w:lang w:val="fr-FR"/>
        </w:rPr>
        <w:t>----***----</w:t>
      </w:r>
    </w:p>
    <w:p w14:paraId="526B0F1B" w14:textId="77777777" w:rsidR="00D12BAE" w:rsidRPr="00D02C46" w:rsidRDefault="00D12BAE" w:rsidP="00D12BAE">
      <w:pPr>
        <w:tabs>
          <w:tab w:val="left" w:pos="0"/>
        </w:tabs>
        <w:jc w:val="center"/>
        <w:rPr>
          <w:b/>
          <w:lang w:val="fr-FR"/>
        </w:rPr>
      </w:pPr>
    </w:p>
    <w:p w14:paraId="702F6947" w14:textId="77777777" w:rsidR="00D12BAE" w:rsidRPr="00D02C46" w:rsidRDefault="00D12BAE" w:rsidP="00D12BAE">
      <w:pPr>
        <w:tabs>
          <w:tab w:val="left" w:pos="0"/>
        </w:tabs>
        <w:jc w:val="center"/>
        <w:rPr>
          <w:b/>
          <w:lang w:val="fr-FR"/>
        </w:rPr>
      </w:pPr>
      <w:r w:rsidRPr="00D02C46">
        <w:rPr>
          <w:b/>
          <w:lang w:val="fr-FR"/>
        </w:rPr>
        <w:t>MINISTERE DE L’AGRICULTURE, DE L’ELEVAGE ET DE LA PECHE</w:t>
      </w:r>
    </w:p>
    <w:p w14:paraId="6C06817E" w14:textId="77777777" w:rsidR="00C902D4" w:rsidRDefault="00C902D4">
      <w:pPr>
        <w:ind w:right="72"/>
        <w:jc w:val="center"/>
        <w:rPr>
          <w:b/>
          <w:lang w:val="fr-FR"/>
        </w:rPr>
      </w:pPr>
    </w:p>
    <w:p w14:paraId="56DAB24E" w14:textId="77777777" w:rsidR="000676F2" w:rsidRPr="00C77487" w:rsidRDefault="000676F2" w:rsidP="000676F2">
      <w:pPr>
        <w:tabs>
          <w:tab w:val="right" w:leader="dot" w:pos="8640"/>
        </w:tabs>
        <w:jc w:val="center"/>
        <w:rPr>
          <w:rFonts w:ascii="Amasis MT Pro" w:hAnsi="Amasis MT Pro"/>
          <w:b/>
          <w:spacing w:val="60"/>
          <w:sz w:val="20"/>
          <w:szCs w:val="20"/>
          <w:lang w:val="fr-FR"/>
        </w:rPr>
      </w:pPr>
      <w:r w:rsidRPr="00C77487">
        <w:rPr>
          <w:rFonts w:ascii="Amasis MT Pro" w:hAnsi="Amasis MT Pro"/>
          <w:b/>
          <w:spacing w:val="60"/>
          <w:sz w:val="20"/>
          <w:szCs w:val="20"/>
          <w:lang w:val="fr-FR"/>
        </w:rPr>
        <w:t>----***----</w:t>
      </w:r>
    </w:p>
    <w:p w14:paraId="1EF73693" w14:textId="77777777" w:rsidR="000676F2" w:rsidRPr="00D02C46" w:rsidRDefault="000676F2" w:rsidP="000676F2">
      <w:pPr>
        <w:tabs>
          <w:tab w:val="left" w:pos="0"/>
        </w:tabs>
        <w:jc w:val="center"/>
        <w:rPr>
          <w:b/>
          <w:lang w:val="fr-FR"/>
        </w:rPr>
      </w:pPr>
    </w:p>
    <w:p w14:paraId="0CF56FE2" w14:textId="7FB284C1" w:rsidR="000676F2" w:rsidRDefault="000676F2" w:rsidP="000676F2">
      <w:pPr>
        <w:tabs>
          <w:tab w:val="left" w:pos="0"/>
        </w:tabs>
        <w:jc w:val="center"/>
        <w:rPr>
          <w:b/>
          <w:lang w:val="fr-FR"/>
        </w:rPr>
      </w:pPr>
      <w:r w:rsidRPr="00D02C46">
        <w:rPr>
          <w:b/>
          <w:lang w:val="fr-FR"/>
        </w:rPr>
        <w:t>PROJET DE DEVELOPPEMENT INTEGRE DES CHAINES DE VALEURS AGRICOLES AU BENIN</w:t>
      </w:r>
      <w:r>
        <w:rPr>
          <w:b/>
          <w:lang w:val="fr-FR"/>
        </w:rPr>
        <w:t xml:space="preserve"> </w:t>
      </w:r>
      <w:r w:rsidRPr="00021A23">
        <w:rPr>
          <w:b/>
          <w:bCs/>
          <w:lang w:val="fr-FR"/>
        </w:rPr>
        <w:t>(</w:t>
      </w:r>
      <w:r w:rsidRPr="00A57CFE">
        <w:rPr>
          <w:b/>
          <w:bCs/>
          <w:lang w:val="fr-FR"/>
        </w:rPr>
        <w:t>IAVCDP</w:t>
      </w:r>
      <w:r w:rsidRPr="00021A23">
        <w:rPr>
          <w:b/>
          <w:bCs/>
          <w:lang w:val="fr-FR"/>
        </w:rPr>
        <w:t>)</w:t>
      </w:r>
      <w:r>
        <w:rPr>
          <w:b/>
          <w:bCs/>
          <w:lang w:val="fr-FR"/>
        </w:rPr>
        <w:t xml:space="preserve"> – BEN1014</w:t>
      </w:r>
    </w:p>
    <w:p w14:paraId="5FF3D909" w14:textId="77777777" w:rsidR="000676F2" w:rsidRDefault="000676F2" w:rsidP="000676F2">
      <w:pPr>
        <w:tabs>
          <w:tab w:val="left" w:pos="0"/>
        </w:tabs>
        <w:jc w:val="center"/>
        <w:rPr>
          <w:b/>
          <w:lang w:val="fr-FR"/>
        </w:rPr>
      </w:pPr>
    </w:p>
    <w:p w14:paraId="33A4E768" w14:textId="22CF350F" w:rsidR="000676F2" w:rsidRDefault="000676F2" w:rsidP="00831554">
      <w:pPr>
        <w:tabs>
          <w:tab w:val="right" w:leader="dot" w:pos="8640"/>
        </w:tabs>
        <w:jc w:val="center"/>
        <w:rPr>
          <w:rFonts w:ascii="Amasis MT Pro" w:hAnsi="Amasis MT Pro"/>
          <w:b/>
          <w:spacing w:val="60"/>
          <w:sz w:val="20"/>
          <w:szCs w:val="20"/>
          <w:lang w:val="fr-FR"/>
        </w:rPr>
      </w:pPr>
      <w:r w:rsidRPr="00C77487">
        <w:rPr>
          <w:rFonts w:ascii="Amasis MT Pro" w:hAnsi="Amasis MT Pro"/>
          <w:b/>
          <w:spacing w:val="60"/>
          <w:sz w:val="20"/>
          <w:szCs w:val="20"/>
          <w:lang w:val="fr-FR"/>
        </w:rPr>
        <w:t>----***----</w:t>
      </w:r>
    </w:p>
    <w:p w14:paraId="4848D1A4" w14:textId="77777777" w:rsidR="00070BB7" w:rsidRPr="00D02C46" w:rsidRDefault="00070BB7" w:rsidP="00831554">
      <w:pPr>
        <w:tabs>
          <w:tab w:val="right" w:leader="dot" w:pos="8640"/>
        </w:tabs>
        <w:jc w:val="center"/>
        <w:rPr>
          <w:b/>
          <w:lang w:val="fr-FR"/>
        </w:rPr>
      </w:pPr>
    </w:p>
    <w:p w14:paraId="7C471D25" w14:textId="77777777" w:rsidR="00D12BAE" w:rsidRDefault="00D12BAE">
      <w:pPr>
        <w:ind w:right="72"/>
        <w:jc w:val="center"/>
        <w:rPr>
          <w:b/>
          <w:lang w:val="fr-FR"/>
        </w:rPr>
      </w:pPr>
    </w:p>
    <w:p w14:paraId="50A29CBC" w14:textId="1E068C75" w:rsidR="00C30C3D" w:rsidRPr="00070BB7" w:rsidRDefault="00C30C3D">
      <w:pPr>
        <w:ind w:right="72"/>
        <w:jc w:val="center"/>
        <w:rPr>
          <w:sz w:val="44"/>
          <w:szCs w:val="44"/>
          <w:lang w:val="fr-FR"/>
        </w:rPr>
      </w:pPr>
      <w:r w:rsidRPr="00070BB7">
        <w:rPr>
          <w:b/>
          <w:sz w:val="44"/>
          <w:szCs w:val="44"/>
          <w:lang w:val="fr-FR"/>
        </w:rPr>
        <w:t>AVIS GENERAL DE PASSATION DES MARCHES</w:t>
      </w:r>
      <w:r w:rsidR="00D4629B" w:rsidRPr="00070BB7">
        <w:rPr>
          <w:b/>
          <w:sz w:val="44"/>
          <w:szCs w:val="44"/>
          <w:lang w:val="fr-FR"/>
        </w:rPr>
        <w:t xml:space="preserve"> (AGPM)</w:t>
      </w:r>
    </w:p>
    <w:p w14:paraId="0963A9BF" w14:textId="77777777" w:rsidR="00C30C3D" w:rsidRPr="00F25AEB" w:rsidRDefault="00C30C3D">
      <w:pPr>
        <w:ind w:right="72"/>
        <w:rPr>
          <w:lang w:val="fr-FR"/>
        </w:rPr>
      </w:pPr>
    </w:p>
    <w:p w14:paraId="3F213C58" w14:textId="77777777" w:rsidR="000676F2" w:rsidRDefault="000676F2">
      <w:pPr>
        <w:rPr>
          <w:iCs/>
          <w:lang w:val="fr-FR"/>
        </w:rPr>
      </w:pPr>
      <w:r>
        <w:rPr>
          <w:iCs/>
          <w:lang w:val="fr-FR"/>
        </w:rPr>
        <w:br w:type="page"/>
      </w:r>
    </w:p>
    <w:p w14:paraId="27EDED9A" w14:textId="77777777" w:rsidR="006D7208" w:rsidRPr="00F25AEB" w:rsidRDefault="006D7208" w:rsidP="00D4629B">
      <w:pPr>
        <w:ind w:right="72"/>
        <w:jc w:val="center"/>
        <w:rPr>
          <w:iCs/>
          <w:lang w:val="fr-FR"/>
        </w:rPr>
      </w:pPr>
    </w:p>
    <w:p w14:paraId="6DC0F792" w14:textId="05CBD82C" w:rsidR="006D7208" w:rsidRPr="00F25AEB" w:rsidRDefault="006D7208" w:rsidP="002E774C">
      <w:pPr>
        <w:spacing w:after="120"/>
        <w:ind w:right="72"/>
        <w:jc w:val="center"/>
        <w:rPr>
          <w:lang w:val="fr-FR"/>
        </w:rPr>
      </w:pPr>
      <w:r w:rsidRPr="00F25AEB">
        <w:rPr>
          <w:b/>
          <w:lang w:val="fr-FR"/>
        </w:rPr>
        <w:t>Projet de développement intégré de</w:t>
      </w:r>
      <w:r w:rsidR="00462676">
        <w:rPr>
          <w:b/>
          <w:lang w:val="fr-FR"/>
        </w:rPr>
        <w:t>s</w:t>
      </w:r>
      <w:r w:rsidRPr="00F25AEB">
        <w:rPr>
          <w:b/>
          <w:lang w:val="fr-FR"/>
        </w:rPr>
        <w:t xml:space="preserve"> chaîne</w:t>
      </w:r>
      <w:r w:rsidR="00F01A38">
        <w:rPr>
          <w:b/>
          <w:lang w:val="fr-FR"/>
        </w:rPr>
        <w:t>s</w:t>
      </w:r>
      <w:r w:rsidRPr="00F25AEB">
        <w:rPr>
          <w:b/>
          <w:lang w:val="fr-FR"/>
        </w:rPr>
        <w:t xml:space="preserve"> de valeur</w:t>
      </w:r>
      <w:r w:rsidR="00DE332D">
        <w:rPr>
          <w:b/>
          <w:lang w:val="fr-FR"/>
        </w:rPr>
        <w:t>s</w:t>
      </w:r>
      <w:r w:rsidRPr="00F25AEB">
        <w:rPr>
          <w:b/>
          <w:lang w:val="fr-FR"/>
        </w:rPr>
        <w:t xml:space="preserve"> agricole</w:t>
      </w:r>
      <w:r w:rsidR="00DE332D">
        <w:rPr>
          <w:b/>
          <w:lang w:val="fr-FR"/>
        </w:rPr>
        <w:t>s</w:t>
      </w:r>
      <w:r w:rsidRPr="00F25AEB">
        <w:rPr>
          <w:lang w:val="fr-FR"/>
        </w:rPr>
        <w:t xml:space="preserve"> </w:t>
      </w:r>
      <w:r w:rsidR="00367E30" w:rsidRPr="00021A23">
        <w:rPr>
          <w:b/>
          <w:bCs/>
          <w:lang w:val="fr-FR"/>
        </w:rPr>
        <w:t>(</w:t>
      </w:r>
      <w:r w:rsidR="00A57CFE" w:rsidRPr="00A57CFE">
        <w:rPr>
          <w:b/>
          <w:bCs/>
          <w:lang w:val="fr-FR"/>
        </w:rPr>
        <w:t>IAVCDP</w:t>
      </w:r>
      <w:r w:rsidR="00021A23" w:rsidRPr="00021A23">
        <w:rPr>
          <w:b/>
          <w:bCs/>
          <w:lang w:val="fr-FR"/>
        </w:rPr>
        <w:t>)</w:t>
      </w:r>
    </w:p>
    <w:p w14:paraId="1EE698F2" w14:textId="77777777" w:rsidR="006D7208" w:rsidRPr="00F25AEB" w:rsidRDefault="006D7208" w:rsidP="002E774C">
      <w:pPr>
        <w:spacing w:after="120"/>
        <w:ind w:right="72"/>
        <w:jc w:val="center"/>
        <w:rPr>
          <w:lang w:val="fr-FR"/>
        </w:rPr>
      </w:pPr>
    </w:p>
    <w:p w14:paraId="0F864DF7" w14:textId="77777777" w:rsidR="006D7208" w:rsidRPr="00F25AEB" w:rsidRDefault="006D7208" w:rsidP="002E774C">
      <w:pPr>
        <w:spacing w:after="120"/>
        <w:ind w:right="72"/>
        <w:jc w:val="center"/>
        <w:rPr>
          <w:lang w:val="fr-FR"/>
        </w:rPr>
      </w:pPr>
      <w:r w:rsidRPr="00F25AEB">
        <w:rPr>
          <w:lang w:val="fr-FR"/>
        </w:rPr>
        <w:t>BEN1014</w:t>
      </w:r>
    </w:p>
    <w:p w14:paraId="2E69AC3D" w14:textId="266CC532" w:rsidR="00C30C3D" w:rsidRPr="00F25AEB" w:rsidRDefault="006D7208" w:rsidP="002E774C">
      <w:pPr>
        <w:spacing w:after="120"/>
        <w:ind w:right="72"/>
        <w:jc w:val="both"/>
        <w:rPr>
          <w:lang w:val="fr-FR"/>
        </w:rPr>
      </w:pPr>
      <w:r w:rsidRPr="00F25AEB">
        <w:rPr>
          <w:lang w:val="fr-FR"/>
        </w:rPr>
        <w:t xml:space="preserve">La République du </w:t>
      </w:r>
      <w:r w:rsidRPr="00A804B3">
        <w:rPr>
          <w:lang w:val="fr-FR"/>
        </w:rPr>
        <w:t>Bénin</w:t>
      </w:r>
      <w:r w:rsidR="00C30C3D" w:rsidRPr="00A804B3">
        <w:rPr>
          <w:lang w:val="fr-FR"/>
        </w:rPr>
        <w:t xml:space="preserve"> a obtenu </w:t>
      </w:r>
      <w:r w:rsidR="00D4629B" w:rsidRPr="00A804B3">
        <w:rPr>
          <w:lang w:val="fr-FR"/>
        </w:rPr>
        <w:t xml:space="preserve">un montant </w:t>
      </w:r>
      <w:r w:rsidR="00F25AEB" w:rsidRPr="00A804B3">
        <w:rPr>
          <w:lang w:val="fr-FR"/>
        </w:rPr>
        <w:t>dix-huit</w:t>
      </w:r>
      <w:r w:rsidR="001505BD" w:rsidRPr="00A804B3">
        <w:rPr>
          <w:lang w:val="fr-FR"/>
        </w:rPr>
        <w:t xml:space="preserve"> millions quatre cent mille dollar</w:t>
      </w:r>
      <w:r w:rsidR="00104A1F" w:rsidRPr="00A804B3">
        <w:rPr>
          <w:lang w:val="fr-FR"/>
        </w:rPr>
        <w:t>s</w:t>
      </w:r>
      <w:r w:rsidR="001505BD" w:rsidRPr="00A804B3">
        <w:rPr>
          <w:lang w:val="fr-FR"/>
        </w:rPr>
        <w:t xml:space="preserve"> des ETATS-UNIS</w:t>
      </w:r>
      <w:r w:rsidR="00D4629B" w:rsidRPr="00A804B3">
        <w:rPr>
          <w:lang w:val="fr-FR"/>
        </w:rPr>
        <w:t xml:space="preserve"> sous la forme de </w:t>
      </w:r>
      <w:r w:rsidR="00440805" w:rsidRPr="00A804B3">
        <w:rPr>
          <w:lang w:val="fr-FR"/>
        </w:rPr>
        <w:t xml:space="preserve">financement </w:t>
      </w:r>
      <w:r w:rsidR="001505BD" w:rsidRPr="00A804B3">
        <w:rPr>
          <w:lang w:val="fr-FR"/>
        </w:rPr>
        <w:t xml:space="preserve">ordinaire et </w:t>
      </w:r>
      <w:r w:rsidR="0087137C" w:rsidRPr="00A804B3">
        <w:rPr>
          <w:lang w:val="fr-FR"/>
        </w:rPr>
        <w:t xml:space="preserve">d’une subvention </w:t>
      </w:r>
      <w:r w:rsidR="001505BD" w:rsidRPr="00A804B3">
        <w:rPr>
          <w:lang w:val="fr-FR"/>
        </w:rPr>
        <w:t xml:space="preserve">« Lives and </w:t>
      </w:r>
      <w:proofErr w:type="spellStart"/>
      <w:r w:rsidR="001505BD" w:rsidRPr="00A804B3">
        <w:rPr>
          <w:lang w:val="fr-FR"/>
        </w:rPr>
        <w:t>Live</w:t>
      </w:r>
      <w:r w:rsidR="00944E45" w:rsidRPr="00A804B3">
        <w:rPr>
          <w:lang w:val="fr-FR"/>
        </w:rPr>
        <w:t>li</w:t>
      </w:r>
      <w:r w:rsidR="001505BD" w:rsidRPr="00A804B3">
        <w:rPr>
          <w:lang w:val="fr-FR"/>
        </w:rPr>
        <w:t>hood</w:t>
      </w:r>
      <w:proofErr w:type="spellEnd"/>
      <w:r w:rsidR="001505BD" w:rsidRPr="00A804B3">
        <w:rPr>
          <w:lang w:val="fr-FR"/>
        </w:rPr>
        <w:t xml:space="preserve"> </w:t>
      </w:r>
      <w:proofErr w:type="spellStart"/>
      <w:r w:rsidR="001505BD" w:rsidRPr="00A804B3">
        <w:rPr>
          <w:lang w:val="fr-FR"/>
        </w:rPr>
        <w:t>Fund</w:t>
      </w:r>
      <w:proofErr w:type="spellEnd"/>
      <w:r w:rsidR="001505BD" w:rsidRPr="00A804B3">
        <w:rPr>
          <w:lang w:val="fr-FR"/>
        </w:rPr>
        <w:t> » (LLF)</w:t>
      </w:r>
      <w:r w:rsidR="00C30C3D" w:rsidRPr="00A804B3">
        <w:rPr>
          <w:lang w:val="fr-FR"/>
        </w:rPr>
        <w:t xml:space="preserve"> de la Banque </w:t>
      </w:r>
      <w:r w:rsidR="00D4629B" w:rsidRPr="00A804B3">
        <w:rPr>
          <w:lang w:val="fr-FR"/>
        </w:rPr>
        <w:t xml:space="preserve">Islamique de Développement </w:t>
      </w:r>
      <w:r w:rsidR="00C30C3D" w:rsidRPr="00A804B3">
        <w:rPr>
          <w:lang w:val="fr-FR"/>
        </w:rPr>
        <w:t>pour</w:t>
      </w:r>
      <w:r w:rsidR="00C30C3D" w:rsidRPr="00F25AEB">
        <w:rPr>
          <w:lang w:val="fr-FR"/>
        </w:rPr>
        <w:t xml:space="preserve"> financer le </w:t>
      </w:r>
      <w:r w:rsidR="001505BD" w:rsidRPr="00F25AEB">
        <w:rPr>
          <w:b/>
          <w:lang w:val="fr-FR"/>
        </w:rPr>
        <w:t>Projet de développement intégré de</w:t>
      </w:r>
      <w:r w:rsidR="00462676">
        <w:rPr>
          <w:b/>
          <w:lang w:val="fr-FR"/>
        </w:rPr>
        <w:t>s</w:t>
      </w:r>
      <w:r w:rsidR="001505BD" w:rsidRPr="00F25AEB">
        <w:rPr>
          <w:b/>
          <w:lang w:val="fr-FR"/>
        </w:rPr>
        <w:t xml:space="preserve"> chaîne</w:t>
      </w:r>
      <w:r w:rsidR="00462676">
        <w:rPr>
          <w:b/>
          <w:lang w:val="fr-FR"/>
        </w:rPr>
        <w:t>s</w:t>
      </w:r>
      <w:r w:rsidR="001505BD" w:rsidRPr="00F25AEB">
        <w:rPr>
          <w:b/>
          <w:lang w:val="fr-FR"/>
        </w:rPr>
        <w:t xml:space="preserve"> de valeur</w:t>
      </w:r>
      <w:r w:rsidR="00DE332D">
        <w:rPr>
          <w:b/>
          <w:lang w:val="fr-FR"/>
        </w:rPr>
        <w:t>s</w:t>
      </w:r>
      <w:r w:rsidR="001505BD" w:rsidRPr="00F25AEB">
        <w:rPr>
          <w:b/>
          <w:lang w:val="fr-FR"/>
        </w:rPr>
        <w:t xml:space="preserve"> </w:t>
      </w:r>
      <w:r w:rsidR="00F25AEB" w:rsidRPr="00F25AEB">
        <w:rPr>
          <w:b/>
          <w:lang w:val="fr-FR"/>
        </w:rPr>
        <w:t>agricole</w:t>
      </w:r>
      <w:r w:rsidR="00DE332D">
        <w:rPr>
          <w:b/>
          <w:lang w:val="fr-FR"/>
        </w:rPr>
        <w:t>s</w:t>
      </w:r>
      <w:r w:rsidR="00982111">
        <w:rPr>
          <w:b/>
          <w:lang w:val="fr-FR"/>
        </w:rPr>
        <w:t xml:space="preserve"> (IAVCDP)</w:t>
      </w:r>
      <w:r w:rsidR="00F25AEB" w:rsidRPr="00F25AEB">
        <w:rPr>
          <w:lang w:val="fr-FR"/>
        </w:rPr>
        <w:t>.</w:t>
      </w:r>
    </w:p>
    <w:p w14:paraId="270159C8" w14:textId="77777777" w:rsidR="00777925" w:rsidRPr="00F25AEB" w:rsidRDefault="00777925" w:rsidP="00777925">
      <w:pPr>
        <w:ind w:firstLine="360"/>
        <w:jc w:val="both"/>
        <w:rPr>
          <w:rFonts w:eastAsia="Roboto Light"/>
          <w:lang w:val="fr-FR"/>
        </w:rPr>
      </w:pPr>
      <w:r w:rsidRPr="00F25AEB">
        <w:rPr>
          <w:rFonts w:eastAsia="Roboto Light"/>
          <w:lang w:val="fr-FR"/>
        </w:rPr>
        <w:t>L'objectif global du projet est de stimuler un sous-secteur intégré viable du riz et du maïs au Bénin afin de promouvoir la diversification économique, la sécurité alimentaire, les opportunités d'emploi durables et l'amélioration des moyens de subsistance. L'objectif spécifique du projet est de transformer le sous-secteur agricole en une opportunité commerciale viable et inclusive, afin de promouvoir l'amélioration de la production et de la productivité nécessaires pour améliorer les moyens de subsistance des bénéficiaires le long des chaînes de valeur prioritaires (riz et maïs).</w:t>
      </w:r>
    </w:p>
    <w:p w14:paraId="79DE1B47" w14:textId="77777777" w:rsidR="00777925" w:rsidRPr="00F25AEB" w:rsidRDefault="00777925" w:rsidP="00777925">
      <w:pPr>
        <w:ind w:firstLine="360"/>
        <w:jc w:val="both"/>
        <w:rPr>
          <w:rFonts w:eastAsia="Roboto Light"/>
          <w:lang w:val="fr-FR"/>
        </w:rPr>
      </w:pPr>
    </w:p>
    <w:p w14:paraId="58C979E3" w14:textId="67D4BA01" w:rsidR="00777925" w:rsidRPr="00F25AEB" w:rsidRDefault="00777925" w:rsidP="00777925">
      <w:pPr>
        <w:ind w:firstLine="360"/>
        <w:jc w:val="both"/>
        <w:rPr>
          <w:rFonts w:eastAsia="Roboto Light"/>
          <w:lang w:val="fr-FR"/>
        </w:rPr>
      </w:pPr>
      <w:r w:rsidRPr="00F25AEB">
        <w:rPr>
          <w:rFonts w:eastAsia="Roboto Light"/>
          <w:lang w:val="fr-FR"/>
        </w:rPr>
        <w:t>L'IAVCDP</w:t>
      </w:r>
      <w:r w:rsidR="00CD40C8">
        <w:rPr>
          <w:rFonts w:eastAsia="Roboto Light"/>
          <w:lang w:val="fr-FR"/>
        </w:rPr>
        <w:t xml:space="preserve"> vise à</w:t>
      </w:r>
      <w:r w:rsidRPr="00F25AEB">
        <w:rPr>
          <w:rFonts w:eastAsia="Roboto Light"/>
          <w:lang w:val="fr-FR"/>
        </w:rPr>
        <w:t xml:space="preserve"> : (i) augmenter les revenus des petits exploitants et des prestataires de services agricoles ; (ii) faciliter le développement des entreprises et institutions rurales impliquées dans les filières maïs et riz ; et (iii) développer les structures organisationnelles des producteurs qui représentent leurs besoins et leurs intérêts ; améliorer la capacité institutionnelle et la qualité des services agricoles fournis par les institutions publiques et privées et les organisations de producteurs. En améliorant leurs capacités, les organisations paysannes auront la capacité d'améliorer l'accès au marché et de fournir, gérer et financer des services à leurs membres en mettant l'accent sur l'augmentation des semences de qualité, de l'équipement, des installations post-récolte et de l'accès au marché avec une attention particulière aux besoins spécifiques</w:t>
      </w:r>
      <w:r w:rsidR="00C94AD1">
        <w:rPr>
          <w:rFonts w:eastAsia="Roboto Light"/>
          <w:lang w:val="fr-FR"/>
        </w:rPr>
        <w:t xml:space="preserve"> des</w:t>
      </w:r>
      <w:r w:rsidRPr="00F25AEB">
        <w:rPr>
          <w:rFonts w:eastAsia="Roboto Light"/>
          <w:lang w:val="fr-FR"/>
        </w:rPr>
        <w:t xml:space="preserve"> groupes cibles (notamment les petits producteurs, les femmes productrices et les jeunes producteurs).</w:t>
      </w:r>
    </w:p>
    <w:p w14:paraId="4455E67C" w14:textId="77777777" w:rsidR="00777925" w:rsidRPr="00F25AEB" w:rsidRDefault="00777925" w:rsidP="00777925">
      <w:pPr>
        <w:ind w:firstLine="360"/>
        <w:jc w:val="both"/>
        <w:rPr>
          <w:rFonts w:eastAsia="Roboto Light"/>
          <w:b/>
          <w:bCs/>
          <w:i/>
          <w:iCs/>
          <w:lang w:val="fr-FR"/>
        </w:rPr>
      </w:pPr>
    </w:p>
    <w:p w14:paraId="2E7807E7" w14:textId="77777777" w:rsidR="00777925" w:rsidRPr="00F25AEB" w:rsidRDefault="00777925" w:rsidP="00777925">
      <w:pPr>
        <w:ind w:firstLine="360"/>
        <w:jc w:val="both"/>
        <w:rPr>
          <w:rFonts w:eastAsia="Roboto Light"/>
          <w:lang w:val="fr-FR"/>
        </w:rPr>
      </w:pPr>
    </w:p>
    <w:p w14:paraId="4DD3EF20" w14:textId="77777777" w:rsidR="00D4629B" w:rsidRPr="00F25AEB" w:rsidRDefault="00C30C3D">
      <w:pPr>
        <w:ind w:right="72"/>
        <w:rPr>
          <w:lang w:val="fr-FR"/>
        </w:rPr>
      </w:pPr>
      <w:r w:rsidRPr="00F25AEB">
        <w:rPr>
          <w:lang w:val="fr-FR"/>
        </w:rPr>
        <w:t>Le projet comprendra les composantes suivantes</w:t>
      </w:r>
      <w:r w:rsidR="00D4629B" w:rsidRPr="00F25AEB">
        <w:rPr>
          <w:lang w:val="fr-FR"/>
        </w:rPr>
        <w:t> :</w:t>
      </w:r>
    </w:p>
    <w:p w14:paraId="56898008" w14:textId="77777777" w:rsidR="00777925" w:rsidRPr="00F25AEB" w:rsidRDefault="00777925">
      <w:pPr>
        <w:ind w:right="72"/>
        <w:rPr>
          <w:lang w:val="fr-FR"/>
        </w:rPr>
      </w:pPr>
    </w:p>
    <w:p w14:paraId="740191D6" w14:textId="77777777" w:rsidR="00777925" w:rsidRPr="00F25AEB" w:rsidRDefault="00777925" w:rsidP="00F25AEB">
      <w:pPr>
        <w:ind w:right="72"/>
        <w:rPr>
          <w:lang w:val="fr-FR"/>
        </w:rPr>
      </w:pPr>
      <w:r w:rsidRPr="00F25AEB">
        <w:rPr>
          <w:lang w:val="fr-FR"/>
        </w:rPr>
        <w:t>Composante-A : Amélioration de la productivité agricole</w:t>
      </w:r>
      <w:r w:rsidR="00F25AEB">
        <w:rPr>
          <w:lang w:val="fr-FR"/>
        </w:rPr>
        <w:t> ;</w:t>
      </w:r>
      <w:r w:rsidRPr="00F25AEB">
        <w:rPr>
          <w:lang w:val="fr-FR"/>
        </w:rPr>
        <w:t xml:space="preserve"> </w:t>
      </w:r>
    </w:p>
    <w:p w14:paraId="7B44C443" w14:textId="66F09426" w:rsidR="00777925" w:rsidRPr="00F25AEB" w:rsidRDefault="00777925" w:rsidP="00F25AEB">
      <w:pPr>
        <w:ind w:right="72"/>
        <w:rPr>
          <w:lang w:val="fr-FR"/>
        </w:rPr>
      </w:pPr>
      <w:r w:rsidRPr="00F25AEB">
        <w:rPr>
          <w:lang w:val="fr-FR"/>
        </w:rPr>
        <w:t>Composant</w:t>
      </w:r>
      <w:r w:rsidR="0014507E">
        <w:rPr>
          <w:lang w:val="fr-FR"/>
        </w:rPr>
        <w:t>e</w:t>
      </w:r>
      <w:r w:rsidRPr="00F25AEB">
        <w:rPr>
          <w:lang w:val="fr-FR"/>
        </w:rPr>
        <w:t>-</w:t>
      </w:r>
      <w:proofErr w:type="gramStart"/>
      <w:r w:rsidRPr="00F25AEB">
        <w:rPr>
          <w:lang w:val="fr-FR"/>
        </w:rPr>
        <w:t>B</w:t>
      </w:r>
      <w:r w:rsidR="00385812">
        <w:rPr>
          <w:lang w:val="fr-FR"/>
        </w:rPr>
        <w:t>  :</w:t>
      </w:r>
      <w:proofErr w:type="gramEnd"/>
      <w:r w:rsidRPr="00F25AEB">
        <w:rPr>
          <w:lang w:val="fr-FR"/>
        </w:rPr>
        <w:t xml:space="preserve"> Valeur ajoutée et accès au marché</w:t>
      </w:r>
      <w:r w:rsidR="00F25AEB">
        <w:rPr>
          <w:lang w:val="fr-FR"/>
        </w:rPr>
        <w:t> ;</w:t>
      </w:r>
    </w:p>
    <w:p w14:paraId="182A328E" w14:textId="36706333" w:rsidR="00777925" w:rsidRPr="00F25AEB" w:rsidRDefault="00777925" w:rsidP="00F25AEB">
      <w:pPr>
        <w:ind w:right="72"/>
        <w:rPr>
          <w:lang w:val="fr-FR"/>
        </w:rPr>
      </w:pPr>
      <w:r w:rsidRPr="00F25AEB">
        <w:rPr>
          <w:lang w:val="fr-FR"/>
        </w:rPr>
        <w:t>Composant</w:t>
      </w:r>
      <w:r w:rsidR="004E21CD">
        <w:rPr>
          <w:lang w:val="fr-FR"/>
        </w:rPr>
        <w:t>e</w:t>
      </w:r>
      <w:r w:rsidRPr="00F25AEB">
        <w:rPr>
          <w:lang w:val="fr-FR"/>
        </w:rPr>
        <w:t>-</w:t>
      </w:r>
      <w:proofErr w:type="gramStart"/>
      <w:r w:rsidRPr="00F25AEB">
        <w:rPr>
          <w:lang w:val="fr-FR"/>
        </w:rPr>
        <w:t>C</w:t>
      </w:r>
      <w:r w:rsidR="00385812">
        <w:rPr>
          <w:lang w:val="fr-FR"/>
        </w:rPr>
        <w:t>  :</w:t>
      </w:r>
      <w:proofErr w:type="gramEnd"/>
      <w:r w:rsidRPr="00F25AEB">
        <w:rPr>
          <w:lang w:val="fr-FR"/>
        </w:rPr>
        <w:t xml:space="preserve"> Renforcement des capacités et développement institutionnel</w:t>
      </w:r>
      <w:r w:rsidR="00F25AEB">
        <w:rPr>
          <w:lang w:val="fr-FR"/>
        </w:rPr>
        <w:t> ;</w:t>
      </w:r>
    </w:p>
    <w:p w14:paraId="25E240F0" w14:textId="77777777" w:rsidR="00777925" w:rsidRPr="00F25AEB" w:rsidRDefault="00777925" w:rsidP="00F25AEB">
      <w:pPr>
        <w:ind w:right="72"/>
        <w:rPr>
          <w:lang w:val="fr-FR"/>
        </w:rPr>
      </w:pPr>
      <w:r w:rsidRPr="00F25AEB">
        <w:rPr>
          <w:lang w:val="fr-FR"/>
        </w:rPr>
        <w:t>Composante-D : Gestion et coordination du projet</w:t>
      </w:r>
      <w:r w:rsidR="00F25AEB">
        <w:rPr>
          <w:lang w:val="fr-FR"/>
        </w:rPr>
        <w:t> ;</w:t>
      </w:r>
    </w:p>
    <w:p w14:paraId="73E1F85F" w14:textId="77777777" w:rsidR="00777925" w:rsidRPr="00F25AEB" w:rsidRDefault="00777925" w:rsidP="00F25AEB">
      <w:pPr>
        <w:ind w:right="72"/>
        <w:rPr>
          <w:lang w:val="fr-FR"/>
        </w:rPr>
      </w:pPr>
      <w:r w:rsidRPr="00F25AEB">
        <w:rPr>
          <w:lang w:val="fr-FR"/>
        </w:rPr>
        <w:t>Composante-E : Audit Financier</w:t>
      </w:r>
      <w:r w:rsidR="00F25AEB">
        <w:rPr>
          <w:lang w:val="fr-FR"/>
        </w:rPr>
        <w:t> ;</w:t>
      </w:r>
    </w:p>
    <w:p w14:paraId="3F0255C3" w14:textId="109A7CDD" w:rsidR="009B30C8" w:rsidRPr="00F25AEB" w:rsidRDefault="00F25AEB" w:rsidP="00F25AEB">
      <w:pPr>
        <w:ind w:right="72"/>
        <w:rPr>
          <w:lang w:val="fr-FR"/>
        </w:rPr>
      </w:pPr>
      <w:r w:rsidRPr="00F25AEB">
        <w:rPr>
          <w:lang w:val="fr-FR"/>
        </w:rPr>
        <w:t>C</w:t>
      </w:r>
      <w:r w:rsidR="009B30C8" w:rsidRPr="00F25AEB">
        <w:rPr>
          <w:lang w:val="fr-FR"/>
        </w:rPr>
        <w:t>omposante-F : Intervention d’urgence</w:t>
      </w:r>
      <w:r w:rsidR="0014507E">
        <w:rPr>
          <w:lang w:val="fr-FR"/>
        </w:rPr>
        <w:t>.</w:t>
      </w:r>
    </w:p>
    <w:p w14:paraId="57A1006A" w14:textId="77777777" w:rsidR="009B30C8" w:rsidRPr="00F25AEB" w:rsidRDefault="009B30C8" w:rsidP="002E774C">
      <w:pPr>
        <w:spacing w:after="120"/>
        <w:ind w:right="72"/>
        <w:jc w:val="both"/>
        <w:rPr>
          <w:b/>
          <w:bCs/>
          <w:lang w:val="fr-FR"/>
        </w:rPr>
      </w:pPr>
    </w:p>
    <w:p w14:paraId="5D368D9C" w14:textId="277CD227" w:rsidR="00070BB7" w:rsidRDefault="00070BB7" w:rsidP="00070BB7">
      <w:pPr>
        <w:spacing w:after="120"/>
        <w:ind w:right="72"/>
        <w:jc w:val="both"/>
        <w:rPr>
          <w:rFonts w:ascii="CG Times" w:hAnsi="CG Times"/>
          <w:lang w:val="fr-FR"/>
        </w:rPr>
      </w:pPr>
      <w:r>
        <w:rPr>
          <w:rFonts w:ascii="CG Times" w:hAnsi="CG Times"/>
          <w:lang w:val="fr-FR"/>
        </w:rPr>
        <w:t xml:space="preserve">Les acquisitions </w:t>
      </w:r>
      <w:r w:rsidRPr="009F6C07">
        <w:rPr>
          <w:rFonts w:ascii="CG Times" w:hAnsi="CG Times"/>
          <w:lang w:val="fr-FR"/>
        </w:rPr>
        <w:t>financé</w:t>
      </w:r>
      <w:r>
        <w:rPr>
          <w:rFonts w:ascii="CG Times" w:hAnsi="CG Times"/>
          <w:lang w:val="fr-FR"/>
        </w:rPr>
        <w:t>e</w:t>
      </w:r>
      <w:r w:rsidRPr="009F6C07">
        <w:rPr>
          <w:rFonts w:ascii="CG Times" w:hAnsi="CG Times"/>
          <w:lang w:val="fr-FR"/>
        </w:rPr>
        <w:t xml:space="preserve">s par la Banque Islamique de Développement </w:t>
      </w:r>
      <w:r>
        <w:rPr>
          <w:rFonts w:ascii="CG Times" w:hAnsi="CG Times"/>
          <w:lang w:val="fr-FR"/>
        </w:rPr>
        <w:t xml:space="preserve">seront effectuées conformément aux </w:t>
      </w:r>
      <w:r w:rsidRPr="009F6C07">
        <w:rPr>
          <w:rFonts w:ascii="CG Times" w:hAnsi="CG Times"/>
          <w:lang w:val="fr-FR"/>
        </w:rPr>
        <w:t>Directives</w:t>
      </w:r>
      <w:r>
        <w:rPr>
          <w:rFonts w:ascii="CG Times" w:hAnsi="CG Times"/>
          <w:lang w:val="fr-FR"/>
        </w:rPr>
        <w:t xml:space="preserve"> pour l’acquisition de Biens, Travaux et services connexes</w:t>
      </w:r>
      <w:r w:rsidRPr="009F6C07">
        <w:rPr>
          <w:rFonts w:ascii="CG Times" w:hAnsi="CG Times"/>
          <w:lang w:val="fr-FR"/>
        </w:rPr>
        <w:t xml:space="preserve"> </w:t>
      </w:r>
      <w:r>
        <w:rPr>
          <w:rFonts w:ascii="CG Times" w:hAnsi="CG Times"/>
          <w:lang w:val="fr-FR"/>
        </w:rPr>
        <w:t xml:space="preserve">dans le cadre des Projets </w:t>
      </w:r>
      <w:r w:rsidRPr="009F6C07">
        <w:rPr>
          <w:rFonts w:ascii="CG Times" w:hAnsi="CG Times"/>
          <w:lang w:val="fr-FR"/>
        </w:rPr>
        <w:t>financés par la Banque Islamique de Développement (</w:t>
      </w:r>
      <w:r>
        <w:rPr>
          <w:rFonts w:ascii="CG Times" w:hAnsi="CG Times"/>
          <w:lang w:val="fr-FR"/>
        </w:rPr>
        <w:t xml:space="preserve">édition </w:t>
      </w:r>
      <w:r>
        <w:rPr>
          <w:lang w:val="fr-FR"/>
        </w:rPr>
        <w:t>d’avril 2019</w:t>
      </w:r>
      <w:r w:rsidRPr="009F6C07">
        <w:rPr>
          <w:rFonts w:ascii="CG Times" w:hAnsi="CG Times"/>
          <w:lang w:val="fr-FR"/>
        </w:rPr>
        <w:t>)</w:t>
      </w:r>
      <w:r>
        <w:rPr>
          <w:rFonts w:ascii="CG Times" w:hAnsi="CG Times"/>
          <w:lang w:val="fr-FR"/>
        </w:rPr>
        <w:t xml:space="preserve"> et sont ouvertes à tous les soumissionnaires éligibles, tels que définis dans ces Directives</w:t>
      </w:r>
      <w:r w:rsidRPr="009F6C07">
        <w:rPr>
          <w:rFonts w:ascii="CG Times" w:hAnsi="CG Times"/>
          <w:lang w:val="fr-FR"/>
        </w:rPr>
        <w:t xml:space="preserve">. Les </w:t>
      </w:r>
      <w:r>
        <w:rPr>
          <w:rFonts w:ascii="CG Times" w:hAnsi="CG Times"/>
          <w:lang w:val="fr-FR"/>
        </w:rPr>
        <w:t xml:space="preserve">acquisitions de services de </w:t>
      </w:r>
      <w:r w:rsidRPr="009F6C07">
        <w:rPr>
          <w:rFonts w:ascii="CG Times" w:hAnsi="CG Times"/>
          <w:lang w:val="fr-FR"/>
        </w:rPr>
        <w:t xml:space="preserve">consultants </w:t>
      </w:r>
      <w:r>
        <w:rPr>
          <w:rFonts w:ascii="CG Times" w:hAnsi="CG Times"/>
          <w:lang w:val="fr-FR"/>
        </w:rPr>
        <w:t xml:space="preserve">seront effectuées conformément </w:t>
      </w:r>
      <w:r>
        <w:rPr>
          <w:rFonts w:ascii="CG Times" w:hAnsi="CG Times"/>
          <w:lang w:val="fr-FR"/>
        </w:rPr>
        <w:lastRenderedPageBreak/>
        <w:t xml:space="preserve">aux </w:t>
      </w:r>
      <w:r w:rsidRPr="009F6C07">
        <w:rPr>
          <w:rFonts w:ascii="CG Times" w:hAnsi="CG Times"/>
          <w:lang w:val="fr-FR"/>
        </w:rPr>
        <w:t>Directives</w:t>
      </w:r>
      <w:r>
        <w:rPr>
          <w:rFonts w:ascii="CG Times" w:hAnsi="CG Times"/>
          <w:lang w:val="fr-FR"/>
        </w:rPr>
        <w:t xml:space="preserve"> pour l’acquisition de Services de Consultants</w:t>
      </w:r>
      <w:r w:rsidRPr="009F6C07">
        <w:rPr>
          <w:rFonts w:ascii="CG Times" w:hAnsi="CG Times"/>
          <w:lang w:val="fr-FR"/>
        </w:rPr>
        <w:t xml:space="preserve"> </w:t>
      </w:r>
      <w:r>
        <w:rPr>
          <w:rFonts w:ascii="CG Times" w:hAnsi="CG Times"/>
          <w:lang w:val="fr-FR"/>
        </w:rPr>
        <w:t xml:space="preserve">dans le cadre des Projets </w:t>
      </w:r>
      <w:r w:rsidRPr="009F6C07">
        <w:rPr>
          <w:rFonts w:ascii="CG Times" w:hAnsi="CG Times"/>
          <w:lang w:val="fr-FR"/>
        </w:rPr>
        <w:t>financés par la Banque Islamique de Développement (</w:t>
      </w:r>
      <w:r>
        <w:rPr>
          <w:rFonts w:ascii="CG Times" w:hAnsi="CG Times"/>
          <w:lang w:val="fr-FR"/>
        </w:rPr>
        <w:t xml:space="preserve">édition </w:t>
      </w:r>
      <w:r>
        <w:rPr>
          <w:lang w:val="fr-FR"/>
        </w:rPr>
        <w:t>d’avril 2019</w:t>
      </w:r>
      <w:r w:rsidRPr="009F6C07">
        <w:rPr>
          <w:rFonts w:ascii="CG Times" w:hAnsi="CG Times"/>
          <w:lang w:val="fr-FR"/>
        </w:rPr>
        <w:t>)</w:t>
      </w:r>
      <w:r>
        <w:rPr>
          <w:rFonts w:ascii="CG Times" w:hAnsi="CG Times"/>
          <w:lang w:val="fr-FR"/>
        </w:rPr>
        <w:t>.</w:t>
      </w:r>
    </w:p>
    <w:p w14:paraId="66AFA7E7" w14:textId="77777777" w:rsidR="009F6C07" w:rsidRPr="00F25AEB" w:rsidRDefault="009F6C07" w:rsidP="009F6C07">
      <w:pPr>
        <w:spacing w:after="120"/>
        <w:ind w:right="72"/>
        <w:rPr>
          <w:lang w:val="fr-FR"/>
        </w:rPr>
      </w:pPr>
      <w:r w:rsidRPr="00F25AEB">
        <w:rPr>
          <w:b/>
          <w:lang w:val="fr-FR"/>
        </w:rPr>
        <w:t xml:space="preserve">Marchés de </w:t>
      </w:r>
      <w:r w:rsidR="00F61B08" w:rsidRPr="00F25AEB">
        <w:rPr>
          <w:b/>
          <w:lang w:val="fr-FR"/>
        </w:rPr>
        <w:t>Bien</w:t>
      </w:r>
      <w:r w:rsidRPr="00F25AEB">
        <w:rPr>
          <w:b/>
          <w:lang w:val="fr-FR"/>
        </w:rPr>
        <w:t>s</w:t>
      </w:r>
      <w:r w:rsidRPr="00F25AEB">
        <w:rPr>
          <w:lang w:val="fr-FR"/>
        </w:rPr>
        <w:t xml:space="preserve"> : </w:t>
      </w:r>
    </w:p>
    <w:p w14:paraId="7BC93077" w14:textId="626476BE" w:rsidR="006F1DD8" w:rsidRPr="00F25AEB" w:rsidRDefault="009F6C07" w:rsidP="002E774C">
      <w:pPr>
        <w:spacing w:after="120"/>
        <w:ind w:right="72"/>
        <w:jc w:val="both"/>
        <w:rPr>
          <w:lang w:val="fr-FR"/>
        </w:rPr>
      </w:pPr>
      <w:r w:rsidRPr="00F25AEB">
        <w:rPr>
          <w:lang w:val="fr-FR"/>
        </w:rPr>
        <w:t xml:space="preserve">La passation des marchés de </w:t>
      </w:r>
      <w:r w:rsidR="008B2C71" w:rsidRPr="00140487">
        <w:rPr>
          <w:lang w:val="fr-FR"/>
        </w:rPr>
        <w:t>Acquisition et Installation de mini station solaire de pompage d'eau; Acquisition de motopompe et pièces d</w:t>
      </w:r>
      <w:r w:rsidR="00C816BE" w:rsidRPr="00140487">
        <w:rPr>
          <w:lang w:val="fr-FR"/>
        </w:rPr>
        <w:t>é</w:t>
      </w:r>
      <w:r w:rsidR="008B2C71" w:rsidRPr="00140487">
        <w:rPr>
          <w:lang w:val="fr-FR"/>
        </w:rPr>
        <w:t>tach</w:t>
      </w:r>
      <w:r w:rsidR="00140487" w:rsidRPr="00140487">
        <w:rPr>
          <w:lang w:val="fr-FR"/>
        </w:rPr>
        <w:t>é</w:t>
      </w:r>
      <w:r w:rsidR="008B2C71" w:rsidRPr="00140487">
        <w:rPr>
          <w:lang w:val="fr-FR"/>
        </w:rPr>
        <w:t>es ; Acquisition équipement chaine de traitement des semences; Acquisition de semences de pré-base et de base pour le riz et le maïs avec l'INRAB; Acquisition de semences certifi</w:t>
      </w:r>
      <w:r w:rsidR="00140487">
        <w:rPr>
          <w:lang w:val="fr-FR"/>
        </w:rPr>
        <w:t>é</w:t>
      </w:r>
      <w:r w:rsidR="008B2C71" w:rsidRPr="00140487">
        <w:rPr>
          <w:lang w:val="fr-FR"/>
        </w:rPr>
        <w:t>es;  Acquisition des intrants agricoles avec le temps de réalisation du projet (accord cadre possible); Acquisition d'équipements pré et post-récolte Acquisition d'équipements de magasins; Acquisition d'un kit d'équipements de commercialisation ; Acquisition d'équipements de transformation du riz étuvé; Véhicules et motos; Bureau Papeterie, mobilier + groupe électrogène matériel</w:t>
      </w:r>
      <w:r w:rsidR="00C816BE" w:rsidRPr="00140487">
        <w:rPr>
          <w:lang w:val="fr-FR"/>
        </w:rPr>
        <w:t>s</w:t>
      </w:r>
      <w:r w:rsidR="008B2C71" w:rsidRPr="00140487">
        <w:rPr>
          <w:lang w:val="fr-FR"/>
        </w:rPr>
        <w:t xml:space="preserve"> informatique</w:t>
      </w:r>
      <w:r w:rsidR="00C816BE" w:rsidRPr="00140487">
        <w:rPr>
          <w:lang w:val="fr-FR"/>
        </w:rPr>
        <w:t>s</w:t>
      </w:r>
      <w:r w:rsidR="008B2C71" w:rsidRPr="00140487">
        <w:rPr>
          <w:lang w:val="fr-FR"/>
        </w:rPr>
        <w:t xml:space="preserve">, logiciels </w:t>
      </w:r>
      <w:r w:rsidRPr="00F25AEB">
        <w:rPr>
          <w:lang w:val="fr-FR"/>
        </w:rPr>
        <w:t>sera effectué</w:t>
      </w:r>
      <w:r w:rsidR="00F61B08" w:rsidRPr="00F25AEB">
        <w:rPr>
          <w:lang w:val="fr-FR"/>
        </w:rPr>
        <w:t>e</w:t>
      </w:r>
      <w:r w:rsidRPr="00F25AEB">
        <w:rPr>
          <w:lang w:val="fr-FR"/>
        </w:rPr>
        <w:t xml:space="preserve"> par </w:t>
      </w:r>
      <w:r w:rsidR="008B2C71" w:rsidRPr="00F25AEB">
        <w:rPr>
          <w:i/>
          <w:lang w:val="fr-FR"/>
        </w:rPr>
        <w:t>le</w:t>
      </w:r>
      <w:r w:rsidR="006F1DD8" w:rsidRPr="00F25AEB">
        <w:rPr>
          <w:i/>
          <w:lang w:val="fr-FR"/>
        </w:rPr>
        <w:t xml:space="preserve">s méthodes </w:t>
      </w:r>
      <w:r w:rsidR="00F61B08" w:rsidRPr="00F25AEB">
        <w:rPr>
          <w:i/>
          <w:lang w:val="fr-FR"/>
        </w:rPr>
        <w:t>d’acquisition</w:t>
      </w:r>
      <w:r w:rsidR="008B2C71" w:rsidRPr="00F25AEB">
        <w:rPr>
          <w:lang w:val="fr-FR"/>
        </w:rPr>
        <w:t xml:space="preserve"> </w:t>
      </w:r>
      <w:r w:rsidR="00BC1B04">
        <w:rPr>
          <w:lang w:val="fr-FR"/>
        </w:rPr>
        <w:t>NCB</w:t>
      </w:r>
      <w:r w:rsidR="00BC1B04" w:rsidRPr="00F25AEB">
        <w:rPr>
          <w:lang w:val="fr-FR"/>
        </w:rPr>
        <w:t xml:space="preserve"> </w:t>
      </w:r>
      <w:r w:rsidR="008B2C71" w:rsidRPr="00F25AEB">
        <w:rPr>
          <w:lang w:val="fr-FR"/>
        </w:rPr>
        <w:t>(Appel d’Offre National) et entente directe (</w:t>
      </w:r>
      <w:r w:rsidR="008B2C71" w:rsidRPr="00140487">
        <w:rPr>
          <w:lang w:val="fr-FR"/>
        </w:rPr>
        <w:t>SSS)</w:t>
      </w:r>
      <w:r w:rsidR="007A5DC4">
        <w:rPr>
          <w:lang w:val="fr-FR"/>
        </w:rPr>
        <w:t>.</w:t>
      </w:r>
    </w:p>
    <w:p w14:paraId="7055467B" w14:textId="77777777" w:rsidR="00F61B08" w:rsidRPr="00F25AEB" w:rsidRDefault="00F61B08" w:rsidP="00F61B08">
      <w:pPr>
        <w:spacing w:after="120"/>
        <w:ind w:right="72"/>
        <w:rPr>
          <w:lang w:val="fr-FR"/>
        </w:rPr>
      </w:pPr>
      <w:r w:rsidRPr="00F25AEB">
        <w:rPr>
          <w:b/>
          <w:lang w:val="fr-FR"/>
        </w:rPr>
        <w:t>Marchés de Travaux</w:t>
      </w:r>
      <w:r w:rsidRPr="00F25AEB">
        <w:rPr>
          <w:lang w:val="fr-FR"/>
        </w:rPr>
        <w:t xml:space="preserve"> : </w:t>
      </w:r>
    </w:p>
    <w:p w14:paraId="127DC343" w14:textId="432C4AB6" w:rsidR="00F61B08" w:rsidRPr="00F25AEB" w:rsidRDefault="00F61B08" w:rsidP="00424933">
      <w:pPr>
        <w:jc w:val="both"/>
        <w:rPr>
          <w:lang w:val="fr-FR"/>
        </w:rPr>
      </w:pPr>
      <w:r w:rsidRPr="00F25AEB">
        <w:rPr>
          <w:lang w:val="fr-FR"/>
        </w:rPr>
        <w:t xml:space="preserve">La passation des marchés de </w:t>
      </w:r>
      <w:r w:rsidR="00424933" w:rsidRPr="00F25AEB">
        <w:rPr>
          <w:lang w:val="fr-FR"/>
        </w:rPr>
        <w:t xml:space="preserve">travaux (Aménagement des terrains : Aménagement de 100 ha de bas-fonds, Aménagement de terres avec puits tubulaires par maîtrise totale de l'eau, Aménagement de terres aval avec système d'irrigation californien ; Réhabilitation des infrastructures y compris (retenue d'eau et routes de desserte); Construction d'entrepôts de stockage, Construction de laboratoires d'analyses de semences et plants; Construction d'un complexe de transformation du riz, Construction de zones sèches, Construction de 12 plateformes commerciales ) </w:t>
      </w:r>
      <w:r w:rsidRPr="00F25AEB">
        <w:rPr>
          <w:lang w:val="fr-FR"/>
        </w:rPr>
        <w:t xml:space="preserve">sera effectuée par </w:t>
      </w:r>
      <w:r w:rsidR="00424933" w:rsidRPr="00F25AEB">
        <w:rPr>
          <w:lang w:val="fr-FR"/>
        </w:rPr>
        <w:t>la méthode</w:t>
      </w:r>
      <w:r w:rsidRPr="00F25AEB">
        <w:rPr>
          <w:lang w:val="fr-FR"/>
        </w:rPr>
        <w:t xml:space="preserve"> d’acquisition</w:t>
      </w:r>
      <w:r w:rsidR="00424933" w:rsidRPr="00F25AEB">
        <w:rPr>
          <w:lang w:val="fr-FR"/>
        </w:rPr>
        <w:t xml:space="preserve"> : </w:t>
      </w:r>
      <w:r w:rsidR="00A338A9">
        <w:rPr>
          <w:lang w:val="fr-FR"/>
        </w:rPr>
        <w:t>NCB</w:t>
      </w:r>
      <w:r w:rsidR="00A338A9" w:rsidRPr="00F25AEB">
        <w:rPr>
          <w:lang w:val="fr-FR"/>
        </w:rPr>
        <w:t xml:space="preserve"> </w:t>
      </w:r>
      <w:r w:rsidR="00424933" w:rsidRPr="00F25AEB">
        <w:rPr>
          <w:lang w:val="fr-FR"/>
        </w:rPr>
        <w:t>(Appel d’Offre National)</w:t>
      </w:r>
      <w:r w:rsidR="007A5DC4">
        <w:rPr>
          <w:lang w:val="fr-FR"/>
        </w:rPr>
        <w:t>.</w:t>
      </w:r>
    </w:p>
    <w:p w14:paraId="7DB8AE70" w14:textId="77777777" w:rsidR="00424933" w:rsidRPr="00F25AEB" w:rsidRDefault="00424933" w:rsidP="00424933">
      <w:pPr>
        <w:jc w:val="both"/>
        <w:rPr>
          <w:b/>
          <w:lang w:val="fr-FR"/>
        </w:rPr>
      </w:pPr>
    </w:p>
    <w:p w14:paraId="3108FB5F" w14:textId="77777777" w:rsidR="00F61B08" w:rsidRPr="00F25AEB" w:rsidRDefault="00F61B08" w:rsidP="00F61B08">
      <w:pPr>
        <w:spacing w:after="120"/>
        <w:ind w:right="72"/>
        <w:rPr>
          <w:lang w:val="fr-FR"/>
        </w:rPr>
      </w:pPr>
      <w:r w:rsidRPr="00F25AEB">
        <w:rPr>
          <w:b/>
          <w:lang w:val="fr-FR"/>
        </w:rPr>
        <w:t>Sélection de Consultants</w:t>
      </w:r>
      <w:r w:rsidRPr="00F25AEB">
        <w:rPr>
          <w:lang w:val="fr-FR"/>
        </w:rPr>
        <w:t xml:space="preserve"> : </w:t>
      </w:r>
    </w:p>
    <w:p w14:paraId="40A02894" w14:textId="77777777" w:rsidR="00F61B08" w:rsidRDefault="00F61B08" w:rsidP="00EB73AE">
      <w:pPr>
        <w:jc w:val="both"/>
        <w:rPr>
          <w:lang w:val="fr-FR"/>
        </w:rPr>
      </w:pPr>
      <w:r w:rsidRPr="00F25AEB">
        <w:rPr>
          <w:lang w:val="fr-FR"/>
        </w:rPr>
        <w:t xml:space="preserve">Les Services de consultants pour </w:t>
      </w:r>
      <w:r w:rsidR="00424933" w:rsidRPr="00F25AEB">
        <w:rPr>
          <w:lang w:val="fr-FR"/>
        </w:rPr>
        <w:t xml:space="preserve">les </w:t>
      </w:r>
      <w:r w:rsidR="00424933" w:rsidRPr="00021A23">
        <w:rPr>
          <w:lang w:val="fr-FR"/>
        </w:rPr>
        <w:t xml:space="preserve">Services de conseil (supervision); Recrutement en agence de communication; Études de base du projet; Service de conseil pour l'évaluation à mi-parcours du projet; Service de consultant pour l'évaluation finale du projet; </w:t>
      </w:r>
      <w:r w:rsidR="00424933" w:rsidRPr="00021A23">
        <w:rPr>
          <w:rFonts w:eastAsiaTheme="majorEastAsia"/>
          <w:lang w:val="fr-FR"/>
        </w:rPr>
        <w:t xml:space="preserve">Partenaires techniques et assistance à la mise en œuvre (ATDA); Partenaires techniques et support à la mise en œuvre DCAIFE) Partenaires techniques et support à la mise en œuvre (DLROPEA); </w:t>
      </w:r>
      <w:r w:rsidR="00424933" w:rsidRPr="00021A23">
        <w:rPr>
          <w:bCs/>
          <w:lang w:val="fr-FR"/>
        </w:rPr>
        <w:t xml:space="preserve">Consultant : Formation en entrepreneuriat agricole ; </w:t>
      </w:r>
      <w:r w:rsidR="00424933" w:rsidRPr="00021A23">
        <w:rPr>
          <w:lang w:val="fr-FR"/>
        </w:rPr>
        <w:t xml:space="preserve">Formation aux techniques agricoles; </w:t>
      </w:r>
      <w:r w:rsidR="00424933" w:rsidRPr="00F25AEB">
        <w:rPr>
          <w:lang w:val="fr-FR"/>
        </w:rPr>
        <w:t xml:space="preserve">Recrutement du personnel de l'UGP (spécialiste des achats, coordinateur, etc.) ; </w:t>
      </w:r>
      <w:r w:rsidR="00424933" w:rsidRPr="00021A23">
        <w:rPr>
          <w:lang w:val="fr-FR"/>
        </w:rPr>
        <w:t xml:space="preserve">Auditeur Financier , </w:t>
      </w:r>
      <w:r w:rsidRPr="00F25AEB">
        <w:rPr>
          <w:lang w:val="fr-FR"/>
        </w:rPr>
        <w:t xml:space="preserve">seront acquis par une mise en concurrence utilisant la méthode </w:t>
      </w:r>
      <w:proofErr w:type="spellStart"/>
      <w:r w:rsidR="00EB73AE" w:rsidRPr="00021A23">
        <w:rPr>
          <w:snapToGrid w:val="0"/>
          <w:lang w:val="fr-FR"/>
        </w:rPr>
        <w:t>Quality</w:t>
      </w:r>
      <w:proofErr w:type="spellEnd"/>
      <w:r w:rsidR="00EB73AE" w:rsidRPr="00021A23">
        <w:rPr>
          <w:snapToGrid w:val="0"/>
          <w:lang w:val="fr-FR"/>
        </w:rPr>
        <w:t xml:space="preserve"> and </w:t>
      </w:r>
      <w:proofErr w:type="spellStart"/>
      <w:r w:rsidR="00EB73AE" w:rsidRPr="00021A23">
        <w:rPr>
          <w:snapToGrid w:val="0"/>
          <w:lang w:val="fr-FR"/>
        </w:rPr>
        <w:t>Cost-Based</w:t>
      </w:r>
      <w:proofErr w:type="spellEnd"/>
      <w:r w:rsidR="00EB73AE" w:rsidRPr="00021A23">
        <w:rPr>
          <w:snapToGrid w:val="0"/>
          <w:lang w:val="fr-FR"/>
        </w:rPr>
        <w:t xml:space="preserve"> </w:t>
      </w:r>
      <w:proofErr w:type="spellStart"/>
      <w:r w:rsidR="00EB73AE" w:rsidRPr="00021A23">
        <w:rPr>
          <w:snapToGrid w:val="0"/>
          <w:lang w:val="fr-FR"/>
        </w:rPr>
        <w:t>Selection</w:t>
      </w:r>
      <w:proofErr w:type="spellEnd"/>
      <w:r w:rsidR="00EB73AE" w:rsidRPr="00021A23">
        <w:rPr>
          <w:snapToGrid w:val="0"/>
          <w:lang w:val="fr-FR"/>
        </w:rPr>
        <w:t xml:space="preserve"> (QCBS)</w:t>
      </w:r>
      <w:r w:rsidR="00424933" w:rsidRPr="00021A23">
        <w:rPr>
          <w:lang w:val="fr-FR"/>
        </w:rPr>
        <w:t>/</w:t>
      </w:r>
      <w:r w:rsidR="00424933" w:rsidRPr="00A804B3">
        <w:rPr>
          <w:lang w:val="fr-FR"/>
        </w:rPr>
        <w:t>LC;</w:t>
      </w:r>
      <w:r w:rsidRPr="00A804B3">
        <w:rPr>
          <w:lang w:val="fr-FR"/>
        </w:rPr>
        <w:t xml:space="preserve"> </w:t>
      </w:r>
      <w:r w:rsidR="00125A02" w:rsidRPr="00A804B3">
        <w:rPr>
          <w:lang w:val="fr-FR"/>
        </w:rPr>
        <w:t>entente directe (</w:t>
      </w:r>
      <w:r w:rsidR="00424933" w:rsidRPr="00A804B3">
        <w:rPr>
          <w:lang w:val="fr-FR"/>
        </w:rPr>
        <w:t>SSS</w:t>
      </w:r>
      <w:r w:rsidR="00125A02" w:rsidRPr="00A804B3">
        <w:rPr>
          <w:lang w:val="fr-FR"/>
        </w:rPr>
        <w:t>)</w:t>
      </w:r>
      <w:r w:rsidR="00424933" w:rsidRPr="00A804B3">
        <w:rPr>
          <w:lang w:val="fr-FR"/>
        </w:rPr>
        <w:t xml:space="preserve">; IC/LC et </w:t>
      </w:r>
      <w:r w:rsidR="00EB73AE" w:rsidRPr="00A804B3">
        <w:rPr>
          <w:lang w:val="fr-FR"/>
        </w:rPr>
        <w:t xml:space="preserve">Least </w:t>
      </w:r>
      <w:proofErr w:type="spellStart"/>
      <w:r w:rsidR="00EB73AE" w:rsidRPr="00A804B3">
        <w:rPr>
          <w:lang w:val="fr-FR"/>
        </w:rPr>
        <w:t>Cost</w:t>
      </w:r>
      <w:proofErr w:type="spellEnd"/>
      <w:r w:rsidR="00EB73AE" w:rsidRPr="00A804B3">
        <w:rPr>
          <w:lang w:val="fr-FR"/>
        </w:rPr>
        <w:t xml:space="preserve"> </w:t>
      </w:r>
      <w:proofErr w:type="spellStart"/>
      <w:r w:rsidR="00EB73AE" w:rsidRPr="00A804B3">
        <w:rPr>
          <w:lang w:val="fr-FR"/>
        </w:rPr>
        <w:t>Selection</w:t>
      </w:r>
      <w:proofErr w:type="spellEnd"/>
      <w:r w:rsidR="00EB73AE" w:rsidRPr="00A804B3">
        <w:rPr>
          <w:lang w:val="fr-FR"/>
        </w:rPr>
        <w:t xml:space="preserve"> (LCS)</w:t>
      </w:r>
      <w:r w:rsidR="00424933" w:rsidRPr="00A804B3">
        <w:rPr>
          <w:lang w:val="fr-FR"/>
        </w:rPr>
        <w:t xml:space="preserve">/LC </w:t>
      </w:r>
      <w:r w:rsidRPr="00A804B3">
        <w:rPr>
          <w:lang w:val="fr-FR"/>
        </w:rPr>
        <w:t>des consultants (</w:t>
      </w:r>
      <w:r w:rsidRPr="00A804B3">
        <w:rPr>
          <w:i/>
          <w:lang w:val="fr-FR"/>
        </w:rPr>
        <w:t>choisir :</w:t>
      </w:r>
      <w:r w:rsidRPr="00A804B3">
        <w:rPr>
          <w:lang w:val="fr-FR"/>
        </w:rPr>
        <w:t xml:space="preserve"> </w:t>
      </w:r>
      <w:r w:rsidRPr="00A804B3">
        <w:rPr>
          <w:i/>
          <w:lang w:val="fr-FR"/>
        </w:rPr>
        <w:t>nationaux, internationaux ou provenant des pays membres de la BID</w:t>
      </w:r>
      <w:r w:rsidRPr="00A804B3">
        <w:rPr>
          <w:lang w:val="fr-FR"/>
        </w:rPr>
        <w:t>) retenus sur la liste restreinte.</w:t>
      </w:r>
    </w:p>
    <w:p w14:paraId="5B419107" w14:textId="77777777" w:rsidR="00F25AEB" w:rsidRPr="00F25AEB" w:rsidRDefault="00F25AEB" w:rsidP="00EB73AE">
      <w:pPr>
        <w:jc w:val="both"/>
        <w:rPr>
          <w:lang w:val="fr-FR"/>
        </w:rPr>
      </w:pPr>
    </w:p>
    <w:p w14:paraId="7FF3C613" w14:textId="0DE358A3" w:rsidR="00070BB7" w:rsidRPr="00F25AEB" w:rsidRDefault="00070BB7" w:rsidP="00070BB7">
      <w:pPr>
        <w:spacing w:after="120"/>
        <w:ind w:right="72"/>
        <w:jc w:val="both"/>
        <w:rPr>
          <w:lang w:val="fr-FR"/>
        </w:rPr>
      </w:pPr>
      <w:r w:rsidRPr="00F938D9">
        <w:rPr>
          <w:rFonts w:ascii="CG Times" w:hAnsi="CG Times"/>
          <w:lang w:val="fr-FR"/>
        </w:rPr>
        <w:t>Les avis spécifiques de passation des marchés</w:t>
      </w:r>
      <w:r>
        <w:rPr>
          <w:rFonts w:ascii="CG Times" w:hAnsi="CG Times"/>
          <w:lang w:val="fr-FR"/>
        </w:rPr>
        <w:t xml:space="preserve"> pour les acquisitions à effectuer par Appel d’Offres International (AOI) ou Appel d’Offres International réservé aux pays membres (AOI/PM) et les appels à manifestations d’intérêt pour les services de consultants seront publiés au fur et à mesure qu’ils seront disponibles, sur le site internet de la </w:t>
      </w:r>
      <w:proofErr w:type="spellStart"/>
      <w:r>
        <w:rPr>
          <w:rFonts w:ascii="CG Times" w:hAnsi="CG Times"/>
          <w:lang w:val="fr-FR"/>
        </w:rPr>
        <w:t>BIsD</w:t>
      </w:r>
      <w:proofErr w:type="spellEnd"/>
      <w:r w:rsidR="00F9413A">
        <w:rPr>
          <w:rFonts w:ascii="CG Times" w:hAnsi="CG Times"/>
          <w:lang w:val="fr-FR"/>
        </w:rPr>
        <w:t>, sur le portail des marchés-publics du Bénin (www.marchés-publics.bj), le journal des marchés publics du Bénin, le journal la Nation et/ou le journal LE MATINAL.</w:t>
      </w:r>
    </w:p>
    <w:p w14:paraId="79850A94" w14:textId="77777777" w:rsidR="00070BB7" w:rsidRDefault="00070BB7" w:rsidP="002E774C">
      <w:pPr>
        <w:spacing w:after="120"/>
        <w:ind w:right="72"/>
        <w:jc w:val="both"/>
        <w:rPr>
          <w:lang w:val="fr-FR"/>
        </w:rPr>
      </w:pPr>
    </w:p>
    <w:p w14:paraId="7D659C85" w14:textId="77777777" w:rsidR="00F61B08" w:rsidRPr="00F25AEB" w:rsidRDefault="00F61B08" w:rsidP="002E774C">
      <w:pPr>
        <w:spacing w:after="120"/>
        <w:ind w:right="72"/>
        <w:jc w:val="both"/>
        <w:rPr>
          <w:i/>
          <w:lang w:val="fr-FR"/>
        </w:rPr>
      </w:pPr>
      <w:r w:rsidRPr="00F25AEB">
        <w:rPr>
          <w:lang w:val="fr-FR"/>
        </w:rPr>
        <w:lastRenderedPageBreak/>
        <w:t xml:space="preserve">Les candidats intéressés peuvent obtenir des renseignements </w:t>
      </w:r>
      <w:r w:rsidR="00992D95" w:rsidRPr="00F25AEB">
        <w:rPr>
          <w:lang w:val="fr-FR"/>
        </w:rPr>
        <w:t>sup</w:t>
      </w:r>
      <w:r w:rsidRPr="00F25AEB">
        <w:rPr>
          <w:lang w:val="fr-FR"/>
        </w:rPr>
        <w:t>plémentaires et doivent confirmer leur intérêt par écrit auprès de :</w:t>
      </w:r>
    </w:p>
    <w:p w14:paraId="3E32987F" w14:textId="77777777" w:rsidR="00F61B08" w:rsidRPr="00F25AEB" w:rsidRDefault="00992D95">
      <w:pPr>
        <w:ind w:right="72"/>
        <w:rPr>
          <w:i/>
          <w:lang w:val="fr-FR"/>
        </w:rPr>
      </w:pPr>
      <w:r w:rsidRPr="00F25AEB">
        <w:rPr>
          <w:i/>
          <w:lang w:val="fr-FR"/>
        </w:rPr>
        <w:t>Nom de la personne à contacter</w:t>
      </w:r>
      <w:r w:rsidR="008B2C71" w:rsidRPr="00F25AEB">
        <w:rPr>
          <w:i/>
          <w:lang w:val="fr-FR"/>
        </w:rPr>
        <w:t> : HOUNYO Florent</w:t>
      </w:r>
    </w:p>
    <w:p w14:paraId="3611157B" w14:textId="77777777" w:rsidR="00992D95" w:rsidRPr="00F25AEB" w:rsidRDefault="00992D95">
      <w:pPr>
        <w:ind w:right="72"/>
        <w:rPr>
          <w:i/>
          <w:lang w:val="fr-FR"/>
        </w:rPr>
      </w:pPr>
      <w:r w:rsidRPr="00F25AEB">
        <w:rPr>
          <w:i/>
          <w:lang w:val="fr-FR"/>
        </w:rPr>
        <w:t>Titre/fonction de la personne à contacter</w:t>
      </w:r>
      <w:r w:rsidR="008B2C71" w:rsidRPr="00F25AEB">
        <w:rPr>
          <w:i/>
          <w:lang w:val="fr-FR"/>
        </w:rPr>
        <w:t xml:space="preserve"> : Personne Responsable des Marchés </w:t>
      </w:r>
      <w:r w:rsidR="00A60C5F" w:rsidRPr="00F25AEB">
        <w:rPr>
          <w:i/>
          <w:lang w:val="fr-FR"/>
        </w:rPr>
        <w:t>Publics de l’Agence d’exécution</w:t>
      </w:r>
    </w:p>
    <w:p w14:paraId="4871E540" w14:textId="77777777" w:rsidR="00992D95" w:rsidRPr="00F25AEB" w:rsidRDefault="00992D95">
      <w:pPr>
        <w:ind w:right="72"/>
        <w:rPr>
          <w:i/>
          <w:lang w:val="fr-FR"/>
        </w:rPr>
      </w:pPr>
      <w:r w:rsidRPr="00F25AEB">
        <w:rPr>
          <w:i/>
          <w:lang w:val="fr-FR"/>
        </w:rPr>
        <w:t>Nom de l’Organisme</w:t>
      </w:r>
      <w:r w:rsidR="00A60C5F" w:rsidRPr="00F25AEB">
        <w:rPr>
          <w:i/>
          <w:lang w:val="fr-FR"/>
        </w:rPr>
        <w:t> : Ministère de l’Agriculture, de l’Elevage et de la Pêche (MAEP)</w:t>
      </w:r>
    </w:p>
    <w:p w14:paraId="5474B2B9" w14:textId="77777777" w:rsidR="00992D95" w:rsidRPr="00F25AEB" w:rsidRDefault="00992D95">
      <w:pPr>
        <w:ind w:right="72"/>
        <w:rPr>
          <w:i/>
          <w:lang w:val="fr-FR"/>
        </w:rPr>
      </w:pPr>
      <w:r w:rsidRPr="00F25AEB">
        <w:rPr>
          <w:i/>
          <w:lang w:val="fr-FR"/>
        </w:rPr>
        <w:t>Téléphone</w:t>
      </w:r>
      <w:r w:rsidR="00F25AEB" w:rsidRPr="00F25AEB">
        <w:rPr>
          <w:i/>
          <w:lang w:val="fr-FR"/>
        </w:rPr>
        <w:t xml:space="preserve"> : </w:t>
      </w:r>
      <w:r w:rsidR="00A60C5F" w:rsidRPr="00F25AEB">
        <w:rPr>
          <w:i/>
          <w:lang w:val="fr-FR"/>
        </w:rPr>
        <w:t>(229) 21 30 04 96</w:t>
      </w:r>
    </w:p>
    <w:p w14:paraId="1BF94152" w14:textId="77777777" w:rsidR="00992D95" w:rsidRPr="00F25AEB" w:rsidRDefault="00992D95">
      <w:pPr>
        <w:ind w:right="72"/>
        <w:rPr>
          <w:i/>
          <w:lang w:val="fr-FR"/>
        </w:rPr>
      </w:pPr>
      <w:r w:rsidRPr="00F25AEB">
        <w:rPr>
          <w:i/>
          <w:lang w:val="fr-FR"/>
        </w:rPr>
        <w:t>Télécopie</w:t>
      </w:r>
      <w:r w:rsidR="00F25AEB" w:rsidRPr="00F25AEB">
        <w:rPr>
          <w:i/>
          <w:lang w:val="fr-FR"/>
        </w:rPr>
        <w:t xml:space="preserve"> : </w:t>
      </w:r>
      <w:r w:rsidR="00A60C5F" w:rsidRPr="00F25AEB">
        <w:rPr>
          <w:i/>
          <w:lang w:val="fr-FR"/>
        </w:rPr>
        <w:t>(229) 21 30 03 26</w:t>
      </w:r>
    </w:p>
    <w:p w14:paraId="444B9FA9" w14:textId="153B1358" w:rsidR="00992D95" w:rsidRPr="00F25AEB" w:rsidRDefault="00992D95">
      <w:pPr>
        <w:ind w:right="72"/>
        <w:rPr>
          <w:i/>
          <w:lang w:val="fr-FR"/>
        </w:rPr>
      </w:pPr>
      <w:r w:rsidRPr="00F25AEB">
        <w:rPr>
          <w:i/>
          <w:lang w:val="fr-FR"/>
        </w:rPr>
        <w:t>Courriel</w:t>
      </w:r>
      <w:r w:rsidR="00A60C5F" w:rsidRPr="00F25AEB">
        <w:rPr>
          <w:i/>
          <w:lang w:val="fr-FR"/>
        </w:rPr>
        <w:t xml:space="preserve"> prmpmaep2019@yahoo.</w:t>
      </w:r>
      <w:r w:rsidR="00C816BE">
        <w:rPr>
          <w:i/>
          <w:lang w:val="fr-FR"/>
        </w:rPr>
        <w:t>com</w:t>
      </w:r>
    </w:p>
    <w:p w14:paraId="2438EB11" w14:textId="77777777" w:rsidR="00992D95" w:rsidRPr="00F25AEB" w:rsidRDefault="00992D95" w:rsidP="002E774C">
      <w:pPr>
        <w:spacing w:after="120"/>
        <w:ind w:right="72"/>
        <w:rPr>
          <w:i/>
          <w:lang w:val="fr-FR"/>
        </w:rPr>
      </w:pPr>
      <w:r w:rsidRPr="00F25AEB">
        <w:rPr>
          <w:i/>
          <w:lang w:val="fr-FR"/>
        </w:rPr>
        <w:t>Site internet</w:t>
      </w:r>
      <w:r w:rsidR="00A60C5F" w:rsidRPr="00F25AEB">
        <w:rPr>
          <w:i/>
          <w:lang w:val="fr-FR"/>
        </w:rPr>
        <w:t xml:space="preserve"> </w:t>
      </w:r>
    </w:p>
    <w:p w14:paraId="369EA865" w14:textId="77777777" w:rsidR="00992D95" w:rsidRDefault="00992D95" w:rsidP="00992D95">
      <w:pPr>
        <w:ind w:right="72"/>
        <w:jc w:val="both"/>
        <w:rPr>
          <w:lang w:val="fr-FR"/>
        </w:rPr>
      </w:pPr>
      <w:r w:rsidRPr="00F25AEB">
        <w:rPr>
          <w:b/>
          <w:lang w:val="fr-FR"/>
        </w:rPr>
        <w:t>Veuillez noter</w:t>
      </w:r>
      <w:r w:rsidRPr="00F25AEB">
        <w:rPr>
          <w:lang w:val="fr-FR"/>
        </w:rPr>
        <w:t xml:space="preserve"> que les candidats soumissionnaires souhaitant obtenir des renseignements supplémentaires sur les acquisitions en cause ou sur le projet en général doivent, sauf mention contraire, prendre contact avec l’organisme en charge du projet et non la BID.</w:t>
      </w:r>
    </w:p>
    <w:p w14:paraId="7FAEED86" w14:textId="77777777" w:rsidR="00F25AEB" w:rsidRDefault="00F25AEB" w:rsidP="00992D95">
      <w:pPr>
        <w:ind w:right="72"/>
        <w:jc w:val="both"/>
        <w:rPr>
          <w:lang w:val="fr-FR"/>
        </w:rPr>
      </w:pPr>
    </w:p>
    <w:p w14:paraId="74DB2EC7" w14:textId="77777777" w:rsidR="00F25AEB" w:rsidRDefault="00F25AEB" w:rsidP="00992D95">
      <w:pPr>
        <w:ind w:right="72"/>
        <w:jc w:val="both"/>
        <w:rPr>
          <w:lang w:val="fr-FR"/>
        </w:rPr>
      </w:pPr>
    </w:p>
    <w:p w14:paraId="179E874D" w14:textId="77777777" w:rsidR="00F25AEB" w:rsidRDefault="00F25AEB" w:rsidP="00992D95">
      <w:pPr>
        <w:ind w:right="72"/>
        <w:jc w:val="both"/>
        <w:rPr>
          <w:lang w:val="fr-FR"/>
        </w:rPr>
      </w:pPr>
    </w:p>
    <w:p w14:paraId="37B943F4" w14:textId="77777777" w:rsidR="00F25AEB" w:rsidRDefault="00F25AEB" w:rsidP="00992D95">
      <w:pPr>
        <w:ind w:right="72"/>
        <w:jc w:val="both"/>
        <w:rPr>
          <w:lang w:val="fr-FR"/>
        </w:rPr>
      </w:pPr>
    </w:p>
    <w:p w14:paraId="5970BD35" w14:textId="77777777" w:rsidR="00F25AEB" w:rsidRDefault="00F25AEB" w:rsidP="00992D95">
      <w:pPr>
        <w:ind w:right="72"/>
        <w:jc w:val="both"/>
        <w:rPr>
          <w:lang w:val="fr-FR"/>
        </w:rPr>
      </w:pPr>
    </w:p>
    <w:p w14:paraId="551784BA" w14:textId="77777777" w:rsidR="00F25AEB" w:rsidRDefault="00F25AEB" w:rsidP="00992D95">
      <w:pPr>
        <w:ind w:right="72"/>
        <w:jc w:val="both"/>
        <w:rPr>
          <w:lang w:val="fr-FR"/>
        </w:rPr>
      </w:pPr>
    </w:p>
    <w:p w14:paraId="024BB1AF" w14:textId="77777777" w:rsidR="00F25AEB" w:rsidRPr="00A779CA" w:rsidRDefault="00A779CA" w:rsidP="00A779CA">
      <w:pPr>
        <w:ind w:right="72"/>
        <w:jc w:val="center"/>
        <w:rPr>
          <w:b/>
          <w:u w:val="single"/>
          <w:lang w:val="fr-FR"/>
        </w:rPr>
      </w:pPr>
      <w:r w:rsidRPr="00A779CA">
        <w:rPr>
          <w:b/>
          <w:lang w:val="fr-FR"/>
        </w:rPr>
        <w:t xml:space="preserve">                                                            </w:t>
      </w:r>
      <w:r w:rsidR="00F25AEB" w:rsidRPr="00A779CA">
        <w:rPr>
          <w:b/>
          <w:u w:val="single"/>
          <w:lang w:val="fr-FR"/>
        </w:rPr>
        <w:t>Florent HOUNYO</w:t>
      </w:r>
    </w:p>
    <w:p w14:paraId="2CEC3F72" w14:textId="77777777" w:rsidR="00F25AEB" w:rsidRPr="00F25AEB" w:rsidRDefault="00F25AEB" w:rsidP="00A779CA">
      <w:pPr>
        <w:ind w:right="72"/>
        <w:jc w:val="right"/>
        <w:rPr>
          <w:lang w:val="fr-FR"/>
        </w:rPr>
      </w:pPr>
      <w:r>
        <w:rPr>
          <w:lang w:val="fr-FR"/>
        </w:rPr>
        <w:t>Personne Responsable des Marchés Publics</w:t>
      </w:r>
    </w:p>
    <w:sectPr w:rsidR="00F25AEB" w:rsidRPr="00F25AEB">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7891" w14:textId="77777777" w:rsidR="007859F5" w:rsidRDefault="007859F5">
      <w:r>
        <w:separator/>
      </w:r>
    </w:p>
  </w:endnote>
  <w:endnote w:type="continuationSeparator" w:id="0">
    <w:p w14:paraId="328843AB" w14:textId="77777777" w:rsidR="007859F5" w:rsidRDefault="007859F5">
      <w:r>
        <w:continuationSeparator/>
      </w:r>
    </w:p>
  </w:endnote>
  <w:endnote w:type="continuationNotice" w:id="1">
    <w:p w14:paraId="6D28B1FE" w14:textId="77777777" w:rsidR="007859F5" w:rsidRDefault="00785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masis MT Pro">
    <w:charset w:val="00"/>
    <w:family w:val="roman"/>
    <w:pitch w:val="variable"/>
    <w:sig w:usb0="A00000AF" w:usb1="4000205B" w:usb2="00000000" w:usb3="00000000" w:csb0="00000093" w:csb1="00000000"/>
  </w:font>
  <w:font w:name="Roboto Light">
    <w:altName w:val="Roboto Ligh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5D1D" w14:textId="77777777" w:rsidR="007859F5" w:rsidRDefault="007859F5">
      <w:r>
        <w:separator/>
      </w:r>
    </w:p>
  </w:footnote>
  <w:footnote w:type="continuationSeparator" w:id="0">
    <w:p w14:paraId="5847A5E0" w14:textId="77777777" w:rsidR="007859F5" w:rsidRDefault="007859F5">
      <w:r>
        <w:continuationSeparator/>
      </w:r>
    </w:p>
  </w:footnote>
  <w:footnote w:type="continuationNotice" w:id="1">
    <w:p w14:paraId="2E7280D4" w14:textId="77777777" w:rsidR="007859F5" w:rsidRDefault="007859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453"/>
    <w:multiLevelType w:val="hybridMultilevel"/>
    <w:tmpl w:val="320C49F2"/>
    <w:lvl w:ilvl="0" w:tplc="5A96B0F6">
      <w:start w:val="1"/>
      <w:numFmt w:val="decimal"/>
      <w:lvlText w:val="%1."/>
      <w:lvlJc w:val="left"/>
      <w:pPr>
        <w:ind w:left="360" w:hanging="360"/>
      </w:pPr>
    </w:lvl>
    <w:lvl w:ilvl="1" w:tplc="4D06452A">
      <w:start w:val="1"/>
      <w:numFmt w:val="lowerLetter"/>
      <w:lvlText w:val="%2."/>
      <w:lvlJc w:val="left"/>
      <w:pPr>
        <w:ind w:left="1440" w:hanging="360"/>
      </w:pPr>
    </w:lvl>
    <w:lvl w:ilvl="2" w:tplc="BBC4CBBA">
      <w:start w:val="1"/>
      <w:numFmt w:val="lowerRoman"/>
      <w:lvlText w:val="%3."/>
      <w:lvlJc w:val="right"/>
      <w:pPr>
        <w:ind w:left="2160" w:hanging="180"/>
      </w:pPr>
    </w:lvl>
    <w:lvl w:ilvl="3" w:tplc="331AF432">
      <w:start w:val="1"/>
      <w:numFmt w:val="decimal"/>
      <w:lvlText w:val="%4."/>
      <w:lvlJc w:val="left"/>
      <w:pPr>
        <w:ind w:left="2880" w:hanging="360"/>
      </w:pPr>
    </w:lvl>
    <w:lvl w:ilvl="4" w:tplc="C540B744">
      <w:start w:val="1"/>
      <w:numFmt w:val="lowerLetter"/>
      <w:lvlText w:val="%5."/>
      <w:lvlJc w:val="left"/>
      <w:pPr>
        <w:ind w:left="3600" w:hanging="360"/>
      </w:pPr>
    </w:lvl>
    <w:lvl w:ilvl="5" w:tplc="53369BC4">
      <w:start w:val="1"/>
      <w:numFmt w:val="lowerRoman"/>
      <w:lvlText w:val="%6."/>
      <w:lvlJc w:val="right"/>
      <w:pPr>
        <w:ind w:left="4320" w:hanging="180"/>
      </w:pPr>
    </w:lvl>
    <w:lvl w:ilvl="6" w:tplc="228EF946">
      <w:start w:val="1"/>
      <w:numFmt w:val="decimal"/>
      <w:lvlText w:val="%7."/>
      <w:lvlJc w:val="left"/>
      <w:pPr>
        <w:ind w:left="5040" w:hanging="360"/>
      </w:pPr>
    </w:lvl>
    <w:lvl w:ilvl="7" w:tplc="9BB8888A">
      <w:start w:val="1"/>
      <w:numFmt w:val="lowerLetter"/>
      <w:lvlText w:val="%8."/>
      <w:lvlJc w:val="left"/>
      <w:pPr>
        <w:ind w:left="5760" w:hanging="360"/>
      </w:pPr>
    </w:lvl>
    <w:lvl w:ilvl="8" w:tplc="A2F6698A">
      <w:start w:val="1"/>
      <w:numFmt w:val="lowerRoman"/>
      <w:lvlText w:val="%9."/>
      <w:lvlJc w:val="right"/>
      <w:pPr>
        <w:ind w:left="6480" w:hanging="180"/>
      </w:pPr>
    </w:lvl>
  </w:abstractNum>
  <w:abstractNum w:abstractNumId="1" w15:restartNumberingAfterBreak="0">
    <w:nsid w:val="440A0808"/>
    <w:multiLevelType w:val="hybridMultilevel"/>
    <w:tmpl w:val="77E06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D"/>
    <w:rsid w:val="00021A23"/>
    <w:rsid w:val="00043428"/>
    <w:rsid w:val="00063B08"/>
    <w:rsid w:val="000676F2"/>
    <w:rsid w:val="00070BB7"/>
    <w:rsid w:val="00096F8C"/>
    <w:rsid w:val="000D7A27"/>
    <w:rsid w:val="00104A1F"/>
    <w:rsid w:val="00125A02"/>
    <w:rsid w:val="00140487"/>
    <w:rsid w:val="0014507E"/>
    <w:rsid w:val="001505BD"/>
    <w:rsid w:val="001A763D"/>
    <w:rsid w:val="001F4153"/>
    <w:rsid w:val="002215D9"/>
    <w:rsid w:val="002220C9"/>
    <w:rsid w:val="002B3EEA"/>
    <w:rsid w:val="002E207A"/>
    <w:rsid w:val="002E774C"/>
    <w:rsid w:val="0032157E"/>
    <w:rsid w:val="00367E30"/>
    <w:rsid w:val="00385812"/>
    <w:rsid w:val="00392F32"/>
    <w:rsid w:val="003A3B7B"/>
    <w:rsid w:val="003D4275"/>
    <w:rsid w:val="00406DAD"/>
    <w:rsid w:val="004074DE"/>
    <w:rsid w:val="00424933"/>
    <w:rsid w:val="00440805"/>
    <w:rsid w:val="00444939"/>
    <w:rsid w:val="00462676"/>
    <w:rsid w:val="00483F15"/>
    <w:rsid w:val="004E21CD"/>
    <w:rsid w:val="005B1798"/>
    <w:rsid w:val="005E658B"/>
    <w:rsid w:val="005F31A2"/>
    <w:rsid w:val="00641837"/>
    <w:rsid w:val="00652A09"/>
    <w:rsid w:val="00666A9C"/>
    <w:rsid w:val="006D7208"/>
    <w:rsid w:val="006F1DD8"/>
    <w:rsid w:val="00777925"/>
    <w:rsid w:val="007859F5"/>
    <w:rsid w:val="007A5DC4"/>
    <w:rsid w:val="007D64EC"/>
    <w:rsid w:val="007E5C93"/>
    <w:rsid w:val="00831554"/>
    <w:rsid w:val="0087137C"/>
    <w:rsid w:val="0088650B"/>
    <w:rsid w:val="008B2C71"/>
    <w:rsid w:val="00912919"/>
    <w:rsid w:val="00944E45"/>
    <w:rsid w:val="0095794F"/>
    <w:rsid w:val="00971321"/>
    <w:rsid w:val="00982111"/>
    <w:rsid w:val="00992D95"/>
    <w:rsid w:val="009B30C8"/>
    <w:rsid w:val="009B3A1C"/>
    <w:rsid w:val="009F6C07"/>
    <w:rsid w:val="00A2266C"/>
    <w:rsid w:val="00A22DA9"/>
    <w:rsid w:val="00A30714"/>
    <w:rsid w:val="00A338A9"/>
    <w:rsid w:val="00A57CFE"/>
    <w:rsid w:val="00A60C5F"/>
    <w:rsid w:val="00A779CA"/>
    <w:rsid w:val="00A804B3"/>
    <w:rsid w:val="00A911E7"/>
    <w:rsid w:val="00A91FF9"/>
    <w:rsid w:val="00AA435E"/>
    <w:rsid w:val="00B95DFB"/>
    <w:rsid w:val="00BB6C4E"/>
    <w:rsid w:val="00BC1B04"/>
    <w:rsid w:val="00C30C3D"/>
    <w:rsid w:val="00C47CDF"/>
    <w:rsid w:val="00C816BE"/>
    <w:rsid w:val="00C84440"/>
    <w:rsid w:val="00C902D4"/>
    <w:rsid w:val="00C94AD1"/>
    <w:rsid w:val="00CD40C8"/>
    <w:rsid w:val="00D12BAE"/>
    <w:rsid w:val="00D401D9"/>
    <w:rsid w:val="00D4629B"/>
    <w:rsid w:val="00DE332D"/>
    <w:rsid w:val="00DE67A8"/>
    <w:rsid w:val="00DF392B"/>
    <w:rsid w:val="00E8367F"/>
    <w:rsid w:val="00EB7173"/>
    <w:rsid w:val="00EB73AE"/>
    <w:rsid w:val="00EE363E"/>
    <w:rsid w:val="00F01A38"/>
    <w:rsid w:val="00F25AEB"/>
    <w:rsid w:val="00F34F77"/>
    <w:rsid w:val="00F50BB4"/>
    <w:rsid w:val="00F61B08"/>
    <w:rsid w:val="00F805E0"/>
    <w:rsid w:val="00F9413A"/>
    <w:rsid w:val="00FE46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B5B81D"/>
  <w15:docId w15:val="{6C5A956A-D52F-49DF-A69E-95BA582F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ListParagraph">
    <w:name w:val="List Paragraph"/>
    <w:aliases w:val="References,List Paragraph2,Text,Citation List,Bullets,List Paragraph nowy,List Paragraph (numbered (a)),sub-procedure,سرد الفقرات,lp1,Use Case List Paragraph,PAD,ADB paragraph numbering,List_Paragraph,Multilevel para_II,Ha,본문(내용)"/>
    <w:basedOn w:val="Normal"/>
    <w:link w:val="ListParagraphChar"/>
    <w:uiPriority w:val="34"/>
    <w:qFormat/>
    <w:rsid w:val="00777925"/>
    <w:pPr>
      <w:spacing w:after="200" w:line="276" w:lineRule="auto"/>
      <w:ind w:left="720"/>
      <w:contextualSpacing/>
    </w:pPr>
    <w:rPr>
      <w:rFonts w:ascii="Calibri" w:hAnsi="Calibri"/>
      <w:sz w:val="22"/>
      <w:szCs w:val="22"/>
    </w:rPr>
  </w:style>
  <w:style w:type="character" w:customStyle="1" w:styleId="ListParagraphChar">
    <w:name w:val="List Paragraph Char"/>
    <w:aliases w:val="References Char,List Paragraph2 Char,Text Char,Citation List Char,Bullets Char,List Paragraph nowy Char,List Paragraph (numbered (a)) Char,sub-procedure Char,سرد الفقرات Char,lp1 Char,Use Case List Paragraph Char,PAD Char,Ha Char"/>
    <w:link w:val="ListParagraph"/>
    <w:uiPriority w:val="34"/>
    <w:qFormat/>
    <w:rsid w:val="00777925"/>
    <w:rPr>
      <w:rFonts w:ascii="Calibri" w:hAnsi="Calibri"/>
      <w:sz w:val="22"/>
      <w:szCs w:val="22"/>
      <w:lang w:val="en-US" w:eastAsia="en-US"/>
    </w:rPr>
  </w:style>
  <w:style w:type="table" w:styleId="TableGrid">
    <w:name w:val="Table Grid"/>
    <w:basedOn w:val="TableNormal"/>
    <w:uiPriority w:val="39"/>
    <w:qFormat/>
    <w:rsid w:val="004249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16BE"/>
    <w:rPr>
      <w:sz w:val="24"/>
      <w:szCs w:val="24"/>
      <w:lang w:val="en-US" w:eastAsia="en-US"/>
    </w:rPr>
  </w:style>
  <w:style w:type="character" w:styleId="CommentReference">
    <w:name w:val="annotation reference"/>
    <w:basedOn w:val="DefaultParagraphFont"/>
    <w:semiHidden/>
    <w:unhideWhenUsed/>
    <w:rsid w:val="00652A09"/>
    <w:rPr>
      <w:sz w:val="16"/>
      <w:szCs w:val="16"/>
    </w:rPr>
  </w:style>
  <w:style w:type="paragraph" w:styleId="CommentText">
    <w:name w:val="annotation text"/>
    <w:basedOn w:val="Normal"/>
    <w:link w:val="CommentTextChar"/>
    <w:semiHidden/>
    <w:unhideWhenUsed/>
    <w:rsid w:val="00652A09"/>
    <w:rPr>
      <w:sz w:val="20"/>
      <w:szCs w:val="20"/>
    </w:rPr>
  </w:style>
  <w:style w:type="character" w:customStyle="1" w:styleId="CommentTextChar">
    <w:name w:val="Comment Text Char"/>
    <w:basedOn w:val="DefaultParagraphFont"/>
    <w:link w:val="CommentText"/>
    <w:semiHidden/>
    <w:rsid w:val="00652A09"/>
    <w:rPr>
      <w:lang w:val="en-US" w:eastAsia="en-US"/>
    </w:rPr>
  </w:style>
  <w:style w:type="paragraph" w:styleId="CommentSubject">
    <w:name w:val="annotation subject"/>
    <w:basedOn w:val="CommentText"/>
    <w:next w:val="CommentText"/>
    <w:link w:val="CommentSubjectChar"/>
    <w:semiHidden/>
    <w:unhideWhenUsed/>
    <w:rsid w:val="00652A09"/>
    <w:rPr>
      <w:b/>
      <w:bCs/>
    </w:rPr>
  </w:style>
  <w:style w:type="character" w:customStyle="1" w:styleId="CommentSubjectChar">
    <w:name w:val="Comment Subject Char"/>
    <w:basedOn w:val="CommentTextChar"/>
    <w:link w:val="CommentSubject"/>
    <w:semiHidden/>
    <w:rsid w:val="00652A09"/>
    <w:rPr>
      <w:b/>
      <w:bCs/>
      <w:lang w:val="en-US" w:eastAsia="en-US"/>
    </w:rPr>
  </w:style>
  <w:style w:type="character" w:customStyle="1" w:styleId="UnresolvedMention1">
    <w:name w:val="Unresolved Mention1"/>
    <w:basedOn w:val="DefaultParagraphFont"/>
    <w:uiPriority w:val="99"/>
    <w:unhideWhenUsed/>
    <w:rsid w:val="00652A09"/>
    <w:rPr>
      <w:color w:val="605E5C"/>
      <w:shd w:val="clear" w:color="auto" w:fill="E1DFDD"/>
    </w:rPr>
  </w:style>
  <w:style w:type="character" w:customStyle="1" w:styleId="Mention1">
    <w:name w:val="Mention1"/>
    <w:basedOn w:val="DefaultParagraphFont"/>
    <w:uiPriority w:val="99"/>
    <w:unhideWhenUsed/>
    <w:rsid w:val="00652A09"/>
    <w:rPr>
      <w:color w:val="2B579A"/>
      <w:shd w:val="clear" w:color="auto" w:fill="E1DFDD"/>
    </w:rPr>
  </w:style>
  <w:style w:type="paragraph" w:styleId="BalloonText">
    <w:name w:val="Balloon Text"/>
    <w:basedOn w:val="Normal"/>
    <w:link w:val="BalloonTextChar"/>
    <w:semiHidden/>
    <w:unhideWhenUsed/>
    <w:rsid w:val="00070BB7"/>
    <w:rPr>
      <w:rFonts w:ascii="Tahoma" w:hAnsi="Tahoma" w:cs="Tahoma"/>
      <w:sz w:val="16"/>
      <w:szCs w:val="16"/>
    </w:rPr>
  </w:style>
  <w:style w:type="character" w:customStyle="1" w:styleId="BalloonTextChar">
    <w:name w:val="Balloon Text Char"/>
    <w:basedOn w:val="DefaultParagraphFont"/>
    <w:link w:val="BalloonText"/>
    <w:semiHidden/>
    <w:rsid w:val="00070BB7"/>
    <w:rPr>
      <w:rFonts w:ascii="Tahoma" w:hAnsi="Tahoma" w:cs="Tahoma"/>
      <w:sz w:val="16"/>
      <w:szCs w:val="16"/>
      <w:lang w:val="en-US" w:eastAsia="en-US"/>
    </w:rPr>
  </w:style>
  <w:style w:type="character" w:styleId="FootnoteReference">
    <w:name w:val="footnote reference"/>
    <w:rsid w:val="00070BB7"/>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070BB7"/>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070BB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6162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7146</CharactersWithSpaces>
  <SharedDoc>false</SharedDoc>
  <HLinks>
    <vt:vector size="12" baseType="variant">
      <vt:variant>
        <vt:i4>5898354</vt:i4>
      </vt:variant>
      <vt:variant>
        <vt:i4>3</vt:i4>
      </vt:variant>
      <vt:variant>
        <vt:i4>0</vt:i4>
      </vt:variant>
      <vt:variant>
        <vt:i4>5</vt:i4>
      </vt:variant>
      <vt:variant>
        <vt:lpwstr>mailto:MMahamane@isdb.org</vt:lpwstr>
      </vt:variant>
      <vt:variant>
        <vt:lpwstr/>
      </vt:variant>
      <vt:variant>
        <vt:i4>5898354</vt:i4>
      </vt:variant>
      <vt:variant>
        <vt:i4>0</vt:i4>
      </vt:variant>
      <vt:variant>
        <vt:i4>0</vt:i4>
      </vt:variant>
      <vt:variant>
        <vt:i4>5</vt:i4>
      </vt:variant>
      <vt:variant>
        <vt:lpwstr>mailto:MMahamane@isdb.org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Abdoulaye Kabore</cp:lastModifiedBy>
  <cp:revision>2</cp:revision>
  <cp:lastPrinted>2023-02-28T11:13:00Z</cp:lastPrinted>
  <dcterms:created xsi:type="dcterms:W3CDTF">2023-06-14T07:32:00Z</dcterms:created>
  <dcterms:modified xsi:type="dcterms:W3CDTF">2023-06-14T07:32:00Z</dcterms:modified>
</cp:coreProperties>
</file>