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736"/>
        <w:tblW w:w="10305" w:type="dxa"/>
        <w:tblLook w:val="01E0" w:firstRow="1" w:lastRow="1" w:firstColumn="1" w:lastColumn="1" w:noHBand="0" w:noVBand="0"/>
      </w:tblPr>
      <w:tblGrid>
        <w:gridCol w:w="5954"/>
        <w:gridCol w:w="283"/>
        <w:gridCol w:w="4068"/>
      </w:tblGrid>
      <w:tr w:rsidR="000175B3" w:rsidRPr="00F70424" w:rsidTr="002E6A8F">
        <w:trPr>
          <w:trHeight w:val="4253"/>
        </w:trPr>
        <w:tc>
          <w:tcPr>
            <w:tcW w:w="5954" w:type="dxa"/>
          </w:tcPr>
          <w:p w:rsidR="000175B3" w:rsidRPr="00F70424" w:rsidRDefault="000175B3" w:rsidP="002E6A8F">
            <w:pPr>
              <w:spacing w:before="40" w:after="40"/>
              <w:ind w:right="-1525"/>
              <w:rPr>
                <w:rFonts w:ascii="Arial" w:hAnsi="Arial" w:cs="Arial"/>
                <w:b/>
                <w:bCs/>
                <w:sz w:val="20"/>
                <w:lang w:val="fr-FR"/>
              </w:rPr>
            </w:pPr>
            <w:bookmarkStart w:id="0" w:name="_GoBack"/>
            <w:bookmarkEnd w:id="0"/>
            <w:r w:rsidRPr="00F70424">
              <w:rPr>
                <w:rFonts w:ascii="Arial" w:hAnsi="Arial" w:cs="Arial"/>
                <w:b/>
                <w:bCs/>
                <w:sz w:val="20"/>
                <w:lang w:val="fr-FR"/>
              </w:rPr>
              <w:t>MINISTERE DES ENSEIGNEMENTS PRIMAIRE</w:t>
            </w:r>
          </w:p>
          <w:p w:rsidR="000175B3" w:rsidRPr="00F70424" w:rsidRDefault="000175B3" w:rsidP="002E6A8F">
            <w:pPr>
              <w:spacing w:before="40" w:after="40"/>
              <w:ind w:left="-134" w:right="-1525"/>
              <w:rPr>
                <w:rFonts w:ascii="Arial" w:hAnsi="Arial" w:cs="Arial"/>
                <w:b/>
                <w:bCs/>
                <w:sz w:val="20"/>
                <w:lang w:val="fr-FR"/>
              </w:rPr>
            </w:pPr>
            <w:r w:rsidRPr="00F70424">
              <w:rPr>
                <w:rFonts w:ascii="Arial" w:hAnsi="Arial" w:cs="Arial"/>
                <w:b/>
                <w:bCs/>
                <w:sz w:val="20"/>
                <w:lang w:val="fr-FR"/>
              </w:rPr>
              <w:t>SECONDAIRE, TECHNIQUE ET DE L’ARTISANAT</w:t>
            </w:r>
          </w:p>
          <w:p w:rsidR="000175B3" w:rsidRPr="00F70424" w:rsidRDefault="000175B3" w:rsidP="002E6A8F">
            <w:pPr>
              <w:spacing w:before="40" w:after="40"/>
              <w:ind w:right="1134"/>
              <w:rPr>
                <w:rFonts w:ascii="Arial" w:hAnsi="Arial" w:cs="Arial"/>
                <w:b/>
                <w:bCs/>
                <w:sz w:val="20"/>
                <w:lang w:val="fr-FR"/>
              </w:rPr>
            </w:pPr>
            <w:r w:rsidRPr="00F70424">
              <w:rPr>
                <w:rFonts w:ascii="Arial" w:hAnsi="Arial" w:cs="Arial"/>
                <w:b/>
                <w:bCs/>
                <w:sz w:val="20"/>
                <w:lang w:val="fr-FR"/>
              </w:rPr>
              <w:t xml:space="preserve">                              -----------------</w:t>
            </w:r>
          </w:p>
          <w:p w:rsidR="000175B3" w:rsidRPr="00F70424" w:rsidRDefault="000175B3" w:rsidP="002E6A8F">
            <w:pPr>
              <w:spacing w:before="40" w:after="40"/>
              <w:ind w:right="576"/>
              <w:rPr>
                <w:rFonts w:ascii="Arial" w:hAnsi="Arial" w:cs="Arial"/>
                <w:b/>
                <w:bCs/>
                <w:sz w:val="20"/>
                <w:lang w:val="fr-FR"/>
              </w:rPr>
            </w:pPr>
            <w:r w:rsidRPr="00F70424">
              <w:rPr>
                <w:rFonts w:ascii="Arial" w:hAnsi="Arial" w:cs="Arial"/>
                <w:b/>
                <w:bCs/>
                <w:sz w:val="20"/>
                <w:lang w:val="fr-FR"/>
              </w:rPr>
              <w:t xml:space="preserve">                                CABINET</w:t>
            </w:r>
          </w:p>
          <w:p w:rsidR="000175B3" w:rsidRPr="00F70424" w:rsidRDefault="000175B3" w:rsidP="002E6A8F">
            <w:pPr>
              <w:spacing w:before="40" w:after="40"/>
              <w:ind w:right="576"/>
              <w:rPr>
                <w:rFonts w:ascii="Arial" w:hAnsi="Arial" w:cs="Arial"/>
                <w:b/>
                <w:bCs/>
                <w:sz w:val="20"/>
                <w:lang w:val="fr-FR"/>
              </w:rPr>
            </w:pPr>
            <w:r w:rsidRPr="00F70424">
              <w:rPr>
                <w:rFonts w:ascii="Arial" w:hAnsi="Arial" w:cs="Arial"/>
                <w:b/>
                <w:bCs/>
                <w:sz w:val="20"/>
                <w:lang w:val="fr-FR"/>
              </w:rPr>
              <w:t xml:space="preserve">                              -----------------</w:t>
            </w:r>
          </w:p>
          <w:p w:rsidR="000175B3" w:rsidRPr="00F70424" w:rsidRDefault="000175B3" w:rsidP="002E6A8F">
            <w:pPr>
              <w:spacing w:before="40" w:after="40"/>
              <w:ind w:right="1134"/>
              <w:rPr>
                <w:rFonts w:ascii="Arial" w:hAnsi="Arial" w:cs="Arial"/>
                <w:b/>
                <w:bCs/>
                <w:sz w:val="20"/>
                <w:lang w:val="fr-FR"/>
              </w:rPr>
            </w:pPr>
            <w:r w:rsidRPr="00F70424">
              <w:rPr>
                <w:rFonts w:ascii="Arial" w:hAnsi="Arial" w:cs="Arial"/>
                <w:b/>
                <w:bCs/>
                <w:sz w:val="20"/>
                <w:lang w:val="fr-FR"/>
              </w:rPr>
              <w:t xml:space="preserve">                   SECRETARIAT GENERAL                                         </w:t>
            </w:r>
          </w:p>
          <w:p w:rsidR="000175B3" w:rsidRPr="00F70424" w:rsidRDefault="000175B3" w:rsidP="002E6A8F">
            <w:pPr>
              <w:spacing w:before="40" w:after="40"/>
              <w:ind w:right="1134"/>
              <w:rPr>
                <w:rFonts w:ascii="Arial" w:hAnsi="Arial" w:cs="Arial"/>
                <w:b/>
                <w:bCs/>
                <w:sz w:val="20"/>
                <w:lang w:val="fr-FR"/>
              </w:rPr>
            </w:pPr>
            <w:r w:rsidRPr="00F70424">
              <w:rPr>
                <w:rFonts w:ascii="Arial" w:hAnsi="Arial" w:cs="Arial"/>
                <w:b/>
                <w:bCs/>
                <w:sz w:val="20"/>
                <w:lang w:val="fr-FR"/>
              </w:rPr>
              <w:t xml:space="preserve">                            --------------------</w:t>
            </w:r>
          </w:p>
          <w:p w:rsidR="000175B3" w:rsidRPr="00F70424" w:rsidRDefault="000175B3" w:rsidP="002E6A8F">
            <w:pPr>
              <w:spacing w:before="40" w:after="40"/>
              <w:ind w:right="1134"/>
              <w:jc w:val="center"/>
              <w:rPr>
                <w:rFonts w:ascii="Arial" w:hAnsi="Arial" w:cs="Arial"/>
                <w:b/>
                <w:bCs/>
                <w:sz w:val="20"/>
                <w:lang w:val="fr-FR"/>
              </w:rPr>
            </w:pPr>
            <w:r w:rsidRPr="00F70424">
              <w:rPr>
                <w:rFonts w:ascii="Arial" w:hAnsi="Arial" w:cs="Arial"/>
                <w:b/>
                <w:bCs/>
                <w:sz w:val="20"/>
                <w:lang w:val="fr-FR"/>
              </w:rPr>
              <w:t>UNITE DE GESTION DU PROJET D’AMELIORATION DE L’ACCES-EQUITE ET DE LA QUALITE DE L’EDUCATION AU TOGO</w:t>
            </w:r>
          </w:p>
          <w:p w:rsidR="000175B3" w:rsidRPr="00F70424" w:rsidRDefault="000175B3" w:rsidP="002E6A8F">
            <w:pPr>
              <w:spacing w:before="40" w:after="40"/>
              <w:ind w:right="1134"/>
              <w:rPr>
                <w:rFonts w:ascii="Arial" w:hAnsi="Arial" w:cs="Arial"/>
                <w:b/>
                <w:bCs/>
                <w:sz w:val="20"/>
                <w:lang w:val="fr-FR"/>
              </w:rPr>
            </w:pPr>
            <w:r w:rsidRPr="00F70424">
              <w:rPr>
                <w:rFonts w:ascii="Arial" w:hAnsi="Arial" w:cs="Arial"/>
                <w:b/>
                <w:bCs/>
                <w:sz w:val="20"/>
                <w:lang w:val="fr-FR"/>
              </w:rPr>
              <w:t xml:space="preserve">                            --------------------</w:t>
            </w:r>
          </w:p>
          <w:p w:rsidR="000175B3" w:rsidRPr="00F70424" w:rsidRDefault="000175B3" w:rsidP="002E6A8F">
            <w:pPr>
              <w:tabs>
                <w:tab w:val="center" w:pos="2493"/>
              </w:tabs>
              <w:spacing w:before="40" w:after="40"/>
              <w:ind w:right="1134"/>
              <w:rPr>
                <w:rFonts w:ascii="Arial" w:hAnsi="Arial" w:cs="Arial"/>
                <w:b/>
                <w:bCs/>
                <w:sz w:val="20"/>
                <w:lang w:val="fr-FR"/>
              </w:rPr>
            </w:pPr>
            <w:r w:rsidRPr="00F70424">
              <w:rPr>
                <w:rFonts w:ascii="Arial" w:hAnsi="Arial" w:cs="Arial"/>
                <w:b/>
                <w:bCs/>
                <w:sz w:val="20"/>
                <w:lang w:val="fr-FR"/>
              </w:rPr>
              <w:t xml:space="preserve">                            UGP PAAQET</w:t>
            </w:r>
          </w:p>
          <w:p w:rsidR="000175B3" w:rsidRPr="00F70424" w:rsidRDefault="000175B3" w:rsidP="002E6A8F">
            <w:pPr>
              <w:tabs>
                <w:tab w:val="center" w:pos="2493"/>
              </w:tabs>
              <w:spacing w:before="40" w:after="40"/>
              <w:ind w:right="1134"/>
              <w:rPr>
                <w:b/>
                <w:bCs/>
                <w:sz w:val="20"/>
                <w:lang w:val="fr-FR"/>
              </w:rPr>
            </w:pPr>
          </w:p>
        </w:tc>
        <w:tc>
          <w:tcPr>
            <w:tcW w:w="283" w:type="dxa"/>
          </w:tcPr>
          <w:p w:rsidR="000175B3" w:rsidRPr="00F70424" w:rsidRDefault="000175B3" w:rsidP="002E6A8F">
            <w:pPr>
              <w:spacing w:before="40" w:after="40"/>
              <w:ind w:right="1134"/>
              <w:rPr>
                <w:b/>
                <w:bCs/>
                <w:sz w:val="20"/>
                <w:lang w:val="fr-FR"/>
              </w:rPr>
            </w:pPr>
          </w:p>
        </w:tc>
        <w:tc>
          <w:tcPr>
            <w:tcW w:w="4068" w:type="dxa"/>
          </w:tcPr>
          <w:p w:rsidR="000175B3" w:rsidRPr="00F70424" w:rsidRDefault="000175B3" w:rsidP="002E6A8F">
            <w:pPr>
              <w:spacing w:before="40" w:after="40"/>
              <w:ind w:right="113"/>
              <w:rPr>
                <w:rFonts w:ascii="Arial" w:hAnsi="Arial" w:cs="Arial"/>
                <w:b/>
                <w:bCs/>
                <w:sz w:val="20"/>
                <w:lang w:val="fr-FR"/>
              </w:rPr>
            </w:pPr>
            <w:r w:rsidRPr="00F70424">
              <w:rPr>
                <w:b/>
                <w:bCs/>
                <w:sz w:val="20"/>
                <w:lang w:val="fr-FR"/>
              </w:rPr>
              <w:t xml:space="preserve">        </w:t>
            </w:r>
            <w:r w:rsidRPr="00F70424">
              <w:rPr>
                <w:rFonts w:ascii="Arial" w:hAnsi="Arial" w:cs="Arial"/>
                <w:b/>
                <w:bCs/>
                <w:sz w:val="20"/>
                <w:lang w:val="fr-FR"/>
              </w:rPr>
              <w:t>REPUBLIQUE TOGOLAISE</w:t>
            </w:r>
          </w:p>
          <w:p w:rsidR="000175B3" w:rsidRPr="00F70424" w:rsidRDefault="000175B3" w:rsidP="002E6A8F">
            <w:pPr>
              <w:spacing w:before="40" w:after="40"/>
              <w:ind w:right="-6"/>
              <w:rPr>
                <w:rFonts w:ascii="Arial" w:hAnsi="Arial" w:cs="Arial"/>
                <w:b/>
                <w:bCs/>
                <w:sz w:val="20"/>
                <w:lang w:val="fr-FR"/>
              </w:rPr>
            </w:pPr>
            <w:r w:rsidRPr="00F70424">
              <w:rPr>
                <w:rFonts w:ascii="Arial" w:hAnsi="Arial" w:cs="Arial"/>
                <w:b/>
                <w:bCs/>
                <w:sz w:val="20"/>
                <w:lang w:val="fr-FR"/>
              </w:rPr>
              <w:t xml:space="preserve">         Travail-Liberté-Patrie</w:t>
            </w:r>
          </w:p>
          <w:p w:rsidR="000175B3" w:rsidRPr="00F70424" w:rsidRDefault="000175B3" w:rsidP="002E6A8F">
            <w:pPr>
              <w:tabs>
                <w:tab w:val="left" w:pos="465"/>
              </w:tabs>
              <w:spacing w:before="40" w:after="40"/>
              <w:ind w:right="-6"/>
              <w:rPr>
                <w:rFonts w:ascii="Arial" w:hAnsi="Arial" w:cs="Arial"/>
                <w:b/>
                <w:bCs/>
                <w:sz w:val="20"/>
                <w:lang w:val="fr-FR"/>
              </w:rPr>
            </w:pPr>
            <w:r w:rsidRPr="00F70424">
              <w:rPr>
                <w:rFonts w:ascii="Arial" w:hAnsi="Arial" w:cs="Arial"/>
                <w:b/>
                <w:bCs/>
                <w:sz w:val="20"/>
                <w:lang w:val="fr-FR"/>
              </w:rPr>
              <w:tab/>
              <w:t xml:space="preserve">              *********</w:t>
            </w:r>
          </w:p>
          <w:p w:rsidR="000175B3" w:rsidRPr="00F70424" w:rsidRDefault="000175B3" w:rsidP="002E6A8F">
            <w:pPr>
              <w:spacing w:before="40" w:after="40"/>
              <w:ind w:right="-6"/>
              <w:jc w:val="right"/>
              <w:rPr>
                <w:b/>
                <w:bCs/>
                <w:sz w:val="20"/>
                <w:lang w:val="fr-FR"/>
              </w:rPr>
            </w:pPr>
          </w:p>
          <w:p w:rsidR="000175B3" w:rsidRPr="00F70424" w:rsidRDefault="000175B3" w:rsidP="002E6A8F">
            <w:pPr>
              <w:spacing w:before="40" w:after="40"/>
              <w:ind w:right="-6"/>
              <w:rPr>
                <w:b/>
                <w:bCs/>
                <w:sz w:val="20"/>
                <w:lang w:val="fr-FR"/>
              </w:rPr>
            </w:pPr>
          </w:p>
          <w:p w:rsidR="000175B3" w:rsidRPr="00F70424" w:rsidRDefault="000175B3" w:rsidP="002E6A8F">
            <w:pPr>
              <w:spacing w:before="40" w:after="40"/>
              <w:ind w:right="-6"/>
              <w:rPr>
                <w:b/>
                <w:bCs/>
                <w:sz w:val="20"/>
                <w:lang w:val="fr-FR"/>
              </w:rPr>
            </w:pPr>
          </w:p>
          <w:p w:rsidR="000175B3" w:rsidRPr="00F70424" w:rsidRDefault="000175B3" w:rsidP="002E6A8F">
            <w:pPr>
              <w:spacing w:before="40" w:after="40"/>
              <w:ind w:right="-6"/>
              <w:rPr>
                <w:b/>
                <w:bCs/>
                <w:sz w:val="20"/>
                <w:lang w:val="fr-FR"/>
              </w:rPr>
            </w:pPr>
            <w:r w:rsidRPr="00F70424">
              <w:rPr>
                <w:b/>
                <w:bCs/>
                <w:sz w:val="20"/>
                <w:lang w:val="fr-FR"/>
              </w:rPr>
              <w:t xml:space="preserve">                                                                                  </w:t>
            </w:r>
          </w:p>
          <w:p w:rsidR="000175B3" w:rsidRPr="00F70424" w:rsidRDefault="000175B3" w:rsidP="002E6A8F">
            <w:pPr>
              <w:spacing w:before="40" w:after="40"/>
              <w:ind w:right="-6"/>
              <w:rPr>
                <w:b/>
                <w:bCs/>
                <w:sz w:val="20"/>
                <w:lang w:val="fr-FR"/>
              </w:rPr>
            </w:pPr>
          </w:p>
        </w:tc>
      </w:tr>
    </w:tbl>
    <w:p w:rsidR="000175B3" w:rsidRPr="00F70424" w:rsidRDefault="000175B3" w:rsidP="000175B3">
      <w:pPr>
        <w:ind w:right="72"/>
        <w:rPr>
          <w:b/>
          <w:sz w:val="28"/>
          <w:szCs w:val="28"/>
          <w:lang w:val="fr-FR"/>
        </w:rPr>
      </w:pPr>
    </w:p>
    <w:p w:rsidR="00DE5F77" w:rsidRPr="00F70424" w:rsidRDefault="000175B3" w:rsidP="007E45BB">
      <w:pPr>
        <w:ind w:right="72"/>
        <w:jc w:val="center"/>
        <w:rPr>
          <w:rFonts w:eastAsiaTheme="majorEastAsia"/>
          <w:b/>
          <w:bCs/>
          <w:caps/>
          <w:kern w:val="24"/>
          <w:position w:val="1"/>
          <w:szCs w:val="40"/>
          <w:lang w:val="fr-FR"/>
        </w:rPr>
      </w:pPr>
      <w:r w:rsidRPr="00F70424">
        <w:rPr>
          <w:b/>
          <w:sz w:val="28"/>
          <w:szCs w:val="28"/>
          <w:lang w:val="fr-FR"/>
        </w:rPr>
        <w:t>PROJET D’AMELIORATION DE L’ACCES-EQUITE ET DE LA QUALITE DE L’EDUCATION AU TOGO (PAAQET</w:t>
      </w:r>
      <w:r w:rsidR="004229EF" w:rsidRPr="00F70424">
        <w:rPr>
          <w:b/>
          <w:sz w:val="28"/>
          <w:szCs w:val="28"/>
          <w:lang w:val="fr-FR"/>
        </w:rPr>
        <w:t>)</w:t>
      </w:r>
    </w:p>
    <w:p w:rsidR="00DE5F77" w:rsidRPr="00F70424" w:rsidRDefault="00587638" w:rsidP="007E45BB">
      <w:pPr>
        <w:jc w:val="center"/>
        <w:rPr>
          <w:b/>
          <w:bCs/>
          <w:i/>
          <w:lang w:val="fr-FR"/>
        </w:rPr>
      </w:pPr>
      <w:r w:rsidRPr="00F70424">
        <w:rPr>
          <w:b/>
          <w:bCs/>
          <w:i/>
          <w:lang w:val="fr-FR"/>
        </w:rPr>
        <w:t>-----------------------</w:t>
      </w:r>
    </w:p>
    <w:p w:rsidR="00C30C3D" w:rsidRPr="00F70424" w:rsidRDefault="00C30C3D" w:rsidP="007E45BB">
      <w:pPr>
        <w:ind w:right="72"/>
        <w:jc w:val="center"/>
        <w:rPr>
          <w:sz w:val="28"/>
          <w:szCs w:val="28"/>
          <w:lang w:val="fr-FR"/>
        </w:rPr>
      </w:pPr>
      <w:r w:rsidRPr="00F70424">
        <w:rPr>
          <w:b/>
          <w:sz w:val="28"/>
          <w:szCs w:val="28"/>
          <w:lang w:val="fr-FR"/>
        </w:rPr>
        <w:t>AVIS GENERAL DE PASSATION DES MARCHES</w:t>
      </w:r>
      <w:r w:rsidR="00D4629B" w:rsidRPr="00F70424">
        <w:rPr>
          <w:b/>
          <w:sz w:val="28"/>
          <w:szCs w:val="28"/>
          <w:lang w:val="fr-FR"/>
        </w:rPr>
        <w:t xml:space="preserve"> (AGPM)</w:t>
      </w:r>
    </w:p>
    <w:p w:rsidR="00C30C3D" w:rsidRPr="00F70424" w:rsidRDefault="00C30C3D" w:rsidP="007E45BB">
      <w:pPr>
        <w:ind w:right="72"/>
        <w:rPr>
          <w:lang w:val="fr-FR"/>
        </w:rPr>
      </w:pPr>
    </w:p>
    <w:p w:rsidR="00C30C3D" w:rsidRPr="00F70424" w:rsidRDefault="00AE2DFE" w:rsidP="007E45BB">
      <w:pPr>
        <w:ind w:right="72"/>
        <w:rPr>
          <w:iCs/>
          <w:lang w:val="fr-FR"/>
        </w:rPr>
      </w:pPr>
      <w:r w:rsidRPr="00F70424">
        <w:rPr>
          <w:iCs/>
          <w:lang w:val="fr-FR"/>
        </w:rPr>
        <w:t xml:space="preserve">République du </w:t>
      </w:r>
      <w:r w:rsidR="00EA44DF" w:rsidRPr="00F70424">
        <w:rPr>
          <w:iCs/>
          <w:lang w:val="fr-FR"/>
        </w:rPr>
        <w:t>Togo</w:t>
      </w:r>
    </w:p>
    <w:p w:rsidR="008C5F3D" w:rsidRPr="00F70424" w:rsidRDefault="008C5F3D" w:rsidP="007E45BB">
      <w:pPr>
        <w:ind w:right="72"/>
        <w:rPr>
          <w:iCs/>
          <w:lang w:val="fr-FR"/>
        </w:rPr>
      </w:pPr>
    </w:p>
    <w:p w:rsidR="00AE2DFE" w:rsidRPr="00F70424" w:rsidRDefault="004229EF" w:rsidP="007E45BB">
      <w:pPr>
        <w:ind w:right="72"/>
        <w:rPr>
          <w:iCs/>
          <w:lang w:val="fr-FR"/>
        </w:rPr>
      </w:pPr>
      <w:r w:rsidRPr="00F70424">
        <w:rPr>
          <w:b/>
          <w:i/>
          <w:lang w:val="fr-FR"/>
        </w:rPr>
        <w:t>Projet d’Amélioration de l’Accès-Equité et de la Qualité de l’Education au Togo (PAAQET)</w:t>
      </w:r>
    </w:p>
    <w:p w:rsidR="00517E16" w:rsidRPr="00F70424" w:rsidRDefault="00517E16" w:rsidP="007E45BB">
      <w:pPr>
        <w:ind w:right="72"/>
        <w:rPr>
          <w:lang w:val="fr-FR"/>
        </w:rPr>
      </w:pPr>
      <w:r w:rsidRPr="00F70424">
        <w:rPr>
          <w:lang w:val="fr-FR"/>
        </w:rPr>
        <w:t>No du Financement</w:t>
      </w:r>
      <w:r w:rsidR="00AE2DFE" w:rsidRPr="00F70424">
        <w:rPr>
          <w:lang w:val="fr-FR"/>
        </w:rPr>
        <w:t xml:space="preserve"> : </w:t>
      </w:r>
      <w:r w:rsidR="004229EF" w:rsidRPr="00F70424">
        <w:rPr>
          <w:lang w:val="fr-FR"/>
        </w:rPr>
        <w:t>TGO-1017</w:t>
      </w:r>
    </w:p>
    <w:p w:rsidR="008C5F3D" w:rsidRPr="00F70424" w:rsidRDefault="008C5F3D" w:rsidP="007E45BB">
      <w:pPr>
        <w:ind w:right="72"/>
        <w:rPr>
          <w:lang w:val="fr-FR"/>
        </w:rPr>
      </w:pPr>
    </w:p>
    <w:p w:rsidR="00D9020C" w:rsidRPr="00F70424" w:rsidRDefault="00D9020C" w:rsidP="008B009E">
      <w:pPr>
        <w:tabs>
          <w:tab w:val="left" w:pos="284"/>
        </w:tabs>
        <w:suppressAutoHyphens/>
        <w:jc w:val="both"/>
        <w:rPr>
          <w:lang w:val="fr-FR"/>
        </w:rPr>
      </w:pPr>
      <w:r w:rsidRPr="00F70424">
        <w:rPr>
          <w:lang w:val="fr-FR"/>
        </w:rPr>
        <w:t>Le gouvernement de la République Togolaise a reçu un financement d’un montant de vingt millions (20000000) de dollars USA de la Banque Islamique de Développement afin de couvrir le coût des activités du projet d’Amélioration de l’Accès-Equité et de la Qualité de l’Education au Togo (PAAQET) et a l’intention d’utiliser une partie des sommes accordées pour effectuer des paiements pour l’acquisition de biens, travaux et services connexes et de services de consultants nécessaires dans le cadre de ce projet.</w:t>
      </w:r>
    </w:p>
    <w:p w:rsidR="00D9020C" w:rsidRPr="00F70424" w:rsidRDefault="00D9020C" w:rsidP="00D9020C">
      <w:pPr>
        <w:rPr>
          <w:spacing w:val="-2"/>
          <w:sz w:val="22"/>
          <w:szCs w:val="22"/>
          <w:lang w:val="fr-FR"/>
        </w:rPr>
      </w:pPr>
    </w:p>
    <w:p w:rsidR="00F0738A" w:rsidRPr="00F70424" w:rsidRDefault="00C30C3D" w:rsidP="007E45BB">
      <w:pPr>
        <w:ind w:right="72"/>
        <w:rPr>
          <w:lang w:val="fr-FR"/>
        </w:rPr>
      </w:pPr>
      <w:r w:rsidRPr="00F70424">
        <w:rPr>
          <w:lang w:val="fr-FR"/>
        </w:rPr>
        <w:t>Le projet comprend les composantes suivantes</w:t>
      </w:r>
      <w:r w:rsidR="00D4629B" w:rsidRPr="00F70424">
        <w:rPr>
          <w:lang w:val="fr-FR"/>
        </w:rPr>
        <w:t> :</w:t>
      </w:r>
      <w:r w:rsidR="001C075F" w:rsidRPr="00F70424">
        <w:rPr>
          <w:lang w:val="fr-FR"/>
        </w:rPr>
        <w:t xml:space="preserve"> </w:t>
      </w:r>
    </w:p>
    <w:p w:rsidR="00D9020C" w:rsidRPr="00F70424" w:rsidRDefault="00D9020C" w:rsidP="007E45BB">
      <w:pPr>
        <w:ind w:right="72"/>
        <w:rPr>
          <w:lang w:val="fr-FR"/>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5821"/>
        <w:gridCol w:w="2429"/>
      </w:tblGrid>
      <w:tr w:rsidR="008B009E" w:rsidRPr="00F70424" w:rsidTr="00EF608A">
        <w:trPr>
          <w:trHeight w:val="185"/>
          <w:tblHeader/>
        </w:trPr>
        <w:tc>
          <w:tcPr>
            <w:tcW w:w="221" w:type="pct"/>
            <w:shd w:val="clear" w:color="auto" w:fill="auto"/>
            <w:vAlign w:val="center"/>
            <w:hideMark/>
          </w:tcPr>
          <w:p w:rsidR="008B009E" w:rsidRPr="00F70424" w:rsidRDefault="008B009E">
            <w:pPr>
              <w:jc w:val="center"/>
              <w:rPr>
                <w:b/>
                <w:bCs/>
                <w:color w:val="000000"/>
                <w:sz w:val="20"/>
                <w:szCs w:val="20"/>
                <w:lang w:val="fr-FR" w:eastAsia="fr-FR"/>
              </w:rPr>
            </w:pPr>
            <w:bookmarkStart w:id="1" w:name="RANGE!A2"/>
            <w:bookmarkStart w:id="2" w:name="_Hlk40174853" w:colFirst="1" w:colLast="1"/>
            <w:r w:rsidRPr="00F70424">
              <w:rPr>
                <w:b/>
                <w:bCs/>
                <w:color w:val="000000"/>
                <w:sz w:val="20"/>
                <w:szCs w:val="20"/>
                <w:lang w:val="fr-FR"/>
              </w:rPr>
              <w:t>No</w:t>
            </w:r>
            <w:bookmarkEnd w:id="1"/>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Composantes du projet/Articles</w:t>
            </w:r>
          </w:p>
        </w:tc>
        <w:tc>
          <w:tcPr>
            <w:tcW w:w="1407" w:type="pct"/>
            <w:shd w:val="clear" w:color="auto" w:fill="auto"/>
            <w:noWrap/>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Mode d’acquisition</w:t>
            </w:r>
          </w:p>
        </w:tc>
      </w:tr>
      <w:tr w:rsidR="008B009E" w:rsidRPr="00F70424" w:rsidTr="00EF608A">
        <w:trPr>
          <w:trHeight w:val="29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A</w:t>
            </w:r>
          </w:p>
        </w:tc>
        <w:tc>
          <w:tcPr>
            <w:tcW w:w="4779" w:type="pct"/>
            <w:gridSpan w:val="2"/>
            <w:shd w:val="clear" w:color="auto" w:fill="auto"/>
            <w:hideMark/>
          </w:tcPr>
          <w:p w:rsidR="008B009E" w:rsidRPr="00F70424" w:rsidRDefault="008B009E">
            <w:pPr>
              <w:rPr>
                <w:b/>
                <w:bCs/>
                <w:color w:val="000000"/>
                <w:sz w:val="20"/>
                <w:szCs w:val="20"/>
                <w:lang w:val="fr-FR"/>
              </w:rPr>
            </w:pPr>
            <w:r w:rsidRPr="00F70424">
              <w:rPr>
                <w:b/>
                <w:bCs/>
                <w:color w:val="000000"/>
                <w:sz w:val="20"/>
                <w:szCs w:val="20"/>
                <w:lang w:val="fr-FR"/>
              </w:rPr>
              <w:t>Component 1 :</w:t>
            </w:r>
            <w:r w:rsidRPr="00F70424">
              <w:rPr>
                <w:color w:val="000000"/>
                <w:sz w:val="20"/>
                <w:szCs w:val="20"/>
                <w:lang w:val="fr-FR"/>
              </w:rPr>
              <w:t xml:space="preserve"> </w:t>
            </w:r>
            <w:r w:rsidRPr="00F70424">
              <w:rPr>
                <w:b/>
                <w:bCs/>
                <w:color w:val="000000"/>
                <w:sz w:val="20"/>
                <w:szCs w:val="20"/>
                <w:lang w:val="fr-FR"/>
              </w:rPr>
              <w:t>Accès équitable et durable à des installations et appui à la qualité en matière d’éducation</w:t>
            </w:r>
          </w:p>
        </w:tc>
      </w:tr>
      <w:tr w:rsidR="008B009E" w:rsidRPr="00F70424" w:rsidTr="00EF608A">
        <w:trPr>
          <w:trHeight w:val="137"/>
        </w:trPr>
        <w:tc>
          <w:tcPr>
            <w:tcW w:w="221" w:type="pct"/>
            <w:shd w:val="clear" w:color="auto" w:fill="auto"/>
            <w:noWrap/>
            <w:vAlign w:val="center"/>
            <w:hideMark/>
          </w:tcPr>
          <w:p w:rsidR="008B009E" w:rsidRPr="00F70424" w:rsidRDefault="008B009E">
            <w:pPr>
              <w:jc w:val="center"/>
              <w:rPr>
                <w:b/>
                <w:bCs/>
                <w:i/>
                <w:iCs/>
                <w:color w:val="000000"/>
                <w:sz w:val="18"/>
                <w:szCs w:val="18"/>
                <w:lang w:val="fr-FR"/>
              </w:rPr>
            </w:pPr>
            <w:r w:rsidRPr="00F70424">
              <w:rPr>
                <w:b/>
                <w:bCs/>
                <w:i/>
                <w:iCs/>
                <w:color w:val="000000"/>
                <w:sz w:val="18"/>
                <w:szCs w:val="18"/>
                <w:lang w:val="fr-FR"/>
              </w:rPr>
              <w:t>1.1</w:t>
            </w:r>
          </w:p>
        </w:tc>
        <w:tc>
          <w:tcPr>
            <w:tcW w:w="4779" w:type="pct"/>
            <w:gridSpan w:val="2"/>
            <w:shd w:val="clear" w:color="auto" w:fill="auto"/>
            <w:hideMark/>
          </w:tcPr>
          <w:p w:rsidR="008B009E" w:rsidRPr="00F70424" w:rsidRDefault="00F70424">
            <w:pPr>
              <w:rPr>
                <w:b/>
                <w:bCs/>
                <w:i/>
                <w:iCs/>
                <w:color w:val="000000"/>
                <w:sz w:val="18"/>
                <w:szCs w:val="18"/>
                <w:lang w:val="fr-FR"/>
              </w:rPr>
            </w:pPr>
            <w:r>
              <w:rPr>
                <w:b/>
                <w:bCs/>
                <w:i/>
                <w:iCs/>
                <w:color w:val="000000"/>
                <w:sz w:val="18"/>
                <w:szCs w:val="18"/>
                <w:lang w:val="fr-FR"/>
              </w:rPr>
              <w:t>Sous-compos</w:t>
            </w:r>
            <w:r w:rsidRPr="00F70424">
              <w:rPr>
                <w:b/>
                <w:bCs/>
                <w:i/>
                <w:iCs/>
                <w:color w:val="000000"/>
                <w:sz w:val="18"/>
                <w:szCs w:val="18"/>
                <w:lang w:val="fr-FR"/>
              </w:rPr>
              <w:t>ante</w:t>
            </w:r>
            <w:r w:rsidR="008B009E" w:rsidRPr="00F70424">
              <w:rPr>
                <w:b/>
                <w:bCs/>
                <w:i/>
                <w:iCs/>
                <w:color w:val="000000"/>
                <w:sz w:val="18"/>
                <w:szCs w:val="18"/>
                <w:lang w:val="fr-FR"/>
              </w:rPr>
              <w:t xml:space="preserve"> 1.1</w:t>
            </w:r>
            <w:r w:rsidR="008B009E" w:rsidRPr="00F70424">
              <w:rPr>
                <w:color w:val="000000"/>
                <w:sz w:val="18"/>
                <w:szCs w:val="18"/>
                <w:lang w:val="fr-FR"/>
              </w:rPr>
              <w:t xml:space="preserve"> : </w:t>
            </w:r>
            <w:r w:rsidR="008B009E" w:rsidRPr="00F70424">
              <w:rPr>
                <w:b/>
                <w:bCs/>
                <w:i/>
                <w:iCs/>
                <w:color w:val="000000"/>
                <w:sz w:val="18"/>
                <w:szCs w:val="18"/>
                <w:lang w:val="fr-FR"/>
              </w:rPr>
              <w:t>Fourniture d’infrastructures et d’équipements essentiels pertinents et fiables pour les écoles</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b/>
                <w:bCs/>
                <w:i/>
                <w:iCs/>
                <w:color w:val="000000"/>
                <w:sz w:val="20"/>
                <w:szCs w:val="20"/>
                <w:lang w:val="fr-FR"/>
              </w:rPr>
            </w:pPr>
            <w:r w:rsidRPr="00F70424">
              <w:rPr>
                <w:b/>
                <w:bCs/>
                <w:i/>
                <w:iCs/>
                <w:color w:val="000000"/>
                <w:sz w:val="20"/>
                <w:szCs w:val="20"/>
                <w:lang w:val="fr-FR"/>
              </w:rPr>
              <w:t> </w:t>
            </w:r>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Travaux</w:t>
            </w:r>
          </w:p>
        </w:tc>
        <w:tc>
          <w:tcPr>
            <w:tcW w:w="1407" w:type="pct"/>
            <w:shd w:val="clear" w:color="auto" w:fill="auto"/>
            <w:noWrap/>
            <w:vAlign w:val="bottom"/>
            <w:hideMark/>
          </w:tcPr>
          <w:p w:rsidR="008B009E" w:rsidRPr="00F70424" w:rsidRDefault="008B009E">
            <w:pPr>
              <w:rPr>
                <w:color w:val="000000"/>
                <w:sz w:val="20"/>
                <w:szCs w:val="20"/>
                <w:lang w:val="fr-FR"/>
              </w:rPr>
            </w:pPr>
            <w:r w:rsidRPr="00F70424">
              <w:rPr>
                <w:color w:val="000000"/>
                <w:sz w:val="20"/>
                <w:szCs w:val="20"/>
                <w:lang w:val="fr-FR"/>
              </w:rPr>
              <w:t> </w:t>
            </w:r>
          </w:p>
        </w:tc>
      </w:tr>
      <w:tr w:rsidR="008B009E" w:rsidRPr="00F70424" w:rsidTr="00EF608A">
        <w:trPr>
          <w:trHeight w:val="454"/>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Travaux de construction d'écoles, de bâtiments administratifs, de laboratoires et de latrines (au moins un procédé pour chaque région)</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AON=NCB</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Travaux pour les forages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AON=NCB</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Biens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AON=NCB</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color w:val="000000"/>
                <w:sz w:val="20"/>
                <w:szCs w:val="20"/>
                <w:lang w:val="fr-FR"/>
              </w:rPr>
            </w:pPr>
            <w:r w:rsidRPr="00F70424">
              <w:rPr>
                <w:color w:val="000000"/>
                <w:sz w:val="20"/>
                <w:szCs w:val="20"/>
                <w:lang w:val="fr-FR"/>
              </w:rPr>
              <w:t> </w:t>
            </w:r>
          </w:p>
        </w:tc>
        <w:tc>
          <w:tcPr>
            <w:tcW w:w="3372"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Mobilier pour les écoles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AON=NCB</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Matériel informatique pour les écoles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AON=NCB</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Equipements de laboratoires</w:t>
            </w:r>
          </w:p>
        </w:tc>
        <w:tc>
          <w:tcPr>
            <w:tcW w:w="1407" w:type="pct"/>
            <w:shd w:val="clear" w:color="auto" w:fill="auto"/>
            <w:noWrap/>
            <w:vAlign w:val="center"/>
            <w:hideMark/>
          </w:tcPr>
          <w:p w:rsidR="008B009E" w:rsidRPr="00F70424" w:rsidRDefault="008B009E">
            <w:pPr>
              <w:rPr>
                <w:color w:val="000000"/>
                <w:sz w:val="20"/>
                <w:szCs w:val="20"/>
                <w:lang w:val="fr-FR"/>
              </w:rPr>
            </w:pPr>
            <w:r w:rsidRPr="00F70424">
              <w:rPr>
                <w:color w:val="000000"/>
                <w:sz w:val="20"/>
                <w:szCs w:val="20"/>
                <w:lang w:val="fr-FR"/>
              </w:rPr>
              <w:t>AOI/PM=ICB/MC</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Equipement et installation solaire</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AON=NCB</w:t>
            </w:r>
          </w:p>
        </w:tc>
      </w:tr>
      <w:tr w:rsidR="008B009E" w:rsidRPr="00F70424" w:rsidTr="00EF608A">
        <w:trPr>
          <w:trHeight w:val="302"/>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lastRenderedPageBreak/>
              <w:t> </w:t>
            </w:r>
          </w:p>
        </w:tc>
        <w:tc>
          <w:tcPr>
            <w:tcW w:w="3372"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Acquisition de Kits, ouvrages de référence et matériels pédagogiques</w:t>
            </w:r>
          </w:p>
        </w:tc>
        <w:tc>
          <w:tcPr>
            <w:tcW w:w="1407" w:type="pct"/>
            <w:shd w:val="clear" w:color="auto" w:fill="auto"/>
            <w:noWrap/>
            <w:vAlign w:val="center"/>
            <w:hideMark/>
          </w:tcPr>
          <w:p w:rsidR="008B009E" w:rsidRPr="00F70424" w:rsidRDefault="008B009E">
            <w:pPr>
              <w:rPr>
                <w:color w:val="000000"/>
                <w:sz w:val="20"/>
                <w:szCs w:val="20"/>
                <w:lang w:val="fr-FR"/>
              </w:rPr>
            </w:pPr>
            <w:r w:rsidRPr="00F70424">
              <w:rPr>
                <w:color w:val="000000"/>
                <w:sz w:val="20"/>
                <w:szCs w:val="20"/>
                <w:lang w:val="fr-FR"/>
              </w:rPr>
              <w:t>AOI/PM=ICB/MC</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Services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 </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Consultant en conception et en supervision</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SFQC/PM=QCBS/MC</w:t>
            </w:r>
          </w:p>
        </w:tc>
      </w:tr>
      <w:tr w:rsidR="008B009E" w:rsidRPr="00F70424" w:rsidTr="00EF608A">
        <w:trPr>
          <w:trHeight w:val="137"/>
        </w:trPr>
        <w:tc>
          <w:tcPr>
            <w:tcW w:w="221" w:type="pct"/>
            <w:shd w:val="clear" w:color="auto" w:fill="auto"/>
            <w:noWrap/>
            <w:vAlign w:val="center"/>
            <w:hideMark/>
          </w:tcPr>
          <w:p w:rsidR="008B009E" w:rsidRPr="00F70424" w:rsidRDefault="008B009E">
            <w:pPr>
              <w:jc w:val="center"/>
              <w:rPr>
                <w:b/>
                <w:bCs/>
                <w:i/>
                <w:iCs/>
                <w:color w:val="000000"/>
                <w:sz w:val="18"/>
                <w:szCs w:val="18"/>
                <w:lang w:val="fr-FR"/>
              </w:rPr>
            </w:pPr>
            <w:r w:rsidRPr="00F70424">
              <w:rPr>
                <w:b/>
                <w:bCs/>
                <w:i/>
                <w:iCs/>
                <w:color w:val="000000"/>
                <w:sz w:val="18"/>
                <w:szCs w:val="18"/>
                <w:lang w:val="fr-FR"/>
              </w:rPr>
              <w:t>1.2</w:t>
            </w:r>
          </w:p>
        </w:tc>
        <w:tc>
          <w:tcPr>
            <w:tcW w:w="4779" w:type="pct"/>
            <w:gridSpan w:val="2"/>
            <w:shd w:val="clear" w:color="auto" w:fill="auto"/>
            <w:hideMark/>
          </w:tcPr>
          <w:p w:rsidR="008B009E" w:rsidRPr="00F70424" w:rsidRDefault="008B009E">
            <w:pPr>
              <w:rPr>
                <w:b/>
                <w:bCs/>
                <w:i/>
                <w:iCs/>
                <w:color w:val="000000"/>
                <w:sz w:val="18"/>
                <w:szCs w:val="18"/>
                <w:lang w:val="fr-FR"/>
              </w:rPr>
            </w:pPr>
            <w:r w:rsidRPr="00F70424">
              <w:rPr>
                <w:b/>
                <w:bCs/>
                <w:i/>
                <w:iCs/>
                <w:color w:val="000000"/>
                <w:sz w:val="18"/>
                <w:szCs w:val="18"/>
                <w:lang w:val="fr-FR"/>
              </w:rPr>
              <w:t>Sous-composante 1.2: Atténuer le risque de décrochage scolaire chez les groupes vulnérables et les enfants handicapés</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Biens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 </w:t>
            </w:r>
          </w:p>
        </w:tc>
      </w:tr>
      <w:bookmarkEnd w:id="2"/>
      <w:tr w:rsidR="008B009E" w:rsidRPr="00F70424" w:rsidTr="00EF608A">
        <w:trPr>
          <w:trHeight w:val="111"/>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rsidP="008B009E">
            <w:pPr>
              <w:rPr>
                <w:color w:val="000000"/>
                <w:sz w:val="20"/>
                <w:szCs w:val="20"/>
                <w:lang w:val="fr-FR"/>
              </w:rPr>
            </w:pPr>
            <w:r w:rsidRPr="00F70424">
              <w:rPr>
                <w:color w:val="000000"/>
                <w:sz w:val="20"/>
                <w:szCs w:val="20"/>
                <w:lang w:val="fr-FR"/>
              </w:rPr>
              <w:t>Acquisition et distribution d’uniformes et de trousses scolaires aux filles vulnérables (primaire et secondaire) dans les collectivités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AON=NCB</w:t>
            </w:r>
          </w:p>
        </w:tc>
      </w:tr>
      <w:tr w:rsidR="008B009E" w:rsidRPr="00F70424" w:rsidTr="00EF608A">
        <w:trPr>
          <w:trHeight w:val="309"/>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Matériel pédagogique et d’apprentissage pour 30 établissements pratiquant l’éducation inclusive</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CF=Sh</w:t>
            </w:r>
          </w:p>
        </w:tc>
      </w:tr>
      <w:tr w:rsidR="008B009E" w:rsidRPr="00F70424" w:rsidTr="00EF608A">
        <w:trPr>
          <w:trHeight w:val="309"/>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Matériel de communication/affiches, radios communautaires, etc. pour la sensibilisation</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CF=Sh</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Radios communautaires etc. pour la sensibilisation</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CF=Sh</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B</w:t>
            </w:r>
          </w:p>
        </w:tc>
        <w:tc>
          <w:tcPr>
            <w:tcW w:w="4779" w:type="pct"/>
            <w:gridSpan w:val="2"/>
            <w:shd w:val="clear" w:color="auto" w:fill="auto"/>
            <w:vAlign w:val="center"/>
            <w:hideMark/>
          </w:tcPr>
          <w:p w:rsidR="008B009E" w:rsidRPr="00F70424" w:rsidRDefault="008B009E">
            <w:pPr>
              <w:rPr>
                <w:b/>
                <w:bCs/>
                <w:color w:val="000000"/>
                <w:sz w:val="20"/>
                <w:szCs w:val="20"/>
                <w:lang w:val="fr-FR"/>
              </w:rPr>
            </w:pPr>
            <w:r w:rsidRPr="00F70424">
              <w:rPr>
                <w:b/>
                <w:bCs/>
                <w:color w:val="000000"/>
                <w:sz w:val="20"/>
                <w:szCs w:val="20"/>
                <w:lang w:val="fr-FR"/>
              </w:rPr>
              <w:t xml:space="preserve">Composante 2: Amélioration de l’efficacité et de la qualité des services éducatifs </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C</w:t>
            </w:r>
          </w:p>
        </w:tc>
        <w:tc>
          <w:tcPr>
            <w:tcW w:w="4779" w:type="pct"/>
            <w:gridSpan w:val="2"/>
            <w:shd w:val="clear" w:color="auto" w:fill="auto"/>
            <w:vAlign w:val="center"/>
            <w:hideMark/>
          </w:tcPr>
          <w:p w:rsidR="008B009E" w:rsidRPr="00F70424" w:rsidRDefault="008B009E">
            <w:pPr>
              <w:rPr>
                <w:b/>
                <w:bCs/>
                <w:color w:val="000000"/>
                <w:sz w:val="20"/>
                <w:szCs w:val="20"/>
                <w:lang w:val="fr-FR"/>
              </w:rPr>
            </w:pPr>
            <w:r w:rsidRPr="00F70424">
              <w:rPr>
                <w:b/>
                <w:bCs/>
                <w:color w:val="000000"/>
                <w:sz w:val="20"/>
                <w:szCs w:val="20"/>
                <w:lang w:val="fr-FR"/>
              </w:rPr>
              <w:t>Composante 3: Amélioration de la gouvernance du système éducatif</w:t>
            </w:r>
          </w:p>
        </w:tc>
      </w:tr>
      <w:tr w:rsidR="008B009E" w:rsidRPr="00F70424" w:rsidTr="00EF608A">
        <w:trPr>
          <w:trHeight w:val="137"/>
        </w:trPr>
        <w:tc>
          <w:tcPr>
            <w:tcW w:w="221" w:type="pct"/>
            <w:shd w:val="clear" w:color="auto" w:fill="auto"/>
            <w:noWrap/>
            <w:vAlign w:val="center"/>
            <w:hideMark/>
          </w:tcPr>
          <w:p w:rsidR="008B009E" w:rsidRPr="00F70424" w:rsidRDefault="008B009E">
            <w:pPr>
              <w:jc w:val="center"/>
              <w:rPr>
                <w:b/>
                <w:bCs/>
                <w:i/>
                <w:iCs/>
                <w:color w:val="000000"/>
                <w:sz w:val="18"/>
                <w:szCs w:val="18"/>
                <w:lang w:val="fr-FR"/>
              </w:rPr>
            </w:pPr>
            <w:r w:rsidRPr="00F70424">
              <w:rPr>
                <w:b/>
                <w:bCs/>
                <w:i/>
                <w:iCs/>
                <w:color w:val="000000"/>
                <w:sz w:val="18"/>
                <w:szCs w:val="18"/>
                <w:lang w:val="fr-FR"/>
              </w:rPr>
              <w:t>3.1</w:t>
            </w:r>
          </w:p>
        </w:tc>
        <w:tc>
          <w:tcPr>
            <w:tcW w:w="4779" w:type="pct"/>
            <w:gridSpan w:val="2"/>
            <w:shd w:val="clear" w:color="auto" w:fill="auto"/>
            <w:hideMark/>
          </w:tcPr>
          <w:p w:rsidR="008B009E" w:rsidRPr="00F70424" w:rsidRDefault="008B009E">
            <w:pPr>
              <w:rPr>
                <w:b/>
                <w:bCs/>
                <w:i/>
                <w:iCs/>
                <w:color w:val="000000"/>
                <w:sz w:val="18"/>
                <w:szCs w:val="18"/>
                <w:lang w:val="fr-FR"/>
              </w:rPr>
            </w:pPr>
            <w:r w:rsidRPr="00F70424">
              <w:rPr>
                <w:b/>
                <w:bCs/>
                <w:i/>
                <w:iCs/>
                <w:color w:val="000000"/>
                <w:sz w:val="18"/>
                <w:szCs w:val="18"/>
                <w:lang w:val="fr-FR"/>
              </w:rPr>
              <w:t>Sous-composante 3.1</w:t>
            </w:r>
            <w:r w:rsidRPr="00F70424">
              <w:rPr>
                <w:color w:val="000000"/>
                <w:sz w:val="20"/>
                <w:szCs w:val="20"/>
                <w:lang w:val="fr-FR"/>
              </w:rPr>
              <w:t xml:space="preserve"> </w:t>
            </w:r>
            <w:r w:rsidRPr="00F70424">
              <w:rPr>
                <w:b/>
                <w:bCs/>
                <w:i/>
                <w:iCs/>
                <w:color w:val="000000"/>
                <w:sz w:val="20"/>
                <w:szCs w:val="20"/>
                <w:lang w:val="fr-FR"/>
              </w:rPr>
              <w:t>Renforcement des capacités des acteurs scolaires</w:t>
            </w:r>
          </w:p>
        </w:tc>
      </w:tr>
      <w:tr w:rsidR="008B009E" w:rsidRPr="00F70424" w:rsidTr="00EF608A">
        <w:trPr>
          <w:trHeight w:val="165"/>
        </w:trPr>
        <w:tc>
          <w:tcPr>
            <w:tcW w:w="221" w:type="pct"/>
            <w:shd w:val="clear" w:color="auto" w:fill="auto"/>
            <w:noWrap/>
            <w:vAlign w:val="center"/>
            <w:hideMark/>
          </w:tcPr>
          <w:p w:rsidR="008B009E" w:rsidRPr="00F70424" w:rsidRDefault="008B009E">
            <w:pPr>
              <w:rPr>
                <w:b/>
                <w:bCs/>
                <w:i/>
                <w:iCs/>
                <w:color w:val="000000"/>
                <w:sz w:val="18"/>
                <w:szCs w:val="18"/>
                <w:lang w:val="fr-FR"/>
              </w:rPr>
            </w:pPr>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Biens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 </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Acquisition de 20 motos</w:t>
            </w:r>
          </w:p>
        </w:tc>
        <w:tc>
          <w:tcPr>
            <w:tcW w:w="1407" w:type="pct"/>
            <w:shd w:val="clear" w:color="auto" w:fill="auto"/>
            <w:vAlign w:val="center"/>
            <w:hideMark/>
          </w:tcPr>
          <w:p w:rsidR="008B009E" w:rsidRPr="00F70424" w:rsidRDefault="00336C46">
            <w:pPr>
              <w:rPr>
                <w:color w:val="000000"/>
                <w:sz w:val="20"/>
                <w:szCs w:val="20"/>
                <w:lang w:val="fr-FR"/>
              </w:rPr>
            </w:pPr>
            <w:r w:rsidRPr="00F70424">
              <w:rPr>
                <w:color w:val="000000"/>
                <w:sz w:val="20"/>
                <w:szCs w:val="20"/>
                <w:lang w:val="fr-FR"/>
              </w:rPr>
              <w:t>CF=Sh</w:t>
            </w:r>
          </w:p>
        </w:tc>
      </w:tr>
      <w:tr w:rsidR="008B009E" w:rsidRPr="00F70424" w:rsidTr="00EF608A">
        <w:trPr>
          <w:trHeight w:val="137"/>
        </w:trPr>
        <w:tc>
          <w:tcPr>
            <w:tcW w:w="221" w:type="pct"/>
            <w:shd w:val="clear" w:color="auto" w:fill="auto"/>
            <w:noWrap/>
            <w:vAlign w:val="center"/>
            <w:hideMark/>
          </w:tcPr>
          <w:p w:rsidR="008B009E" w:rsidRPr="00F70424" w:rsidRDefault="008B009E">
            <w:pPr>
              <w:jc w:val="center"/>
              <w:rPr>
                <w:b/>
                <w:bCs/>
                <w:i/>
                <w:iCs/>
                <w:color w:val="000000"/>
                <w:sz w:val="18"/>
                <w:szCs w:val="18"/>
                <w:lang w:val="fr-FR"/>
              </w:rPr>
            </w:pPr>
            <w:r w:rsidRPr="00F70424">
              <w:rPr>
                <w:b/>
                <w:bCs/>
                <w:i/>
                <w:iCs/>
                <w:color w:val="000000"/>
                <w:sz w:val="18"/>
                <w:szCs w:val="18"/>
                <w:lang w:val="fr-FR"/>
              </w:rPr>
              <w:t>3.2</w:t>
            </w:r>
          </w:p>
        </w:tc>
        <w:tc>
          <w:tcPr>
            <w:tcW w:w="4779" w:type="pct"/>
            <w:gridSpan w:val="2"/>
            <w:shd w:val="clear" w:color="auto" w:fill="auto"/>
            <w:hideMark/>
          </w:tcPr>
          <w:p w:rsidR="008B009E" w:rsidRPr="00F70424" w:rsidRDefault="008B009E">
            <w:pPr>
              <w:rPr>
                <w:b/>
                <w:bCs/>
                <w:i/>
                <w:iCs/>
                <w:color w:val="000000"/>
                <w:sz w:val="18"/>
                <w:szCs w:val="18"/>
                <w:lang w:val="fr-FR"/>
              </w:rPr>
            </w:pPr>
            <w:r w:rsidRPr="00F70424">
              <w:rPr>
                <w:b/>
                <w:bCs/>
                <w:i/>
                <w:iCs/>
                <w:color w:val="000000"/>
                <w:sz w:val="18"/>
                <w:szCs w:val="18"/>
                <w:lang w:val="fr-FR"/>
              </w:rPr>
              <w:t>Sous-composante 3.2:  Appui à la qualité des données et à la gouvernance du système d’éducation</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Services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 </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Enquête de référence et mise en place du SGI</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CF=Sh</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Evaluation à mi-parcours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CI/LR=IC/LC</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Evaluation finale du projet</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CI/LR=IC/LC</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D</w:t>
            </w:r>
          </w:p>
        </w:tc>
        <w:tc>
          <w:tcPr>
            <w:tcW w:w="4779" w:type="pct"/>
            <w:gridSpan w:val="2"/>
            <w:shd w:val="clear" w:color="auto" w:fill="auto"/>
            <w:vAlign w:val="center"/>
            <w:hideMark/>
          </w:tcPr>
          <w:p w:rsidR="008B009E" w:rsidRPr="00F70424" w:rsidRDefault="008B009E">
            <w:pPr>
              <w:rPr>
                <w:b/>
                <w:bCs/>
                <w:color w:val="000000"/>
                <w:sz w:val="20"/>
                <w:szCs w:val="20"/>
                <w:lang w:val="fr-FR"/>
              </w:rPr>
            </w:pPr>
            <w:r w:rsidRPr="00F70424">
              <w:rPr>
                <w:b/>
                <w:bCs/>
                <w:color w:val="000000"/>
                <w:sz w:val="20"/>
                <w:szCs w:val="20"/>
                <w:lang w:val="fr-FR"/>
              </w:rPr>
              <w:t>Composante 4: Appui à la gestion de projet et à la vérification financière.</w:t>
            </w:r>
          </w:p>
        </w:tc>
      </w:tr>
      <w:tr w:rsidR="008B009E" w:rsidRPr="00F70424" w:rsidTr="00EF608A">
        <w:trPr>
          <w:trHeight w:val="137"/>
        </w:trPr>
        <w:tc>
          <w:tcPr>
            <w:tcW w:w="221" w:type="pct"/>
            <w:shd w:val="clear" w:color="auto" w:fill="auto"/>
            <w:noWrap/>
            <w:vAlign w:val="center"/>
            <w:hideMark/>
          </w:tcPr>
          <w:p w:rsidR="008B009E" w:rsidRPr="00F70424" w:rsidRDefault="008B009E">
            <w:pPr>
              <w:jc w:val="center"/>
              <w:rPr>
                <w:b/>
                <w:bCs/>
                <w:i/>
                <w:iCs/>
                <w:color w:val="000000"/>
                <w:sz w:val="18"/>
                <w:szCs w:val="18"/>
                <w:lang w:val="fr-FR"/>
              </w:rPr>
            </w:pPr>
            <w:r w:rsidRPr="00F70424">
              <w:rPr>
                <w:b/>
                <w:bCs/>
                <w:i/>
                <w:iCs/>
                <w:color w:val="000000"/>
                <w:sz w:val="18"/>
                <w:szCs w:val="18"/>
                <w:lang w:val="fr-FR"/>
              </w:rPr>
              <w:t>4.2</w:t>
            </w:r>
          </w:p>
        </w:tc>
        <w:tc>
          <w:tcPr>
            <w:tcW w:w="4779" w:type="pct"/>
            <w:gridSpan w:val="2"/>
            <w:shd w:val="clear" w:color="auto" w:fill="auto"/>
            <w:hideMark/>
          </w:tcPr>
          <w:p w:rsidR="008B009E" w:rsidRPr="00F70424" w:rsidRDefault="008B009E">
            <w:pPr>
              <w:rPr>
                <w:b/>
                <w:bCs/>
                <w:i/>
                <w:iCs/>
                <w:color w:val="000000"/>
                <w:sz w:val="18"/>
                <w:szCs w:val="18"/>
                <w:lang w:val="fr-FR"/>
              </w:rPr>
            </w:pPr>
            <w:r w:rsidRPr="00F70424">
              <w:rPr>
                <w:b/>
                <w:bCs/>
                <w:i/>
                <w:iCs/>
                <w:color w:val="000000"/>
                <w:sz w:val="18"/>
                <w:szCs w:val="18"/>
                <w:lang w:val="fr-FR"/>
              </w:rPr>
              <w:t>Sous-composante 4.2: Coût opérationnel de l’UGP</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color w:val="000000"/>
                <w:sz w:val="20"/>
                <w:szCs w:val="20"/>
                <w:lang w:val="fr-FR"/>
              </w:rPr>
            </w:pPr>
            <w:r w:rsidRPr="00F70424">
              <w:rPr>
                <w:color w:val="000000"/>
                <w:sz w:val="20"/>
                <w:szCs w:val="20"/>
                <w:lang w:val="fr-FR"/>
              </w:rPr>
              <w:t> </w:t>
            </w:r>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Biens</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 </w:t>
            </w:r>
          </w:p>
        </w:tc>
      </w:tr>
      <w:tr w:rsidR="008B009E" w:rsidRPr="00F70424" w:rsidTr="00EF608A">
        <w:trPr>
          <w:trHeight w:val="165"/>
        </w:trPr>
        <w:tc>
          <w:tcPr>
            <w:tcW w:w="221"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 </w:t>
            </w:r>
          </w:p>
        </w:tc>
        <w:tc>
          <w:tcPr>
            <w:tcW w:w="3372" w:type="pct"/>
            <w:shd w:val="clear" w:color="auto" w:fill="auto"/>
            <w:vAlign w:val="center"/>
            <w:hideMark/>
          </w:tcPr>
          <w:p w:rsidR="008B009E" w:rsidRPr="00F70424" w:rsidRDefault="00011E56">
            <w:pPr>
              <w:rPr>
                <w:color w:val="000000"/>
                <w:sz w:val="20"/>
                <w:szCs w:val="20"/>
                <w:lang w:val="fr-FR"/>
              </w:rPr>
            </w:pPr>
            <w:r w:rsidRPr="00F70424">
              <w:rPr>
                <w:color w:val="000000"/>
                <w:sz w:val="20"/>
                <w:szCs w:val="20"/>
                <w:lang w:val="fr-FR"/>
              </w:rPr>
              <w:t>Acquisition</w:t>
            </w:r>
            <w:r w:rsidR="008B009E" w:rsidRPr="00F70424">
              <w:rPr>
                <w:color w:val="000000"/>
                <w:sz w:val="20"/>
                <w:szCs w:val="20"/>
                <w:lang w:val="fr-FR"/>
              </w:rPr>
              <w:t xml:space="preserve"> de véhicules de coordination</w:t>
            </w:r>
          </w:p>
        </w:tc>
        <w:tc>
          <w:tcPr>
            <w:tcW w:w="1407" w:type="pct"/>
            <w:shd w:val="clear" w:color="auto" w:fill="auto"/>
            <w:vAlign w:val="center"/>
            <w:hideMark/>
          </w:tcPr>
          <w:p w:rsidR="008B009E" w:rsidRPr="00F70424" w:rsidRDefault="008C5F3D">
            <w:pPr>
              <w:rPr>
                <w:color w:val="000000"/>
                <w:sz w:val="20"/>
                <w:szCs w:val="20"/>
                <w:lang w:val="fr-FR"/>
              </w:rPr>
            </w:pPr>
            <w:r w:rsidRPr="00F70424">
              <w:rPr>
                <w:color w:val="000000"/>
                <w:sz w:val="20"/>
                <w:szCs w:val="20"/>
                <w:lang w:val="fr-FR"/>
              </w:rPr>
              <w:t>CF=Sh</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color w:val="000000"/>
                <w:sz w:val="20"/>
                <w:szCs w:val="20"/>
                <w:lang w:val="fr-FR"/>
              </w:rPr>
            </w:pPr>
            <w:r w:rsidRPr="00F70424">
              <w:rPr>
                <w:color w:val="000000"/>
                <w:sz w:val="20"/>
                <w:szCs w:val="20"/>
                <w:lang w:val="fr-FR"/>
              </w:rPr>
              <w:t> </w:t>
            </w:r>
          </w:p>
        </w:tc>
        <w:tc>
          <w:tcPr>
            <w:tcW w:w="3372" w:type="pct"/>
            <w:shd w:val="clear" w:color="auto" w:fill="auto"/>
            <w:vAlign w:val="center"/>
            <w:hideMark/>
          </w:tcPr>
          <w:p w:rsidR="008B009E" w:rsidRPr="00F70424" w:rsidRDefault="008B009E">
            <w:pPr>
              <w:jc w:val="center"/>
              <w:rPr>
                <w:b/>
                <w:bCs/>
                <w:color w:val="000000"/>
                <w:sz w:val="20"/>
                <w:szCs w:val="20"/>
                <w:lang w:val="fr-FR"/>
              </w:rPr>
            </w:pPr>
            <w:r w:rsidRPr="00F70424">
              <w:rPr>
                <w:b/>
                <w:bCs/>
                <w:color w:val="000000"/>
                <w:sz w:val="20"/>
                <w:szCs w:val="20"/>
                <w:lang w:val="fr-FR"/>
              </w:rPr>
              <w:t>Services</w:t>
            </w:r>
          </w:p>
        </w:tc>
        <w:tc>
          <w:tcPr>
            <w:tcW w:w="1407" w:type="pct"/>
            <w:shd w:val="clear" w:color="auto" w:fill="auto"/>
            <w:noWrap/>
            <w:vAlign w:val="bottom"/>
            <w:hideMark/>
          </w:tcPr>
          <w:p w:rsidR="008B009E" w:rsidRPr="00F70424" w:rsidRDefault="008B009E">
            <w:pPr>
              <w:rPr>
                <w:color w:val="000000"/>
                <w:sz w:val="20"/>
                <w:szCs w:val="20"/>
                <w:lang w:val="fr-FR"/>
              </w:rPr>
            </w:pPr>
            <w:r w:rsidRPr="00F70424">
              <w:rPr>
                <w:color w:val="000000"/>
                <w:sz w:val="20"/>
                <w:szCs w:val="20"/>
                <w:lang w:val="fr-FR"/>
              </w:rPr>
              <w:t> </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color w:val="000000"/>
                <w:sz w:val="20"/>
                <w:szCs w:val="20"/>
                <w:lang w:val="fr-FR"/>
              </w:rPr>
            </w:pPr>
            <w:r w:rsidRPr="00F70424">
              <w:rPr>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Audit financier</w:t>
            </w:r>
          </w:p>
        </w:tc>
        <w:tc>
          <w:tcPr>
            <w:tcW w:w="1407" w:type="pct"/>
            <w:shd w:val="clear" w:color="auto" w:fill="auto"/>
            <w:noWrap/>
            <w:vAlign w:val="bottom"/>
            <w:hideMark/>
          </w:tcPr>
          <w:p w:rsidR="008B009E" w:rsidRPr="00F70424" w:rsidRDefault="008B009E">
            <w:pPr>
              <w:rPr>
                <w:color w:val="000000"/>
                <w:sz w:val="20"/>
                <w:szCs w:val="20"/>
                <w:lang w:val="fr-FR"/>
              </w:rPr>
            </w:pPr>
            <w:r w:rsidRPr="00F70424">
              <w:rPr>
                <w:color w:val="000000"/>
                <w:sz w:val="20"/>
                <w:szCs w:val="20"/>
                <w:lang w:val="fr-FR"/>
              </w:rPr>
              <w:t>SMC/LR=LCS/LC</w:t>
            </w:r>
          </w:p>
        </w:tc>
      </w:tr>
      <w:tr w:rsidR="008B009E" w:rsidRPr="00F70424" w:rsidTr="00EF608A">
        <w:trPr>
          <w:trHeight w:val="165"/>
        </w:trPr>
        <w:tc>
          <w:tcPr>
            <w:tcW w:w="221" w:type="pct"/>
            <w:shd w:val="clear" w:color="auto" w:fill="auto"/>
            <w:noWrap/>
            <w:vAlign w:val="center"/>
            <w:hideMark/>
          </w:tcPr>
          <w:p w:rsidR="008B009E" w:rsidRPr="00F70424" w:rsidRDefault="008B009E">
            <w:pPr>
              <w:jc w:val="center"/>
              <w:rPr>
                <w:color w:val="000000"/>
                <w:sz w:val="20"/>
                <w:szCs w:val="20"/>
                <w:lang w:val="fr-FR"/>
              </w:rPr>
            </w:pPr>
            <w:r w:rsidRPr="00F70424">
              <w:rPr>
                <w:color w:val="000000"/>
                <w:sz w:val="20"/>
                <w:szCs w:val="20"/>
                <w:lang w:val="fr-FR"/>
              </w:rPr>
              <w:t> </w:t>
            </w:r>
          </w:p>
        </w:tc>
        <w:tc>
          <w:tcPr>
            <w:tcW w:w="3372" w:type="pct"/>
            <w:shd w:val="clear" w:color="auto" w:fill="auto"/>
            <w:vAlign w:val="bottom"/>
            <w:hideMark/>
          </w:tcPr>
          <w:p w:rsidR="008B009E" w:rsidRPr="00F70424" w:rsidRDefault="008B009E">
            <w:pPr>
              <w:rPr>
                <w:color w:val="000000"/>
                <w:sz w:val="20"/>
                <w:szCs w:val="20"/>
                <w:lang w:val="fr-FR"/>
              </w:rPr>
            </w:pPr>
            <w:r w:rsidRPr="00F70424">
              <w:rPr>
                <w:color w:val="000000"/>
                <w:sz w:val="20"/>
                <w:szCs w:val="20"/>
                <w:lang w:val="fr-FR"/>
              </w:rPr>
              <w:t>Matériel informatique pour l'UGP</w:t>
            </w:r>
          </w:p>
        </w:tc>
        <w:tc>
          <w:tcPr>
            <w:tcW w:w="1407" w:type="pct"/>
            <w:shd w:val="clear" w:color="auto" w:fill="auto"/>
            <w:vAlign w:val="center"/>
            <w:hideMark/>
          </w:tcPr>
          <w:p w:rsidR="008B009E" w:rsidRPr="00F70424" w:rsidRDefault="008B009E">
            <w:pPr>
              <w:rPr>
                <w:color w:val="000000"/>
                <w:sz w:val="20"/>
                <w:szCs w:val="20"/>
                <w:lang w:val="fr-FR"/>
              </w:rPr>
            </w:pPr>
            <w:r w:rsidRPr="00F70424">
              <w:rPr>
                <w:color w:val="000000"/>
                <w:sz w:val="20"/>
                <w:szCs w:val="20"/>
                <w:lang w:val="fr-FR"/>
              </w:rPr>
              <w:t>CF=Sh</w:t>
            </w:r>
          </w:p>
        </w:tc>
      </w:tr>
    </w:tbl>
    <w:p w:rsidR="002C3C0E" w:rsidRPr="00F70424" w:rsidRDefault="002C3C0E" w:rsidP="007E45BB">
      <w:pPr>
        <w:ind w:right="72"/>
        <w:jc w:val="both"/>
        <w:rPr>
          <w:lang w:val="fr-FR"/>
        </w:rPr>
      </w:pPr>
    </w:p>
    <w:p w:rsidR="00C30C3D" w:rsidRPr="00F70424" w:rsidRDefault="00C30C3D" w:rsidP="007E45BB">
      <w:pPr>
        <w:ind w:right="72"/>
        <w:jc w:val="both"/>
        <w:rPr>
          <w:lang w:val="fr-FR"/>
        </w:rPr>
      </w:pPr>
      <w:r w:rsidRPr="00F70424">
        <w:rPr>
          <w:lang w:val="fr-FR"/>
        </w:rPr>
        <w:t xml:space="preserve">Les </w:t>
      </w:r>
      <w:r w:rsidR="00F61B08" w:rsidRPr="00F70424">
        <w:rPr>
          <w:lang w:val="fr-FR"/>
        </w:rPr>
        <w:t>acquisition</w:t>
      </w:r>
      <w:r w:rsidRPr="00F70424">
        <w:rPr>
          <w:lang w:val="fr-FR"/>
        </w:rPr>
        <w:t xml:space="preserve">s </w:t>
      </w:r>
      <w:r w:rsidR="00E35120" w:rsidRPr="00F70424">
        <w:rPr>
          <w:lang w:val="fr-FR"/>
        </w:rPr>
        <w:t xml:space="preserve">financées par la Banque Islamique de Développement </w:t>
      </w:r>
      <w:r w:rsidRPr="00F70424">
        <w:rPr>
          <w:lang w:val="fr-FR"/>
        </w:rPr>
        <w:t xml:space="preserve">seront </w:t>
      </w:r>
      <w:r w:rsidR="00F61B08" w:rsidRPr="00F70424">
        <w:rPr>
          <w:lang w:val="fr-FR"/>
        </w:rPr>
        <w:t>effectu</w:t>
      </w:r>
      <w:r w:rsidRPr="00F70424">
        <w:rPr>
          <w:lang w:val="fr-FR"/>
        </w:rPr>
        <w:t>é</w:t>
      </w:r>
      <w:r w:rsidR="00F61B08" w:rsidRPr="00F70424">
        <w:rPr>
          <w:lang w:val="fr-FR"/>
        </w:rPr>
        <w:t>e</w:t>
      </w:r>
      <w:r w:rsidRPr="00F70424">
        <w:rPr>
          <w:lang w:val="fr-FR"/>
        </w:rPr>
        <w:t>s conformément aux Directives</w:t>
      </w:r>
      <w:r w:rsidR="009F6C07" w:rsidRPr="00F70424">
        <w:rPr>
          <w:lang w:val="fr-FR"/>
        </w:rPr>
        <w:t xml:space="preserve"> pour </w:t>
      </w:r>
      <w:r w:rsidR="00E35120" w:rsidRPr="00F70424">
        <w:rPr>
          <w:lang w:val="fr-FR"/>
        </w:rPr>
        <w:t>l’acquisition de Biens, Travaux et services connexes</w:t>
      </w:r>
      <w:r w:rsidRPr="00F70424">
        <w:rPr>
          <w:lang w:val="fr-FR"/>
        </w:rPr>
        <w:t xml:space="preserve"> </w:t>
      </w:r>
      <w:r w:rsidR="009474B0" w:rsidRPr="00F70424">
        <w:rPr>
          <w:lang w:val="fr-FR"/>
        </w:rPr>
        <w:t xml:space="preserve">dans le cadre des Projets </w:t>
      </w:r>
      <w:r w:rsidRPr="00F70424">
        <w:rPr>
          <w:lang w:val="fr-FR"/>
        </w:rPr>
        <w:t>financés par la B</w:t>
      </w:r>
      <w:r w:rsidR="009F6C07" w:rsidRPr="00F70424">
        <w:rPr>
          <w:lang w:val="fr-FR"/>
        </w:rPr>
        <w:t xml:space="preserve">anque </w:t>
      </w:r>
      <w:r w:rsidRPr="00F70424">
        <w:rPr>
          <w:lang w:val="fr-FR"/>
        </w:rPr>
        <w:t>I</w:t>
      </w:r>
      <w:r w:rsidR="009F6C07" w:rsidRPr="00F70424">
        <w:rPr>
          <w:lang w:val="fr-FR"/>
        </w:rPr>
        <w:t xml:space="preserve">slamique de Développement </w:t>
      </w:r>
      <w:r w:rsidRPr="00F70424">
        <w:rPr>
          <w:lang w:val="fr-FR"/>
        </w:rPr>
        <w:t>(</w:t>
      </w:r>
      <w:r w:rsidR="00C47CDF" w:rsidRPr="00F70424">
        <w:rPr>
          <w:lang w:val="fr-FR"/>
        </w:rPr>
        <w:t xml:space="preserve">édition </w:t>
      </w:r>
      <w:r w:rsidR="00E35120" w:rsidRPr="00F70424">
        <w:rPr>
          <w:lang w:val="fr-FR"/>
        </w:rPr>
        <w:t>courante</w:t>
      </w:r>
      <w:r w:rsidRPr="00F70424">
        <w:rPr>
          <w:lang w:val="fr-FR"/>
        </w:rPr>
        <w:t>)</w:t>
      </w:r>
      <w:r w:rsidR="00E35120" w:rsidRPr="00F70424">
        <w:rPr>
          <w:lang w:val="fr-FR"/>
        </w:rPr>
        <w:t xml:space="preserve"> et sont ouvertes à tous les soumissionnaires éligibles, tels que définis dans ces Directives</w:t>
      </w:r>
      <w:r w:rsidRPr="00F70424">
        <w:rPr>
          <w:lang w:val="fr-FR"/>
        </w:rPr>
        <w:t xml:space="preserve">. Les </w:t>
      </w:r>
      <w:r w:rsidR="00E35120" w:rsidRPr="00F70424">
        <w:rPr>
          <w:lang w:val="fr-FR"/>
        </w:rPr>
        <w:t xml:space="preserve">acquisitions </w:t>
      </w:r>
      <w:r w:rsidR="009F6C07" w:rsidRPr="00F70424">
        <w:rPr>
          <w:lang w:val="fr-FR"/>
        </w:rPr>
        <w:t xml:space="preserve">de services de </w:t>
      </w:r>
      <w:r w:rsidRPr="00F70424">
        <w:rPr>
          <w:lang w:val="fr-FR"/>
        </w:rPr>
        <w:t xml:space="preserve">consultants </w:t>
      </w:r>
      <w:r w:rsidR="00E35120" w:rsidRPr="00F70424">
        <w:rPr>
          <w:lang w:val="fr-FR"/>
        </w:rPr>
        <w:t xml:space="preserve">seront effectuées conformément aux Directives pour l’acquisition de Services de Consultants </w:t>
      </w:r>
      <w:r w:rsidR="009474B0" w:rsidRPr="00F70424">
        <w:rPr>
          <w:lang w:val="fr-FR"/>
        </w:rPr>
        <w:t xml:space="preserve">dans le cadre des Projets </w:t>
      </w:r>
      <w:r w:rsidR="00E35120" w:rsidRPr="00F70424">
        <w:rPr>
          <w:lang w:val="fr-FR"/>
        </w:rPr>
        <w:t>financés par la Banque Islamique de Développement</w:t>
      </w:r>
      <w:r w:rsidR="008B009E" w:rsidRPr="00F70424">
        <w:rPr>
          <w:lang w:val="fr-FR"/>
        </w:rPr>
        <w:t>.</w:t>
      </w:r>
    </w:p>
    <w:p w:rsidR="00774114" w:rsidRPr="00F70424" w:rsidRDefault="00774114" w:rsidP="007E45BB">
      <w:pPr>
        <w:ind w:right="72"/>
        <w:jc w:val="both"/>
        <w:rPr>
          <w:lang w:val="fr-FR"/>
        </w:rPr>
      </w:pPr>
    </w:p>
    <w:p w:rsidR="00691DCE" w:rsidRPr="00F70424" w:rsidRDefault="00B63B97" w:rsidP="007E45BB">
      <w:pPr>
        <w:ind w:right="72"/>
        <w:jc w:val="both"/>
        <w:rPr>
          <w:b/>
          <w:lang w:val="fr-FR"/>
        </w:rPr>
      </w:pPr>
      <w:r w:rsidRPr="00F70424">
        <w:rPr>
          <w:lang w:val="fr-FR"/>
        </w:rPr>
        <w:t>Les avis spécifiques de passation des marchés pour les acquisitions à effectuer par Appel d’Offres International (AOI) ou Appel d’Offres International réservé aux pays membres (AOI/PM) et les appels à manifestations d’intérêt</w:t>
      </w:r>
      <w:r w:rsidR="00691DCE" w:rsidRPr="00F70424">
        <w:rPr>
          <w:lang w:val="fr-FR"/>
        </w:rPr>
        <w:t xml:space="preserve"> </w:t>
      </w:r>
      <w:r w:rsidR="008B009E" w:rsidRPr="00F70424">
        <w:rPr>
          <w:lang w:val="fr-FR"/>
        </w:rPr>
        <w:t xml:space="preserve">(AMI) </w:t>
      </w:r>
      <w:r w:rsidR="00691DCE" w:rsidRPr="00F70424">
        <w:rPr>
          <w:lang w:val="fr-FR"/>
        </w:rPr>
        <w:t xml:space="preserve">pour les services de consultants seront publiés au fur et à mesure qu’ils seront disponibles, sur le site internet de la </w:t>
      </w:r>
      <w:r w:rsidR="00691DCE" w:rsidRPr="00F70424">
        <w:rPr>
          <w:b/>
          <w:lang w:val="fr-FR"/>
        </w:rPr>
        <w:t>BIsD</w:t>
      </w:r>
      <w:r w:rsidR="00B9683C" w:rsidRPr="00F70424">
        <w:rPr>
          <w:b/>
          <w:lang w:val="fr-FR"/>
        </w:rPr>
        <w:t xml:space="preserve">, </w:t>
      </w:r>
      <w:r w:rsidR="00B13781" w:rsidRPr="00F70424">
        <w:rPr>
          <w:b/>
          <w:lang w:val="fr-FR"/>
        </w:rPr>
        <w:t>D</w:t>
      </w:r>
      <w:r w:rsidR="00EA7F11" w:rsidRPr="00F70424">
        <w:rPr>
          <w:b/>
          <w:lang w:val="fr-FR"/>
        </w:rPr>
        <w:t xml:space="preserve">g Market, </w:t>
      </w:r>
      <w:r w:rsidR="00B13781" w:rsidRPr="00F70424">
        <w:rPr>
          <w:b/>
          <w:lang w:val="fr-FR"/>
        </w:rPr>
        <w:t>le quotidien</w:t>
      </w:r>
      <w:r w:rsidR="00426EBE" w:rsidRPr="00F70424">
        <w:rPr>
          <w:b/>
          <w:lang w:val="fr-FR"/>
        </w:rPr>
        <w:t xml:space="preserve"> « Togo</w:t>
      </w:r>
      <w:r w:rsidR="00B13781" w:rsidRPr="00F70424">
        <w:rPr>
          <w:b/>
          <w:lang w:val="fr-FR"/>
        </w:rPr>
        <w:t xml:space="preserve"> Presse ».</w:t>
      </w:r>
    </w:p>
    <w:p w:rsidR="00B13781" w:rsidRPr="00F70424" w:rsidRDefault="00B13781" w:rsidP="007E45BB">
      <w:pPr>
        <w:ind w:right="72"/>
        <w:jc w:val="both"/>
        <w:rPr>
          <w:lang w:val="fr-FR"/>
        </w:rPr>
      </w:pPr>
    </w:p>
    <w:p w:rsidR="00F61B08" w:rsidRPr="00F70424" w:rsidRDefault="00F61B08" w:rsidP="007E45BB">
      <w:pPr>
        <w:ind w:right="74"/>
        <w:jc w:val="both"/>
        <w:rPr>
          <w:lang w:val="fr-FR"/>
        </w:rPr>
      </w:pPr>
      <w:r w:rsidRPr="00F70424">
        <w:rPr>
          <w:lang w:val="fr-FR"/>
        </w:rPr>
        <w:t xml:space="preserve">Les candidats intéressés </w:t>
      </w:r>
      <w:r w:rsidR="00517E16" w:rsidRPr="00F70424">
        <w:rPr>
          <w:lang w:val="fr-FR"/>
        </w:rPr>
        <w:t xml:space="preserve">et éligibles, qui souhaitent être considérés pour la </w:t>
      </w:r>
      <w:r w:rsidR="00861189" w:rsidRPr="00F70424">
        <w:rPr>
          <w:lang w:val="fr-FR"/>
        </w:rPr>
        <w:t>fourniture</w:t>
      </w:r>
      <w:r w:rsidR="00517E16" w:rsidRPr="00F70424">
        <w:rPr>
          <w:lang w:val="fr-FR"/>
        </w:rPr>
        <w:t xml:space="preserve"> de biens, travaux et services de consultants pour le projet, ou qui désirent obtenir des informations additionnelles, sont invités à contacter le Bénéficiaire à l’adresse ci-</w:t>
      </w:r>
      <w:r w:rsidR="00235DC8" w:rsidRPr="00F70424">
        <w:rPr>
          <w:lang w:val="fr-FR"/>
        </w:rPr>
        <w:t>dessous :</w:t>
      </w:r>
      <w:r w:rsidR="00F85011" w:rsidRPr="00F70424">
        <w:rPr>
          <w:lang w:val="fr-FR"/>
        </w:rPr>
        <w:t xml:space="preserve"> </w:t>
      </w:r>
    </w:p>
    <w:p w:rsidR="00F85011" w:rsidRPr="00F70424" w:rsidRDefault="00F85011" w:rsidP="005846B8">
      <w:pPr>
        <w:ind w:right="74"/>
        <w:jc w:val="both"/>
        <w:rPr>
          <w:lang w:val="fr-FR"/>
        </w:rPr>
      </w:pPr>
      <w:r w:rsidRPr="00F70424">
        <w:rPr>
          <w:lang w:val="fr-FR"/>
        </w:rPr>
        <w:lastRenderedPageBreak/>
        <w:t>Projet PAAQET,</w:t>
      </w:r>
      <w:r w:rsidR="005846B8" w:rsidRPr="00F70424">
        <w:rPr>
          <w:lang w:val="fr-FR"/>
        </w:rPr>
        <w:t xml:space="preserve"> </w:t>
      </w:r>
      <w:r w:rsidR="00E96AA8" w:rsidRPr="00F70424">
        <w:rPr>
          <w:lang w:val="fr-FR"/>
        </w:rPr>
        <w:t xml:space="preserve">s/c </w:t>
      </w:r>
      <w:r w:rsidR="005846B8" w:rsidRPr="00F70424">
        <w:rPr>
          <w:lang w:val="fr-FR"/>
        </w:rPr>
        <w:t>Ministère des Enseignements Primaire, Secondaire, Technique et de l’Artisanat (MEPSTA) ;</w:t>
      </w:r>
      <w:r w:rsidR="00E96AA8" w:rsidRPr="00F70424">
        <w:rPr>
          <w:lang w:val="fr-FR"/>
        </w:rPr>
        <w:t xml:space="preserve"> 01 BP 1393</w:t>
      </w:r>
      <w:r w:rsidR="005846B8" w:rsidRPr="00F70424">
        <w:rPr>
          <w:lang w:val="fr-FR"/>
        </w:rPr>
        <w:t xml:space="preserve"> Lomé-Togo. E</w:t>
      </w:r>
      <w:r w:rsidRPr="00F70424">
        <w:rPr>
          <w:lang w:val="fr-FR"/>
        </w:rPr>
        <w:t xml:space="preserve">-mail : </w:t>
      </w:r>
      <w:hyperlink r:id="rId8" w:history="1">
        <w:r w:rsidR="005846B8" w:rsidRPr="00F70424">
          <w:rPr>
            <w:rStyle w:val="Lienhypertexte"/>
            <w:lang w:val="fr-FR"/>
          </w:rPr>
          <w:t>paaqet2022@gmail.com</w:t>
        </w:r>
      </w:hyperlink>
      <w:r w:rsidR="005846B8" w:rsidRPr="00F70424">
        <w:rPr>
          <w:lang w:val="fr-FR"/>
        </w:rPr>
        <w:t>.                                     Tél : (+228) 90038484 ; 90214517 ; 96425353.</w:t>
      </w:r>
    </w:p>
    <w:p w:rsidR="00F85011" w:rsidRPr="00F70424" w:rsidRDefault="00F85011" w:rsidP="00F85011">
      <w:pPr>
        <w:ind w:right="72"/>
        <w:jc w:val="both"/>
        <w:rPr>
          <w:b/>
          <w:lang w:val="fr-FR"/>
        </w:rPr>
      </w:pPr>
      <w:bookmarkStart w:id="3" w:name="_Hlk56781504"/>
    </w:p>
    <w:p w:rsidR="00F85011" w:rsidRPr="00F70424" w:rsidRDefault="00F85011" w:rsidP="00F85011">
      <w:pPr>
        <w:ind w:right="72"/>
        <w:jc w:val="both"/>
        <w:rPr>
          <w:b/>
          <w:lang w:val="fr-FR"/>
        </w:rPr>
      </w:pPr>
    </w:p>
    <w:p w:rsidR="007864A0" w:rsidRPr="00F70424" w:rsidRDefault="007864A0" w:rsidP="00F85011">
      <w:pPr>
        <w:ind w:right="72"/>
        <w:jc w:val="both"/>
        <w:rPr>
          <w:b/>
          <w:sz w:val="22"/>
          <w:szCs w:val="22"/>
          <w:lang w:val="fr-FR"/>
        </w:rPr>
      </w:pPr>
      <w:r w:rsidRPr="00F70424">
        <w:rPr>
          <w:b/>
          <w:lang w:val="fr-FR"/>
        </w:rPr>
        <w:t xml:space="preserve"> </w:t>
      </w:r>
    </w:p>
    <w:p w:rsidR="00463E5C" w:rsidRPr="00F70424" w:rsidRDefault="00463E5C" w:rsidP="007E45BB">
      <w:pPr>
        <w:rPr>
          <w:rFonts w:eastAsia="Calibri"/>
          <w:b/>
          <w:lang w:val="fr-FR"/>
        </w:rPr>
      </w:pPr>
    </w:p>
    <w:p w:rsidR="00463E5C" w:rsidRPr="00F70424" w:rsidRDefault="00463E5C" w:rsidP="007E45BB">
      <w:pPr>
        <w:ind w:right="72"/>
        <w:jc w:val="both"/>
        <w:rPr>
          <w:b/>
          <w:u w:val="single"/>
          <w:lang w:val="fr-FR"/>
        </w:rPr>
      </w:pPr>
      <w:r w:rsidRPr="00F70424">
        <w:rPr>
          <w:b/>
          <w:u w:val="single"/>
          <w:lang w:val="fr-FR"/>
        </w:rPr>
        <w:t>Légende</w:t>
      </w:r>
    </w:p>
    <w:p w:rsidR="00774114" w:rsidRPr="00F70424" w:rsidRDefault="00774114" w:rsidP="007E45BB">
      <w:pPr>
        <w:ind w:right="72"/>
        <w:jc w:val="both"/>
        <w:rPr>
          <w:b/>
          <w:u w:val="single"/>
          <w:lang w:val="fr-FR"/>
        </w:rPr>
      </w:pPr>
    </w:p>
    <w:p w:rsidR="00463E5C" w:rsidRPr="00F70424" w:rsidRDefault="00463E5C" w:rsidP="007E45BB">
      <w:pPr>
        <w:ind w:right="72"/>
        <w:jc w:val="both"/>
        <w:rPr>
          <w:sz w:val="22"/>
          <w:szCs w:val="22"/>
          <w:lang w:val="fr-FR"/>
        </w:rPr>
      </w:pPr>
      <w:r w:rsidRPr="00F70424">
        <w:rPr>
          <w:sz w:val="22"/>
          <w:szCs w:val="22"/>
          <w:lang w:val="fr-FR"/>
        </w:rPr>
        <w:t>AOI</w:t>
      </w:r>
      <w:r w:rsidR="00EA7F11" w:rsidRPr="00F70424">
        <w:rPr>
          <w:sz w:val="22"/>
          <w:szCs w:val="22"/>
          <w:lang w:val="fr-FR"/>
        </w:rPr>
        <w:t>/</w:t>
      </w:r>
      <w:r w:rsidR="00774114" w:rsidRPr="00F70424">
        <w:rPr>
          <w:sz w:val="22"/>
          <w:szCs w:val="22"/>
          <w:lang w:val="fr-FR"/>
        </w:rPr>
        <w:t>PM :</w:t>
      </w:r>
      <w:r w:rsidRPr="00F70424">
        <w:rPr>
          <w:sz w:val="22"/>
          <w:szCs w:val="22"/>
          <w:lang w:val="fr-FR"/>
        </w:rPr>
        <w:t xml:space="preserve"> Appel d’offres International</w:t>
      </w:r>
      <w:r w:rsidR="009325D2" w:rsidRPr="00F70424">
        <w:rPr>
          <w:sz w:val="22"/>
          <w:szCs w:val="22"/>
          <w:lang w:val="fr-FR"/>
        </w:rPr>
        <w:t xml:space="preserve"> ouvert aux Pays </w:t>
      </w:r>
      <w:r w:rsidR="00774114" w:rsidRPr="00F70424">
        <w:rPr>
          <w:sz w:val="22"/>
          <w:szCs w:val="22"/>
          <w:lang w:val="fr-FR"/>
        </w:rPr>
        <w:t>Membres ;</w:t>
      </w:r>
      <w:r w:rsidRPr="00F70424">
        <w:rPr>
          <w:sz w:val="22"/>
          <w:szCs w:val="22"/>
          <w:lang w:val="fr-FR"/>
        </w:rPr>
        <w:t xml:space="preserve"> </w:t>
      </w:r>
    </w:p>
    <w:bookmarkEnd w:id="3"/>
    <w:p w:rsidR="008B009E" w:rsidRPr="00F70424" w:rsidRDefault="008B009E" w:rsidP="007E45BB">
      <w:pPr>
        <w:ind w:right="72"/>
        <w:jc w:val="both"/>
        <w:rPr>
          <w:color w:val="000000"/>
          <w:sz w:val="22"/>
          <w:szCs w:val="22"/>
          <w:lang w:val="fr-FR"/>
        </w:rPr>
      </w:pPr>
      <w:r w:rsidRPr="00F70424">
        <w:rPr>
          <w:color w:val="000000"/>
          <w:sz w:val="22"/>
          <w:szCs w:val="22"/>
          <w:lang w:val="fr-FR"/>
        </w:rPr>
        <w:t>AON : Appel d’offres national</w:t>
      </w:r>
      <w:r w:rsidR="00E61897" w:rsidRPr="00F70424">
        <w:rPr>
          <w:color w:val="000000"/>
          <w:sz w:val="22"/>
          <w:szCs w:val="22"/>
          <w:lang w:val="fr-FR"/>
        </w:rPr>
        <w:t xml:space="preserve"> </w:t>
      </w:r>
      <w:r w:rsidRPr="00F70424">
        <w:rPr>
          <w:color w:val="000000"/>
          <w:sz w:val="22"/>
          <w:szCs w:val="22"/>
          <w:lang w:val="fr-FR"/>
        </w:rPr>
        <w:t>;</w:t>
      </w:r>
    </w:p>
    <w:p w:rsidR="00E61897" w:rsidRPr="00F70424" w:rsidRDefault="00E61897" w:rsidP="007E45BB">
      <w:pPr>
        <w:ind w:right="72"/>
        <w:jc w:val="both"/>
        <w:rPr>
          <w:sz w:val="22"/>
          <w:szCs w:val="22"/>
          <w:lang w:val="fr-FR"/>
        </w:rPr>
      </w:pPr>
      <w:r w:rsidRPr="00F70424">
        <w:rPr>
          <w:sz w:val="22"/>
          <w:szCs w:val="22"/>
          <w:lang w:val="fr-FR"/>
        </w:rPr>
        <w:t xml:space="preserve">SFQC/PM : Sélection fondée sur la qualité et le coût ouvert aux Pays Membres ; </w:t>
      </w:r>
    </w:p>
    <w:p w:rsidR="00E61897" w:rsidRPr="00F70424" w:rsidRDefault="00E61897" w:rsidP="007E45BB">
      <w:pPr>
        <w:ind w:right="72"/>
        <w:jc w:val="both"/>
        <w:rPr>
          <w:sz w:val="22"/>
          <w:szCs w:val="22"/>
          <w:lang w:val="fr-FR"/>
        </w:rPr>
      </w:pPr>
      <w:r w:rsidRPr="00F70424">
        <w:rPr>
          <w:color w:val="000000"/>
          <w:sz w:val="22"/>
          <w:szCs w:val="22"/>
          <w:lang w:val="fr-FR"/>
        </w:rPr>
        <w:t>SMC/LR : Sélection au moindre coût sur la liste restreinte ;</w:t>
      </w:r>
    </w:p>
    <w:p w:rsidR="00463E5C" w:rsidRPr="00F70424" w:rsidRDefault="00774114" w:rsidP="007E45BB">
      <w:pPr>
        <w:ind w:right="72"/>
        <w:jc w:val="both"/>
        <w:rPr>
          <w:sz w:val="22"/>
          <w:szCs w:val="22"/>
          <w:lang w:val="fr-FR"/>
        </w:rPr>
      </w:pPr>
      <w:r w:rsidRPr="00F70424">
        <w:rPr>
          <w:sz w:val="22"/>
          <w:szCs w:val="22"/>
          <w:lang w:val="fr-FR"/>
        </w:rPr>
        <w:t>CF:</w:t>
      </w:r>
      <w:r w:rsidR="00463E5C" w:rsidRPr="00F70424">
        <w:rPr>
          <w:sz w:val="22"/>
          <w:szCs w:val="22"/>
          <w:lang w:val="fr-FR"/>
        </w:rPr>
        <w:t xml:space="preserve"> </w:t>
      </w:r>
      <w:r w:rsidR="009325D2" w:rsidRPr="00F70424">
        <w:rPr>
          <w:sz w:val="22"/>
          <w:szCs w:val="22"/>
          <w:lang w:val="fr-FR"/>
        </w:rPr>
        <w:t>Consultation de Fournisseurs</w:t>
      </w:r>
      <w:r w:rsidR="00E61897" w:rsidRPr="00F70424">
        <w:rPr>
          <w:sz w:val="22"/>
          <w:szCs w:val="22"/>
          <w:lang w:val="fr-FR"/>
        </w:rPr>
        <w:t xml:space="preserve"> </w:t>
      </w:r>
      <w:r w:rsidR="008B009E" w:rsidRPr="00F70424">
        <w:rPr>
          <w:sz w:val="22"/>
          <w:szCs w:val="22"/>
          <w:lang w:val="fr-FR"/>
        </w:rPr>
        <w:t>;</w:t>
      </w:r>
    </w:p>
    <w:p w:rsidR="00E61897" w:rsidRPr="00F70424" w:rsidRDefault="00E61897" w:rsidP="00E61897">
      <w:pPr>
        <w:ind w:right="72"/>
        <w:jc w:val="both"/>
        <w:rPr>
          <w:color w:val="000000"/>
          <w:sz w:val="22"/>
          <w:szCs w:val="22"/>
          <w:lang w:val="fr-FR"/>
        </w:rPr>
      </w:pPr>
      <w:r w:rsidRPr="00F70424">
        <w:rPr>
          <w:color w:val="000000"/>
          <w:sz w:val="22"/>
          <w:szCs w:val="22"/>
          <w:lang w:val="fr-FR"/>
        </w:rPr>
        <w:t>CI/LR : Consultant individual basé sur la liste restreinte ;</w:t>
      </w:r>
    </w:p>
    <w:p w:rsidR="00E61897" w:rsidRPr="00F70424" w:rsidRDefault="00E61897" w:rsidP="007E45BB">
      <w:pPr>
        <w:ind w:right="72"/>
        <w:jc w:val="both"/>
        <w:rPr>
          <w:sz w:val="22"/>
          <w:szCs w:val="22"/>
          <w:lang w:val="fr-FR"/>
        </w:rPr>
      </w:pPr>
      <w:r w:rsidRPr="00F70424">
        <w:rPr>
          <w:sz w:val="22"/>
          <w:szCs w:val="22"/>
          <w:lang w:val="fr-FR"/>
        </w:rPr>
        <w:t>Sh : Shopping ;</w:t>
      </w:r>
    </w:p>
    <w:p w:rsidR="00463E5C" w:rsidRPr="00F70424" w:rsidRDefault="00463E5C" w:rsidP="007E45BB">
      <w:pPr>
        <w:ind w:right="72"/>
        <w:jc w:val="both"/>
        <w:rPr>
          <w:sz w:val="22"/>
          <w:szCs w:val="22"/>
          <w:lang w:val="fr-FR"/>
        </w:rPr>
      </w:pPr>
      <w:r w:rsidRPr="00F70424">
        <w:rPr>
          <w:sz w:val="22"/>
          <w:szCs w:val="22"/>
          <w:lang w:val="fr-FR"/>
        </w:rPr>
        <w:t>ICB/MC (International Competitive Biddi</w:t>
      </w:r>
      <w:r w:rsidR="008B009E" w:rsidRPr="00F70424">
        <w:rPr>
          <w:sz w:val="22"/>
          <w:szCs w:val="22"/>
          <w:lang w:val="fr-FR"/>
        </w:rPr>
        <w:t>ng limited to Member Countries)</w:t>
      </w:r>
      <w:r w:rsidR="00E61897" w:rsidRPr="00F70424">
        <w:rPr>
          <w:sz w:val="22"/>
          <w:szCs w:val="22"/>
          <w:lang w:val="fr-FR"/>
        </w:rPr>
        <w:t xml:space="preserve"> </w:t>
      </w:r>
      <w:r w:rsidR="008B009E" w:rsidRPr="00F70424">
        <w:rPr>
          <w:sz w:val="22"/>
          <w:szCs w:val="22"/>
          <w:lang w:val="fr-FR"/>
        </w:rPr>
        <w:t>;</w:t>
      </w:r>
      <w:r w:rsidRPr="00F70424">
        <w:rPr>
          <w:sz w:val="22"/>
          <w:szCs w:val="22"/>
          <w:lang w:val="fr-FR"/>
        </w:rPr>
        <w:t xml:space="preserve"> </w:t>
      </w:r>
    </w:p>
    <w:p w:rsidR="008B009E" w:rsidRPr="00F70424" w:rsidRDefault="00463E5C" w:rsidP="007E45BB">
      <w:pPr>
        <w:ind w:right="72"/>
        <w:jc w:val="both"/>
        <w:rPr>
          <w:sz w:val="22"/>
          <w:szCs w:val="22"/>
          <w:lang w:val="fr-FR"/>
        </w:rPr>
      </w:pPr>
      <w:r w:rsidRPr="00F70424">
        <w:rPr>
          <w:sz w:val="22"/>
          <w:szCs w:val="22"/>
          <w:lang w:val="fr-FR"/>
        </w:rPr>
        <w:t xml:space="preserve">NCB </w:t>
      </w:r>
      <w:r w:rsidR="008B009E" w:rsidRPr="00F70424">
        <w:rPr>
          <w:sz w:val="22"/>
          <w:szCs w:val="22"/>
          <w:lang w:val="fr-FR"/>
        </w:rPr>
        <w:t>(National Competitive Bidding);</w:t>
      </w:r>
    </w:p>
    <w:p w:rsidR="00463E5C" w:rsidRPr="00F70424" w:rsidRDefault="00463E5C" w:rsidP="007E45BB">
      <w:pPr>
        <w:ind w:right="72"/>
        <w:jc w:val="both"/>
        <w:rPr>
          <w:sz w:val="22"/>
          <w:szCs w:val="22"/>
          <w:lang w:val="fr-FR"/>
        </w:rPr>
      </w:pPr>
      <w:r w:rsidRPr="00F70424">
        <w:rPr>
          <w:sz w:val="22"/>
          <w:szCs w:val="22"/>
          <w:lang w:val="fr-FR"/>
        </w:rPr>
        <w:t>QCBS/MC (Quality and Cost Based Selection among a Short</w:t>
      </w:r>
      <w:r w:rsidR="008B009E" w:rsidRPr="00F70424">
        <w:rPr>
          <w:sz w:val="22"/>
          <w:szCs w:val="22"/>
          <w:lang w:val="fr-FR"/>
        </w:rPr>
        <w:t>-list of member country firms)</w:t>
      </w:r>
      <w:r w:rsidR="00E61897" w:rsidRPr="00F70424">
        <w:rPr>
          <w:sz w:val="22"/>
          <w:szCs w:val="22"/>
          <w:lang w:val="fr-FR"/>
        </w:rPr>
        <w:t xml:space="preserve"> </w:t>
      </w:r>
      <w:r w:rsidR="008B009E" w:rsidRPr="00F70424">
        <w:rPr>
          <w:sz w:val="22"/>
          <w:szCs w:val="22"/>
          <w:lang w:val="fr-FR"/>
        </w:rPr>
        <w:t>;</w:t>
      </w:r>
    </w:p>
    <w:p w:rsidR="00463E5C" w:rsidRPr="00F70424" w:rsidRDefault="00463E5C" w:rsidP="007E45BB">
      <w:pPr>
        <w:ind w:right="72"/>
        <w:jc w:val="both"/>
        <w:rPr>
          <w:sz w:val="22"/>
          <w:szCs w:val="22"/>
          <w:lang w:val="fr-FR"/>
        </w:rPr>
      </w:pPr>
      <w:r w:rsidRPr="00F70424">
        <w:rPr>
          <w:sz w:val="22"/>
          <w:szCs w:val="22"/>
          <w:lang w:val="fr-FR"/>
        </w:rPr>
        <w:t>LCS/LC (Least Cost Selection among Short-list of Local firms)</w:t>
      </w:r>
      <w:r w:rsidR="00E61897" w:rsidRPr="00F70424">
        <w:rPr>
          <w:sz w:val="22"/>
          <w:szCs w:val="22"/>
          <w:lang w:val="fr-FR"/>
        </w:rPr>
        <w:t xml:space="preserve"> </w:t>
      </w:r>
      <w:r w:rsidR="008B009E" w:rsidRPr="00F70424">
        <w:rPr>
          <w:sz w:val="22"/>
          <w:szCs w:val="22"/>
          <w:lang w:val="fr-FR"/>
        </w:rPr>
        <w:t>;</w:t>
      </w:r>
    </w:p>
    <w:p w:rsidR="008B009E" w:rsidRPr="00F70424" w:rsidRDefault="008B009E" w:rsidP="007E45BB">
      <w:pPr>
        <w:ind w:right="72"/>
        <w:jc w:val="both"/>
        <w:rPr>
          <w:sz w:val="22"/>
          <w:szCs w:val="22"/>
          <w:lang w:val="fr-FR"/>
        </w:rPr>
      </w:pPr>
      <w:r w:rsidRPr="00F70424">
        <w:rPr>
          <w:color w:val="000000"/>
          <w:sz w:val="22"/>
          <w:szCs w:val="22"/>
          <w:lang w:val="fr-FR"/>
        </w:rPr>
        <w:t xml:space="preserve">IC/LC : </w:t>
      </w:r>
      <w:r w:rsidR="00E61897" w:rsidRPr="00F70424">
        <w:rPr>
          <w:sz w:val="22"/>
          <w:szCs w:val="22"/>
          <w:lang w:val="fr-FR" w:eastAsia="fr-FR"/>
        </w:rPr>
        <w:t>Individual Consultant, Local Consultant.</w:t>
      </w:r>
    </w:p>
    <w:p w:rsidR="00FB7AA4" w:rsidRPr="00F70424" w:rsidRDefault="00FB7AA4" w:rsidP="007E45BB">
      <w:pPr>
        <w:ind w:right="72"/>
        <w:jc w:val="both"/>
        <w:rPr>
          <w:lang w:val="fr-FR"/>
        </w:rPr>
      </w:pPr>
    </w:p>
    <w:p w:rsidR="00463E5C" w:rsidRPr="00F70424" w:rsidRDefault="00FB7AA4" w:rsidP="007E45BB">
      <w:pPr>
        <w:ind w:left="4320" w:right="72" w:firstLine="720"/>
        <w:jc w:val="both"/>
        <w:rPr>
          <w:lang w:val="fr-FR"/>
        </w:rPr>
      </w:pPr>
      <w:r w:rsidRPr="00F70424">
        <w:rPr>
          <w:lang w:val="fr-FR"/>
        </w:rPr>
        <w:t>Lomé, le</w:t>
      </w:r>
      <w:r w:rsidR="0086465A" w:rsidRPr="00F70424">
        <w:rPr>
          <w:lang w:val="fr-FR"/>
        </w:rPr>
        <w:t xml:space="preserve"> </w:t>
      </w:r>
      <w:r w:rsidR="00B916BC">
        <w:rPr>
          <w:b/>
          <w:lang w:val="fr-FR"/>
        </w:rPr>
        <w:t>17 mars</w:t>
      </w:r>
      <w:r w:rsidR="0086465A" w:rsidRPr="00F70424">
        <w:rPr>
          <w:b/>
          <w:lang w:val="fr-FR"/>
        </w:rPr>
        <w:t xml:space="preserve"> 202</w:t>
      </w:r>
      <w:r w:rsidR="007864A0" w:rsidRPr="00F70424">
        <w:rPr>
          <w:b/>
          <w:lang w:val="fr-FR"/>
        </w:rPr>
        <w:t>3</w:t>
      </w:r>
    </w:p>
    <w:p w:rsidR="00DE5F77" w:rsidRPr="00F70424" w:rsidRDefault="00DE5F77" w:rsidP="007E45BB">
      <w:pPr>
        <w:ind w:left="4320" w:right="72" w:firstLine="720"/>
        <w:jc w:val="both"/>
        <w:rPr>
          <w:lang w:val="fr-FR"/>
        </w:rPr>
      </w:pPr>
    </w:p>
    <w:p w:rsidR="00E37969" w:rsidRPr="00F70424" w:rsidRDefault="00E37969" w:rsidP="007E45BB">
      <w:pPr>
        <w:ind w:left="4320" w:right="72" w:firstLine="720"/>
        <w:jc w:val="both"/>
        <w:rPr>
          <w:lang w:val="fr-FR"/>
        </w:rPr>
      </w:pPr>
    </w:p>
    <w:p w:rsidR="00992D95" w:rsidRPr="00F70424" w:rsidRDefault="00992D95" w:rsidP="000175B3">
      <w:pPr>
        <w:ind w:right="74"/>
        <w:rPr>
          <w:b/>
          <w:lang w:val="fr-FR"/>
        </w:rPr>
      </w:pPr>
    </w:p>
    <w:sectPr w:rsidR="00992D95" w:rsidRPr="00F70424" w:rsidSect="008B009E">
      <w:footerReference w:type="default" r:id="rId9"/>
      <w:endnotePr>
        <w:numFmt w:val="decimal"/>
      </w:endnotePr>
      <w:type w:val="continuous"/>
      <w:pgSz w:w="12240" w:h="15840"/>
      <w:pgMar w:top="1440" w:right="160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06" w:rsidRDefault="00E96706">
      <w:r>
        <w:separator/>
      </w:r>
    </w:p>
  </w:endnote>
  <w:endnote w:type="continuationSeparator" w:id="0">
    <w:p w:rsidR="00E96706" w:rsidRDefault="00E9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417237"/>
      <w:docPartObj>
        <w:docPartGallery w:val="Page Numbers (Bottom of Page)"/>
        <w:docPartUnique/>
      </w:docPartObj>
    </w:sdtPr>
    <w:sdtEndPr>
      <w:rPr>
        <w:b/>
      </w:rPr>
    </w:sdtEndPr>
    <w:sdtContent>
      <w:p w:rsidR="003E4E75" w:rsidRPr="003E4E75" w:rsidRDefault="003E4E75">
        <w:pPr>
          <w:pStyle w:val="Pieddepage"/>
          <w:jc w:val="right"/>
          <w:rPr>
            <w:b/>
          </w:rPr>
        </w:pPr>
        <w:r w:rsidRPr="003E4E75">
          <w:rPr>
            <w:b/>
          </w:rPr>
          <w:fldChar w:fldCharType="begin"/>
        </w:r>
        <w:r w:rsidRPr="003E4E75">
          <w:rPr>
            <w:b/>
          </w:rPr>
          <w:instrText>PAGE   \* MERGEFORMAT</w:instrText>
        </w:r>
        <w:r w:rsidRPr="003E4E75">
          <w:rPr>
            <w:b/>
          </w:rPr>
          <w:fldChar w:fldCharType="separate"/>
        </w:r>
        <w:r w:rsidR="009C68A0" w:rsidRPr="009C68A0">
          <w:rPr>
            <w:b/>
            <w:noProof/>
            <w:lang w:val="fr-FR"/>
          </w:rPr>
          <w:t>1</w:t>
        </w:r>
        <w:r w:rsidRPr="003E4E75">
          <w:rPr>
            <w:b/>
          </w:rPr>
          <w:fldChar w:fldCharType="end"/>
        </w:r>
      </w:p>
    </w:sdtContent>
  </w:sdt>
  <w:p w:rsidR="00E96AA8" w:rsidRPr="00913396" w:rsidRDefault="00E96AA8" w:rsidP="00E96AA8">
    <w:pPr>
      <w:pStyle w:val="Pieddepage"/>
      <w:jc w:val="center"/>
    </w:pPr>
    <w:r>
      <w:rPr>
        <w:noProof/>
        <w:lang w:val="fr-FR" w:eastAsia="fr-FR"/>
      </w:rPr>
      <mc:AlternateContent>
        <mc:Choice Requires="wps">
          <w:drawing>
            <wp:anchor distT="4294967294" distB="4294967294" distL="114300" distR="114300" simplePos="0" relativeHeight="251659264" behindDoc="0" locked="0" layoutInCell="1" allowOverlap="1" wp14:anchorId="56884792" wp14:editId="452E8E32">
              <wp:simplePos x="0" y="0"/>
              <wp:positionH relativeFrom="margin">
                <wp:align>left</wp:align>
              </wp:positionH>
              <wp:positionV relativeFrom="paragraph">
                <wp:posOffset>5714</wp:posOffset>
              </wp:positionV>
              <wp:extent cx="5800725" cy="0"/>
              <wp:effectExtent l="0" t="19050" r="28575"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11A05C" id="Connecteur droit 1"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45pt" to="45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" strokecolor="#4579b8 [3044]" strokeweight="3pt">
              <o:lock v:ext="edit" shapetype="f"/>
              <w10:wrap anchorx="margin"/>
            </v:line>
          </w:pict>
        </mc:Fallback>
      </mc:AlternateContent>
    </w:r>
    <w:r w:rsidRPr="00913396">
      <w:rPr>
        <w:i/>
      </w:rPr>
      <w:t>BP</w:t>
    </w:r>
    <w:r>
      <w:rPr>
        <w:i/>
      </w:rPr>
      <w:t xml:space="preserve"> 3221 LOME –TOGO – Tel : 22512167 / 22515075</w:t>
    </w:r>
  </w:p>
  <w:p w:rsidR="003E4E75" w:rsidRDefault="003E4E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06" w:rsidRDefault="00E96706">
      <w:r>
        <w:separator/>
      </w:r>
    </w:p>
  </w:footnote>
  <w:footnote w:type="continuationSeparator" w:id="0">
    <w:p w:rsidR="00E96706" w:rsidRDefault="00E9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0E31"/>
    <w:multiLevelType w:val="hybridMultilevel"/>
    <w:tmpl w:val="C41AD30A"/>
    <w:lvl w:ilvl="0" w:tplc="61C437B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80A7F"/>
    <w:multiLevelType w:val="hybridMultilevel"/>
    <w:tmpl w:val="C41AD30A"/>
    <w:lvl w:ilvl="0" w:tplc="61C437B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F3C6C"/>
    <w:multiLevelType w:val="hybridMultilevel"/>
    <w:tmpl w:val="4BFA06B8"/>
    <w:lvl w:ilvl="0" w:tplc="9F0AE1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D142E"/>
    <w:multiLevelType w:val="hybridMultilevel"/>
    <w:tmpl w:val="7D14E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50BCD"/>
    <w:multiLevelType w:val="hybridMultilevel"/>
    <w:tmpl w:val="C41AD30A"/>
    <w:lvl w:ilvl="0" w:tplc="61C437B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3D"/>
    <w:rsid w:val="00011E56"/>
    <w:rsid w:val="000175B3"/>
    <w:rsid w:val="00023E0A"/>
    <w:rsid w:val="00063CFA"/>
    <w:rsid w:val="00067A66"/>
    <w:rsid w:val="00080E7E"/>
    <w:rsid w:val="000A1531"/>
    <w:rsid w:val="000C215A"/>
    <w:rsid w:val="000D10B9"/>
    <w:rsid w:val="000F4893"/>
    <w:rsid w:val="001313C2"/>
    <w:rsid w:val="00164DD2"/>
    <w:rsid w:val="00175571"/>
    <w:rsid w:val="00175EF4"/>
    <w:rsid w:val="001B4FCA"/>
    <w:rsid w:val="001C075F"/>
    <w:rsid w:val="001E1F7E"/>
    <w:rsid w:val="001E5869"/>
    <w:rsid w:val="00203B62"/>
    <w:rsid w:val="00210785"/>
    <w:rsid w:val="00235DC8"/>
    <w:rsid w:val="00250167"/>
    <w:rsid w:val="002C3C0E"/>
    <w:rsid w:val="002E207A"/>
    <w:rsid w:val="002E774C"/>
    <w:rsid w:val="003068C2"/>
    <w:rsid w:val="00336C46"/>
    <w:rsid w:val="003A3B7B"/>
    <w:rsid w:val="003D44FA"/>
    <w:rsid w:val="003E2E56"/>
    <w:rsid w:val="003E4E75"/>
    <w:rsid w:val="003F6376"/>
    <w:rsid w:val="00402218"/>
    <w:rsid w:val="00406DAD"/>
    <w:rsid w:val="004128EB"/>
    <w:rsid w:val="004229EF"/>
    <w:rsid w:val="00426EBE"/>
    <w:rsid w:val="00463E5C"/>
    <w:rsid w:val="0047361C"/>
    <w:rsid w:val="004768BA"/>
    <w:rsid w:val="004B517F"/>
    <w:rsid w:val="004D0719"/>
    <w:rsid w:val="004E0671"/>
    <w:rsid w:val="004F2778"/>
    <w:rsid w:val="00517E16"/>
    <w:rsid w:val="00531E04"/>
    <w:rsid w:val="00566764"/>
    <w:rsid w:val="00576777"/>
    <w:rsid w:val="005846B8"/>
    <w:rsid w:val="00586EFB"/>
    <w:rsid w:val="00587638"/>
    <w:rsid w:val="005946BC"/>
    <w:rsid w:val="00603B95"/>
    <w:rsid w:val="00611F6F"/>
    <w:rsid w:val="00626884"/>
    <w:rsid w:val="00683899"/>
    <w:rsid w:val="00691DCE"/>
    <w:rsid w:val="006C12F4"/>
    <w:rsid w:val="006D29EB"/>
    <w:rsid w:val="006F1DD8"/>
    <w:rsid w:val="00712B53"/>
    <w:rsid w:val="00734EF3"/>
    <w:rsid w:val="00774114"/>
    <w:rsid w:val="007864A0"/>
    <w:rsid w:val="007C71AD"/>
    <w:rsid w:val="007E45BB"/>
    <w:rsid w:val="007F0A89"/>
    <w:rsid w:val="008176E4"/>
    <w:rsid w:val="00861189"/>
    <w:rsid w:val="0086465A"/>
    <w:rsid w:val="008A11F3"/>
    <w:rsid w:val="008B009E"/>
    <w:rsid w:val="008C5F3D"/>
    <w:rsid w:val="00912919"/>
    <w:rsid w:val="009325D2"/>
    <w:rsid w:val="009474B0"/>
    <w:rsid w:val="00954FA2"/>
    <w:rsid w:val="00992D95"/>
    <w:rsid w:val="009B263A"/>
    <w:rsid w:val="009C68A0"/>
    <w:rsid w:val="009F6C07"/>
    <w:rsid w:val="00A30714"/>
    <w:rsid w:val="00A7269C"/>
    <w:rsid w:val="00AA238B"/>
    <w:rsid w:val="00AA4BB7"/>
    <w:rsid w:val="00AB6EF2"/>
    <w:rsid w:val="00AD541B"/>
    <w:rsid w:val="00AE2DFE"/>
    <w:rsid w:val="00AE3401"/>
    <w:rsid w:val="00AF66AB"/>
    <w:rsid w:val="00B078F3"/>
    <w:rsid w:val="00B13781"/>
    <w:rsid w:val="00B41ABE"/>
    <w:rsid w:val="00B63B97"/>
    <w:rsid w:val="00B64122"/>
    <w:rsid w:val="00B769FE"/>
    <w:rsid w:val="00B916BC"/>
    <w:rsid w:val="00B9683C"/>
    <w:rsid w:val="00BA11D0"/>
    <w:rsid w:val="00BB3DB5"/>
    <w:rsid w:val="00BC2AB4"/>
    <w:rsid w:val="00BF0D7B"/>
    <w:rsid w:val="00C30C3D"/>
    <w:rsid w:val="00C44BDB"/>
    <w:rsid w:val="00C47CDF"/>
    <w:rsid w:val="00C725C8"/>
    <w:rsid w:val="00C74424"/>
    <w:rsid w:val="00CD7152"/>
    <w:rsid w:val="00D4629B"/>
    <w:rsid w:val="00D9020C"/>
    <w:rsid w:val="00DD21DE"/>
    <w:rsid w:val="00DD27B1"/>
    <w:rsid w:val="00DE5F77"/>
    <w:rsid w:val="00DE67A8"/>
    <w:rsid w:val="00DF392B"/>
    <w:rsid w:val="00E22A22"/>
    <w:rsid w:val="00E35120"/>
    <w:rsid w:val="00E37969"/>
    <w:rsid w:val="00E44F40"/>
    <w:rsid w:val="00E61897"/>
    <w:rsid w:val="00E679DE"/>
    <w:rsid w:val="00E96706"/>
    <w:rsid w:val="00E96AA8"/>
    <w:rsid w:val="00EA1926"/>
    <w:rsid w:val="00EA44DF"/>
    <w:rsid w:val="00EA7F11"/>
    <w:rsid w:val="00EF2888"/>
    <w:rsid w:val="00EF608A"/>
    <w:rsid w:val="00EF752B"/>
    <w:rsid w:val="00F0738A"/>
    <w:rsid w:val="00F44F74"/>
    <w:rsid w:val="00F45D11"/>
    <w:rsid w:val="00F61B08"/>
    <w:rsid w:val="00F70424"/>
    <w:rsid w:val="00F85011"/>
    <w:rsid w:val="00F938D9"/>
    <w:rsid w:val="00FB7AA4"/>
    <w:rsid w:val="00FE0B1E"/>
    <w:rsid w:val="00FF46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7">
    <w:name w:val="heading 7"/>
    <w:basedOn w:val="Normal"/>
    <w:next w:val="Normal"/>
    <w:link w:val="Titre7Car"/>
    <w:qFormat/>
    <w:rsid w:val="00F0738A"/>
    <w:pPr>
      <w:keepNext/>
      <w:ind w:right="72"/>
      <w:outlineLvl w:val="6"/>
    </w:pPr>
    <w:rPr>
      <w:rFonts w:ascii="CG Times" w:hAnsi="CG Times"/>
      <w:b/>
      <w:bC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left" w:pos="7200"/>
      </w:tabs>
    </w:pPr>
    <w:rPr>
      <w:i/>
      <w:sz w:val="22"/>
      <w:szCs w:val="20"/>
    </w:rPr>
  </w:style>
  <w:style w:type="character" w:styleId="Numrodepage">
    <w:name w:val="page number"/>
    <w:basedOn w:val="Policepardfaut"/>
  </w:style>
  <w:style w:type="paragraph" w:customStyle="1" w:styleId="BankNormal">
    <w:name w:val="BankNormal"/>
    <w:basedOn w:val="Normal"/>
    <w:pPr>
      <w:spacing w:before="240" w:after="60"/>
    </w:pPr>
    <w:rPr>
      <w:szCs w:val="20"/>
    </w:rPr>
  </w:style>
  <w:style w:type="paragraph" w:styleId="Notedefin">
    <w:name w:val="endnote text"/>
    <w:basedOn w:val="Normal"/>
    <w:semiHidden/>
    <w:rPr>
      <w:sz w:val="20"/>
      <w:szCs w:val="20"/>
    </w:rPr>
  </w:style>
  <w:style w:type="character" w:styleId="Appeldenotedefin">
    <w:name w:val="endnote reference"/>
    <w:basedOn w:val="Policepardfaut"/>
    <w:semiHidden/>
    <w:rPr>
      <w:vertAlign w:val="superscript"/>
    </w:rPr>
  </w:style>
  <w:style w:type="paragraph" w:styleId="Titre">
    <w:name w:val="Title"/>
    <w:basedOn w:val="Normal"/>
    <w:qFormat/>
    <w:pPr>
      <w:ind w:right="72"/>
      <w:jc w:val="center"/>
    </w:pPr>
    <w:rPr>
      <w:rFonts w:ascii="CG Times" w:hAnsi="CG Times"/>
      <w:b/>
      <w:u w:val="single"/>
      <w:lang w:val="fr-FR"/>
    </w:rPr>
  </w:style>
  <w:style w:type="paragraph" w:styleId="Corpsdetexte">
    <w:name w:val="Body Text"/>
    <w:basedOn w:val="Normal"/>
    <w:pPr>
      <w:ind w:right="72"/>
    </w:pPr>
    <w:rPr>
      <w:rFonts w:ascii="CG Times" w:hAnsi="CG Times"/>
      <w:lang w:val="fr-FR"/>
    </w:rPr>
  </w:style>
  <w:style w:type="paragraph" w:styleId="Pieddepage">
    <w:name w:val="footer"/>
    <w:basedOn w:val="Normal"/>
    <w:link w:val="PieddepageCar"/>
    <w:uiPriority w:val="99"/>
    <w:rsid w:val="00A30714"/>
    <w:pPr>
      <w:tabs>
        <w:tab w:val="center" w:pos="4320"/>
        <w:tab w:val="right" w:pos="8640"/>
      </w:tabs>
    </w:pPr>
  </w:style>
  <w:style w:type="paragraph" w:styleId="Textedebulles">
    <w:name w:val="Balloon Text"/>
    <w:basedOn w:val="Normal"/>
    <w:link w:val="TextedebullesCar"/>
    <w:rsid w:val="00250167"/>
    <w:rPr>
      <w:rFonts w:ascii="Tahoma" w:hAnsi="Tahoma" w:cs="Tahoma"/>
      <w:sz w:val="16"/>
      <w:szCs w:val="16"/>
    </w:rPr>
  </w:style>
  <w:style w:type="character" w:customStyle="1" w:styleId="TextedebullesCar">
    <w:name w:val="Texte de bulles Car"/>
    <w:basedOn w:val="Policepardfaut"/>
    <w:link w:val="Textedebulles"/>
    <w:rsid w:val="00250167"/>
    <w:rPr>
      <w:rFonts w:ascii="Tahoma" w:hAnsi="Tahoma" w:cs="Tahoma"/>
      <w:sz w:val="16"/>
      <w:szCs w:val="16"/>
      <w:lang w:val="en-US" w:eastAsia="en-US"/>
    </w:rPr>
  </w:style>
  <w:style w:type="paragraph" w:styleId="Paragraphedeliste">
    <w:name w:val="List Paragraph"/>
    <w:aliases w:val="Citation List,본문(내용),List Paragraph (numbered (a))"/>
    <w:basedOn w:val="Normal"/>
    <w:link w:val="ParagraphedelisteC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ParagraphedelisteCar">
    <w:name w:val="Paragraphe de liste Car"/>
    <w:aliases w:val="Citation List Car,본문(내용) Car,List Paragraph (numbered (a)) Car"/>
    <w:basedOn w:val="Policepardfaut"/>
    <w:link w:val="Paragraphedeliste"/>
    <w:uiPriority w:val="34"/>
    <w:rsid w:val="00531E04"/>
    <w:rPr>
      <w:rFonts w:asciiTheme="minorHAnsi" w:eastAsiaTheme="minorEastAsia" w:hAnsiTheme="minorHAnsi" w:cstheme="minorBidi"/>
      <w:lang w:val="en-GB" w:eastAsia="en-US"/>
    </w:rPr>
  </w:style>
  <w:style w:type="character" w:styleId="Appelnotedebasdep">
    <w:name w:val="footnote reference"/>
    <w:rsid w:val="001C075F"/>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1C075F"/>
    <w:pPr>
      <w:jc w:val="both"/>
    </w:pPr>
    <w:rPr>
      <w:sz w:val="20"/>
      <w:szCs w:val="20"/>
      <w:lang w:val="es-ES_tradnl" w:eastAsia="fr-FR"/>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1C075F"/>
    <w:rPr>
      <w:lang w:val="es-ES_tradnl"/>
    </w:rPr>
  </w:style>
  <w:style w:type="character" w:customStyle="1" w:styleId="Titre7Car">
    <w:name w:val="Titre 7 Car"/>
    <w:basedOn w:val="Policepardfaut"/>
    <w:link w:val="Titre7"/>
    <w:rsid w:val="00F0738A"/>
    <w:rPr>
      <w:rFonts w:ascii="CG Times" w:hAnsi="CG Times"/>
      <w:b/>
      <w:bCs/>
      <w:sz w:val="24"/>
      <w:szCs w:val="24"/>
    </w:rPr>
  </w:style>
  <w:style w:type="table" w:styleId="Grilledutableau">
    <w:name w:val="Table Grid"/>
    <w:basedOn w:val="TableauNormal"/>
    <w:rsid w:val="00F0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463E5C"/>
    <w:rPr>
      <w:color w:val="0000FF"/>
      <w:u w:val="single"/>
    </w:rPr>
  </w:style>
  <w:style w:type="paragraph" w:customStyle="1" w:styleId="Coordonnes">
    <w:name w:val="Coordonnées"/>
    <w:basedOn w:val="Normal"/>
    <w:uiPriority w:val="2"/>
    <w:qFormat/>
    <w:rsid w:val="00DE5F77"/>
    <w:pPr>
      <w:spacing w:before="40"/>
      <w:jc w:val="right"/>
    </w:pPr>
    <w:rPr>
      <w:rFonts w:asciiTheme="minorHAnsi" w:eastAsiaTheme="minorHAnsi" w:hAnsiTheme="minorHAnsi" w:cstheme="minorBidi"/>
      <w:color w:val="595959" w:themeColor="text1" w:themeTint="A6"/>
      <w:kern w:val="20"/>
      <w:sz w:val="18"/>
      <w:szCs w:val="20"/>
      <w:lang w:val="fr-FR" w:eastAsia="fr-FR"/>
    </w:rPr>
  </w:style>
  <w:style w:type="paragraph" w:styleId="NormalWeb">
    <w:name w:val="Normal (Web)"/>
    <w:basedOn w:val="Normal"/>
    <w:uiPriority w:val="99"/>
    <w:unhideWhenUsed/>
    <w:rsid w:val="00587638"/>
    <w:pPr>
      <w:spacing w:before="100" w:beforeAutospacing="1" w:after="100" w:afterAutospacing="1"/>
    </w:pPr>
    <w:rPr>
      <w:rFonts w:eastAsiaTheme="minorEastAsia"/>
      <w:lang w:val="fr-FR" w:eastAsia="fr-FR"/>
    </w:rPr>
  </w:style>
  <w:style w:type="character" w:customStyle="1" w:styleId="PieddepageCar">
    <w:name w:val="Pied de page Car"/>
    <w:basedOn w:val="Policepardfaut"/>
    <w:link w:val="Pieddepage"/>
    <w:uiPriority w:val="99"/>
    <w:rsid w:val="003E4E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aqet202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90B9-5320-4DBE-93B5-B7204482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5066</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Utilisateur Windows</cp:lastModifiedBy>
  <cp:revision>2</cp:revision>
  <cp:lastPrinted>2003-07-29T07:59:00Z</cp:lastPrinted>
  <dcterms:created xsi:type="dcterms:W3CDTF">2023-04-12T09:52:00Z</dcterms:created>
  <dcterms:modified xsi:type="dcterms:W3CDTF">2023-04-12T09:52:00Z</dcterms:modified>
</cp:coreProperties>
</file>