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ascii="Arial Narrow" w:hAnsi="Arial Narrow" w:cs="Arial Narrow"/>
          <w:sz w:val="22"/>
          <w:szCs w:val="22"/>
        </w:rPr>
      </w:pPr>
      <w:r>
        <w:rPr>
          <w:rFonts w:ascii="Arial Narrow" w:hAnsi="Arial Narrow" w:cs="Arial Narrow"/>
          <w:sz w:val="22"/>
          <w:szCs w:val="22"/>
        </w:rPr>
        <w:drawing>
          <wp:inline distT="0" distB="0" distL="0" distR="0">
            <wp:extent cx="819150" cy="529590"/>
            <wp:effectExtent l="0" t="0" r="0" b="381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1015" cy="529590"/>
                    </a:xfrm>
                    <a:prstGeom prst="rect">
                      <a:avLst/>
                    </a:prstGeom>
                  </pic:spPr>
                </pic:pic>
              </a:graphicData>
            </a:graphic>
          </wp:inline>
        </w:drawing>
      </w:r>
    </w:p>
    <w:p>
      <w:pPr>
        <w:pStyle w:val="45"/>
        <w:keepNext w:val="0"/>
        <w:keepLines w:val="0"/>
        <w:tabs>
          <w:tab w:val="clear" w:pos="-720"/>
        </w:tabs>
        <w:suppressAutoHyphens w:val="0"/>
        <w:rPr>
          <w:rFonts w:ascii="Arial Narrow" w:hAnsi="Arial Narrow" w:cs="Arial Narrow"/>
          <w:sz w:val="22"/>
          <w:szCs w:val="22"/>
        </w:rPr>
      </w:pPr>
      <w:r>
        <w:rPr>
          <w:rFonts w:ascii="Arial Narrow" w:hAnsi="Arial Narrow" w:cs="Arial Narrow"/>
          <w:sz w:val="22"/>
          <w:szCs w:val="22"/>
        </w:rPr>
        <w:drawing>
          <wp:inline distT="0" distB="0" distL="0" distR="0">
            <wp:extent cx="522605" cy="485775"/>
            <wp:effectExtent l="0" t="0" r="10795" b="9525"/>
            <wp:docPr id="1" name="Picture 12"/>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2605" cy="485775"/>
                    </a:xfrm>
                    <a:prstGeom prst="rect">
                      <a:avLst/>
                    </a:prstGeom>
                    <a:noFill/>
                    <a:ln>
                      <a:noFill/>
                    </a:ln>
                  </pic:spPr>
                </pic:pic>
              </a:graphicData>
            </a:graphic>
          </wp:inline>
        </w:drawing>
      </w:r>
      <w:r>
        <w:rPr>
          <w:rFonts w:ascii="Arial Narrow" w:hAnsi="Arial Narrow" w:cs="Arial Narrow"/>
          <w:sz w:val="22"/>
          <w:szCs w:val="22"/>
        </w:rPr>
        <w:drawing>
          <wp:inline distT="0" distB="0" distL="0" distR="0">
            <wp:extent cx="314325" cy="493395"/>
            <wp:effectExtent l="0" t="0" r="9525" b="190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extLst>
                        <a:ext uri="{28A0092B-C50C-407E-A947-70E740481C1C}">
                          <a14:useLocalDpi xmlns:a14="http://schemas.microsoft.com/office/drawing/2010/main" val="0"/>
                        </a:ext>
                      </a:extLst>
                    </a:blip>
                    <a:srcRect l="9614" t="4976" r="5445" b="53633"/>
                    <a:stretch>
                      <a:fillRect/>
                    </a:stretch>
                  </pic:blipFill>
                  <pic:spPr>
                    <a:xfrm>
                      <a:off x="0" y="0"/>
                      <a:ext cx="314325" cy="547890"/>
                    </a:xfrm>
                    <a:prstGeom prst="rect">
                      <a:avLst/>
                    </a:prstGeom>
                  </pic:spPr>
                </pic:pic>
              </a:graphicData>
            </a:graphic>
          </wp:inline>
        </w:drawing>
      </w:r>
      <w:r>
        <w:rPr>
          <w:rFonts w:ascii="Arial Narrow" w:hAnsi="Arial Narrow" w:cs="Arial Narrow"/>
          <w:sz w:val="22"/>
          <w:szCs w:val="22"/>
        </w:rPr>
        <w:drawing>
          <wp:inline distT="0" distB="0" distL="0" distR="0">
            <wp:extent cx="443865" cy="447675"/>
            <wp:effectExtent l="0" t="0" r="133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3865" cy="447675"/>
                    </a:xfrm>
                    <a:prstGeom prst="rect">
                      <a:avLst/>
                    </a:prstGeom>
                    <a:noFill/>
                    <a:ln>
                      <a:noFill/>
                    </a:ln>
                  </pic:spPr>
                </pic:pic>
              </a:graphicData>
            </a:graphic>
          </wp:inline>
        </w:drawing>
      </w:r>
    </w:p>
    <w:p>
      <w:pPr>
        <w:pStyle w:val="45"/>
        <w:keepNext w:val="0"/>
        <w:keepLines w:val="0"/>
        <w:tabs>
          <w:tab w:val="clear" w:pos="-720"/>
        </w:tabs>
        <w:suppressAutoHyphens w:val="0"/>
        <w:rPr>
          <w:rFonts w:ascii="Arial Narrow" w:hAnsi="Arial Narrow"/>
          <w:bCs/>
          <w:smallCaps w:val="0"/>
          <w:sz w:val="22"/>
          <w:szCs w:val="22"/>
        </w:rPr>
      </w:pPr>
      <w:r>
        <w:rPr>
          <w:rFonts w:ascii="Arial Narrow" w:hAnsi="Arial Narrow"/>
          <w:bCs/>
          <w:smallCaps w:val="0"/>
          <w:sz w:val="22"/>
          <w:szCs w:val="22"/>
        </w:rPr>
        <w:t>GENERAL PROCUREMENT NOTICE</w:t>
      </w:r>
    </w:p>
    <w:p>
      <w:pPr>
        <w:suppressAutoHyphens/>
        <w:rPr>
          <w:rFonts w:ascii="Arial Narrow" w:hAnsi="Arial Narrow"/>
          <w:spacing w:val="-2"/>
          <w:szCs w:val="22"/>
        </w:rPr>
      </w:pPr>
    </w:p>
    <w:p>
      <w:pPr>
        <w:suppressAutoHyphens/>
        <w:spacing w:line="360" w:lineRule="auto"/>
        <w:rPr>
          <w:rFonts w:ascii="Arial Narrow" w:hAnsi="Arial Narrow"/>
          <w:spacing w:val="-2"/>
          <w:szCs w:val="22"/>
        </w:rPr>
      </w:pPr>
      <w:r>
        <w:rPr>
          <w:rFonts w:ascii="Arial Narrow" w:hAnsi="Arial Narrow"/>
          <w:b/>
          <w:bCs/>
          <w:i/>
          <w:spacing w:val="-2"/>
          <w:szCs w:val="22"/>
        </w:rPr>
        <w:t xml:space="preserve">COUNTRY: </w:t>
      </w:r>
      <w:r>
        <w:rPr>
          <w:rFonts w:ascii="Arial Narrow" w:hAnsi="Arial Narrow"/>
          <w:i/>
          <w:spacing w:val="-2"/>
          <w:szCs w:val="22"/>
        </w:rPr>
        <w:t xml:space="preserve"> </w:t>
      </w:r>
      <w:r>
        <w:rPr>
          <w:rFonts w:ascii="Arial Narrow" w:hAnsi="Arial Narrow"/>
          <w:szCs w:val="22"/>
        </w:rPr>
        <w:t>Federal Republic of Nigeria</w:t>
      </w:r>
    </w:p>
    <w:p>
      <w:pPr>
        <w:suppressAutoHyphens/>
        <w:spacing w:line="360" w:lineRule="auto"/>
        <w:rPr>
          <w:rFonts w:ascii="Arial Narrow" w:hAnsi="Arial Narrow"/>
          <w:spacing w:val="-2"/>
          <w:szCs w:val="22"/>
        </w:rPr>
      </w:pPr>
      <w:r>
        <w:rPr>
          <w:rFonts w:ascii="Arial Narrow" w:hAnsi="Arial Narrow"/>
          <w:b/>
          <w:bCs/>
          <w:i/>
          <w:spacing w:val="-2"/>
          <w:szCs w:val="22"/>
        </w:rPr>
        <w:t>NAME OF PROJECT:</w:t>
      </w:r>
      <w:r>
        <w:rPr>
          <w:rFonts w:ascii="Arial Narrow" w:hAnsi="Arial Narrow"/>
          <w:i/>
          <w:spacing w:val="-2"/>
          <w:szCs w:val="22"/>
        </w:rPr>
        <w:t xml:space="preserve">  </w:t>
      </w:r>
      <w:r>
        <w:rPr>
          <w:rFonts w:ascii="Arial Narrow" w:hAnsi="Arial Narrow"/>
          <w:iCs/>
          <w:spacing w:val="-2"/>
          <w:szCs w:val="22"/>
        </w:rPr>
        <w:t>Special Agro-Industrial Processing Zones Project</w:t>
      </w:r>
    </w:p>
    <w:p>
      <w:pPr>
        <w:suppressAutoHyphens/>
        <w:spacing w:line="360" w:lineRule="auto"/>
        <w:rPr>
          <w:rFonts w:ascii="Arial Narrow" w:hAnsi="Arial Narrow"/>
          <w:i/>
          <w:iCs/>
          <w:spacing w:val="-2"/>
          <w:szCs w:val="22"/>
        </w:rPr>
      </w:pPr>
      <w:r>
        <w:rPr>
          <w:rFonts w:ascii="Arial Narrow" w:hAnsi="Arial Narrow"/>
          <w:b/>
          <w:bCs/>
          <w:i/>
          <w:iCs/>
          <w:spacing w:val="-2"/>
          <w:szCs w:val="22"/>
        </w:rPr>
        <w:t>SECTOR</w:t>
      </w:r>
      <w:r>
        <w:rPr>
          <w:rFonts w:ascii="Arial Narrow" w:hAnsi="Arial Narrow"/>
          <w:b/>
          <w:bCs/>
          <w:spacing w:val="-2"/>
          <w:szCs w:val="22"/>
        </w:rPr>
        <w:t>:</w:t>
      </w:r>
      <w:r>
        <w:rPr>
          <w:rFonts w:ascii="Arial Narrow" w:hAnsi="Arial Narrow"/>
          <w:spacing w:val="-2"/>
          <w:szCs w:val="22"/>
        </w:rPr>
        <w:t xml:space="preserve">  Agriculture</w:t>
      </w:r>
    </w:p>
    <w:p>
      <w:pPr>
        <w:pStyle w:val="14"/>
        <w:spacing w:line="360" w:lineRule="auto"/>
        <w:rPr>
          <w:rFonts w:ascii="Arial Narrow" w:hAnsi="Arial Narrow"/>
          <w:sz w:val="22"/>
          <w:szCs w:val="22"/>
        </w:rPr>
      </w:pPr>
      <w:r>
        <w:rPr>
          <w:rFonts w:ascii="Arial Narrow" w:hAnsi="Arial Narrow"/>
          <w:b/>
          <w:bCs/>
          <w:sz w:val="22"/>
          <w:szCs w:val="22"/>
        </w:rPr>
        <w:t xml:space="preserve">MODE OF FINANCING: </w:t>
      </w:r>
      <w:r>
        <w:rPr>
          <w:rFonts w:ascii="Arial Narrow" w:hAnsi="Arial Narrow"/>
          <w:sz w:val="22"/>
          <w:szCs w:val="22"/>
        </w:rPr>
        <w:t xml:space="preserve"> Services Ijara</w:t>
      </w:r>
    </w:p>
    <w:p>
      <w:pPr>
        <w:pStyle w:val="14"/>
        <w:spacing w:line="360" w:lineRule="auto"/>
        <w:ind w:right="-153"/>
        <w:rPr>
          <w:rFonts w:ascii="Arial Narrow" w:hAnsi="Arial Narrow"/>
          <w:sz w:val="22"/>
          <w:szCs w:val="22"/>
        </w:rPr>
      </w:pPr>
      <w:r>
        <w:rPr>
          <w:rFonts w:ascii="Arial Narrow" w:hAnsi="Arial Narrow"/>
          <w:b/>
          <w:bCs/>
          <w:sz w:val="22"/>
          <w:szCs w:val="22"/>
        </w:rPr>
        <w:t>FINANCING NO:</w:t>
      </w:r>
      <w:r>
        <w:rPr>
          <w:rFonts w:ascii="Arial Narrow" w:hAnsi="Arial Narrow"/>
          <w:sz w:val="22"/>
          <w:szCs w:val="22"/>
        </w:rPr>
        <w:t xml:space="preserve">  </w:t>
      </w:r>
      <w:r>
        <w:rPr>
          <w:rFonts w:ascii="Arial Narrow" w:hAnsi="Arial Narrow" w:eastAsia="Calibri" w:cs="Calibri"/>
          <w:sz w:val="22"/>
          <w:szCs w:val="22"/>
        </w:rPr>
        <w:t>NGA1040</w:t>
      </w:r>
    </w:p>
    <w:p>
      <w:pPr>
        <w:pStyle w:val="38"/>
        <w:tabs>
          <w:tab w:val="clear" w:pos="-720"/>
        </w:tabs>
        <w:rPr>
          <w:rFonts w:ascii="Arial Narrow" w:hAnsi="Arial Narrow"/>
          <w:spacing w:val="-2"/>
          <w:szCs w:val="22"/>
        </w:rPr>
      </w:pPr>
    </w:p>
    <w:p>
      <w:pPr>
        <w:suppressAutoHyphens/>
        <w:jc w:val="both"/>
        <w:rPr>
          <w:rFonts w:ascii="Arial Narrow" w:hAnsi="Arial Narrow"/>
          <w:spacing w:val="-2"/>
          <w:szCs w:val="22"/>
        </w:rPr>
      </w:pPr>
      <w:r>
        <w:rPr>
          <w:rFonts w:ascii="Arial Narrow" w:hAnsi="Arial Narrow"/>
          <w:spacing w:val="-2"/>
          <w:szCs w:val="22"/>
        </w:rPr>
        <w:t xml:space="preserve">The </w:t>
      </w:r>
      <w:r>
        <w:rPr>
          <w:rFonts w:ascii="Arial Narrow" w:hAnsi="Arial Narrow"/>
          <w:spacing w:val="-3"/>
          <w:szCs w:val="22"/>
        </w:rPr>
        <w:t>Federal Government of the Federal Republic of Nigeria</w:t>
      </w:r>
      <w:r>
        <w:rPr>
          <w:rFonts w:ascii="Arial Narrow" w:hAnsi="Arial Narrow"/>
          <w:i/>
          <w:iCs/>
          <w:spacing w:val="-2"/>
          <w:szCs w:val="22"/>
        </w:rPr>
        <w:t xml:space="preserve"> </w:t>
      </w:r>
      <w:r>
        <w:rPr>
          <w:rFonts w:ascii="Arial Narrow" w:hAnsi="Arial Narrow"/>
          <w:iCs/>
          <w:spacing w:val="-2"/>
          <w:szCs w:val="22"/>
        </w:rPr>
        <w:t xml:space="preserve">has received financing </w:t>
      </w:r>
      <w:r>
        <w:rPr>
          <w:rFonts w:ascii="Arial Narrow" w:hAnsi="Arial Narrow"/>
          <w:spacing w:val="-2"/>
          <w:szCs w:val="22"/>
        </w:rPr>
        <w:t xml:space="preserve">in the amount of USD 150.52 Million equivalent from the Islamic Development Bank towards the cost of the Special Agro–Industrial Processing Zones Project </w:t>
      </w:r>
      <w:r>
        <w:rPr>
          <w:rFonts w:ascii="Arial Narrow" w:hAnsi="Arial Narrow"/>
          <w:szCs w:val="22"/>
        </w:rPr>
        <w:t>in Kano, Kwara States including FCT and part of project coordination and management costs at the Federal and State levels</w:t>
      </w:r>
      <w:r>
        <w:rPr>
          <w:rFonts w:ascii="Arial Narrow" w:hAnsi="Arial Narrow"/>
          <w:spacing w:val="-2"/>
          <w:szCs w:val="22"/>
        </w:rPr>
        <w:t xml:space="preserve">, and it intends to apply part of the proceeds to payments for goods, works, related services and consulting services to be procured under this project. </w:t>
      </w:r>
      <w:r>
        <w:rPr>
          <w:rFonts w:ascii="Arial Narrow" w:hAnsi="Arial Narrow"/>
          <w:szCs w:val="22"/>
        </w:rPr>
        <w:t>This project will be jointly financed by the African Development Bank and International Fund for Agricultural Development.</w:t>
      </w:r>
    </w:p>
    <w:p>
      <w:pPr>
        <w:suppressAutoHyphens/>
        <w:jc w:val="both"/>
        <w:rPr>
          <w:rFonts w:ascii="Arial Narrow" w:hAnsi="Arial Narrow"/>
          <w:spacing w:val="-2"/>
          <w:szCs w:val="22"/>
        </w:rPr>
      </w:pPr>
    </w:p>
    <w:p>
      <w:pPr>
        <w:ind w:right="103"/>
        <w:rPr>
          <w:rFonts w:ascii="Arial Narrow" w:hAnsi="Arial Narrow"/>
          <w:szCs w:val="22"/>
        </w:rPr>
      </w:pPr>
      <w:r>
        <w:rPr>
          <w:rFonts w:ascii="Arial Narrow" w:hAnsi="Arial Narrow"/>
          <w:spacing w:val="-2"/>
          <w:szCs w:val="22"/>
        </w:rPr>
        <w:t xml:space="preserve">The project will include the following components: </w:t>
      </w:r>
    </w:p>
    <w:p>
      <w:pPr>
        <w:spacing w:line="259" w:lineRule="auto"/>
        <w:ind w:left="720"/>
        <w:rPr>
          <w:rFonts w:ascii="Arial Narrow" w:hAnsi="Arial Narrow"/>
          <w:szCs w:val="22"/>
        </w:rPr>
      </w:pPr>
      <w:r>
        <w:rPr>
          <w:rFonts w:ascii="Arial Narrow" w:hAnsi="Arial Narrow"/>
          <w:szCs w:val="22"/>
        </w:rPr>
        <w:t xml:space="preserve"> </w:t>
      </w:r>
    </w:p>
    <w:p>
      <w:pPr>
        <w:spacing w:after="103"/>
        <w:ind w:right="103"/>
        <w:rPr>
          <w:rFonts w:ascii="Arial Narrow" w:hAnsi="Arial Narrow"/>
          <w:b/>
          <w:bCs/>
          <w:szCs w:val="22"/>
        </w:rPr>
      </w:pPr>
      <w:r>
        <w:rPr>
          <w:rFonts w:ascii="Arial Narrow" w:hAnsi="Arial Narrow"/>
          <w:b/>
          <w:bCs/>
          <w:szCs w:val="22"/>
        </w:rPr>
        <w:t xml:space="preserve">Component-1. Infrastructure Development and Agro-Industrial Hubs (AIHs) Management:   </w:t>
      </w:r>
    </w:p>
    <w:p>
      <w:pPr>
        <w:ind w:right="103"/>
        <w:jc w:val="both"/>
        <w:rPr>
          <w:rFonts w:ascii="Arial Narrow" w:hAnsi="Arial Narrow"/>
          <w:szCs w:val="22"/>
        </w:rPr>
      </w:pPr>
      <w:r>
        <w:rPr>
          <w:rFonts w:ascii="Arial Narrow" w:hAnsi="Arial Narrow"/>
          <w:szCs w:val="22"/>
        </w:rPr>
        <w:t xml:space="preserve">This component will support the establishment of AIHs and will catalyze processing activities of the Value Chain commodities. For the component to meet and address the specific objective of the project which is to increase the competitiveness and business environment of the Nigerian agriculture sector, it will provide both hard and soft infrastructure that would allow public and private sector investment into the sector at the upstream and downstream axes of the value chain.  Specifically, the IsDB financing will support the Livestock (including beef and dairy) value chains in FCT, Kano, and Kwara. </w:t>
      </w:r>
    </w:p>
    <w:p>
      <w:pPr>
        <w:spacing w:after="108"/>
        <w:ind w:right="103"/>
        <w:jc w:val="both"/>
        <w:rPr>
          <w:rFonts w:ascii="Arial Narrow" w:hAnsi="Arial Narrow"/>
          <w:szCs w:val="22"/>
        </w:rPr>
      </w:pPr>
      <w:r>
        <w:rPr>
          <w:rFonts w:ascii="Arial Narrow" w:hAnsi="Arial Narrow" w:eastAsia="Calibri" w:cs="Calibri"/>
          <w:szCs w:val="22"/>
        </w:rPr>
        <w:t>The component’s activities will therefore entail the construction and/or upgrading of AIHs of which</w:t>
      </w:r>
      <w:r>
        <w:rPr>
          <w:rFonts w:ascii="Arial Narrow" w:hAnsi="Arial Narrow"/>
          <w:szCs w:val="22"/>
        </w:rPr>
        <w:t xml:space="preserve"> IsDB will participate in the financing of three Hubs at the following locations: </w:t>
      </w:r>
    </w:p>
    <w:p>
      <w:pPr>
        <w:numPr>
          <w:ilvl w:val="0"/>
          <w:numId w:val="1"/>
        </w:numPr>
        <w:spacing w:after="148" w:line="248" w:lineRule="auto"/>
        <w:ind w:right="103" w:hanging="360"/>
        <w:jc w:val="both"/>
        <w:rPr>
          <w:rFonts w:ascii="Arial Narrow" w:hAnsi="Arial Narrow"/>
          <w:szCs w:val="22"/>
        </w:rPr>
      </w:pPr>
      <w:r>
        <w:rPr>
          <w:rFonts w:ascii="Arial Narrow" w:hAnsi="Arial Narrow"/>
          <w:szCs w:val="22"/>
        </w:rPr>
        <w:t xml:space="preserve">Paiko-kore/Dobi Livestock Industrial Hub Gwagwalada Area Council of the FCT for the Beef and Dairy value chains. </w:t>
      </w:r>
    </w:p>
    <w:p>
      <w:pPr>
        <w:numPr>
          <w:ilvl w:val="0"/>
          <w:numId w:val="1"/>
        </w:numPr>
        <w:spacing w:after="148" w:line="248" w:lineRule="auto"/>
        <w:ind w:right="103" w:hanging="360"/>
        <w:jc w:val="both"/>
        <w:rPr>
          <w:rFonts w:ascii="Arial Narrow" w:hAnsi="Arial Narrow"/>
          <w:szCs w:val="22"/>
        </w:rPr>
      </w:pPr>
      <w:r>
        <w:rPr>
          <w:rFonts w:ascii="Arial Narrow" w:hAnsi="Arial Narrow"/>
          <w:szCs w:val="22"/>
        </w:rPr>
        <w:t xml:space="preserve">Bagauda Agro-Industrial Hub in Kano State for the, Tomato, Rice, and Oil Seed (Groundnuts and Sesame) value chains. </w:t>
      </w:r>
    </w:p>
    <w:p>
      <w:pPr>
        <w:numPr>
          <w:ilvl w:val="0"/>
          <w:numId w:val="1"/>
        </w:numPr>
        <w:spacing w:after="108" w:line="248" w:lineRule="auto"/>
        <w:ind w:right="103" w:hanging="360"/>
        <w:jc w:val="both"/>
        <w:rPr>
          <w:rFonts w:ascii="Arial Narrow" w:hAnsi="Arial Narrow"/>
          <w:szCs w:val="22"/>
        </w:rPr>
      </w:pPr>
      <w:r>
        <w:rPr>
          <w:rFonts w:ascii="Arial Narrow" w:hAnsi="Arial Narrow"/>
          <w:szCs w:val="22"/>
        </w:rPr>
        <w:t xml:space="preserve">Lata-Nana Grazing Reserve Special Livestock Processing Hub in Kwara for Beef and Dairy value chains. </w:t>
      </w:r>
    </w:p>
    <w:p>
      <w:pPr>
        <w:spacing w:after="86"/>
        <w:ind w:right="103"/>
        <w:rPr>
          <w:rFonts w:ascii="Arial Narrow" w:hAnsi="Arial Narrow"/>
          <w:b/>
          <w:bCs/>
          <w:szCs w:val="22"/>
        </w:rPr>
      </w:pPr>
      <w:r>
        <w:rPr>
          <w:rFonts w:ascii="Arial Narrow" w:hAnsi="Arial Narrow"/>
          <w:b/>
          <w:bCs/>
          <w:szCs w:val="22"/>
        </w:rPr>
        <w:t xml:space="preserve">Component-2. Agricultural Productivity and Production:  </w:t>
      </w:r>
    </w:p>
    <w:p>
      <w:pPr>
        <w:spacing w:after="108"/>
        <w:ind w:right="103"/>
        <w:jc w:val="both"/>
        <w:rPr>
          <w:rFonts w:ascii="Arial Narrow" w:hAnsi="Arial Narrow"/>
          <w:szCs w:val="22"/>
        </w:rPr>
      </w:pPr>
      <w:r>
        <w:rPr>
          <w:rFonts w:ascii="Arial Narrow" w:hAnsi="Arial Narrow"/>
          <w:szCs w:val="22"/>
        </w:rPr>
        <w:t xml:space="preserve">This component will seek to boost the supply of raw materials in the production areas that are in proximity and linked to the Agro-Industrial Hubs being developed under Component 1. Furthermore, the interventions under this component will support farm-level productivity-enhancing infrastructure in agribusiness zones such as irrigation schemes rehabilitation, land development, water supply, etc., and the development of Agricultural Transformation Centers (ATCs). These ATCs will be strategically located within the farming communities </w:t>
      </w:r>
      <w:r>
        <w:rPr>
          <w:rFonts w:ascii="Arial Narrow" w:hAnsi="Arial Narrow" w:eastAsia="Calibri" w:cs="Calibri"/>
          <w:szCs w:val="22"/>
        </w:rPr>
        <w:t xml:space="preserve">around the AIH and would be used for the facilitation of farmers’ access to essential inputs </w:t>
      </w:r>
      <w:r>
        <w:rPr>
          <w:rFonts w:ascii="Arial Narrow" w:hAnsi="Arial Narrow"/>
          <w:szCs w:val="22"/>
        </w:rPr>
        <w:t xml:space="preserve">such as quality seeds, agrochemicals, farm mechanization/digitalization, and primary </w:t>
      </w:r>
      <w:r>
        <w:rPr>
          <w:rFonts w:ascii="Arial Narrow" w:hAnsi="Arial Narrow" w:eastAsia="Calibri" w:cs="Calibri"/>
          <w:szCs w:val="22"/>
        </w:rPr>
        <w:t xml:space="preserve">handling facilities. </w:t>
      </w:r>
      <w:r>
        <w:rPr>
          <w:rFonts w:ascii="Arial Narrow" w:hAnsi="Arial Narrow"/>
          <w:szCs w:val="22"/>
        </w:rPr>
        <w:t xml:space="preserve">  </w:t>
      </w:r>
    </w:p>
    <w:p>
      <w:pPr>
        <w:ind w:right="103"/>
        <w:rPr>
          <w:rFonts w:ascii="Arial Narrow" w:hAnsi="Arial Narrow"/>
          <w:szCs w:val="22"/>
        </w:rPr>
      </w:pPr>
      <w:r>
        <w:rPr>
          <w:rFonts w:ascii="Arial Narrow" w:hAnsi="Arial Narrow"/>
          <w:szCs w:val="22"/>
        </w:rPr>
        <w:t xml:space="preserve">Specifically, the SAPZ Project (under IsDB financing) will finance  ten (10) ATCs in the following locations/sites: </w:t>
      </w:r>
    </w:p>
    <w:p>
      <w:pPr>
        <w:numPr>
          <w:ilvl w:val="0"/>
          <w:numId w:val="2"/>
        </w:numPr>
        <w:spacing w:after="148" w:line="248" w:lineRule="auto"/>
        <w:ind w:right="103" w:hanging="360"/>
        <w:jc w:val="both"/>
        <w:rPr>
          <w:rFonts w:ascii="Arial Narrow" w:hAnsi="Arial Narrow"/>
          <w:szCs w:val="22"/>
        </w:rPr>
      </w:pPr>
      <w:r>
        <w:rPr>
          <w:rFonts w:ascii="Arial Narrow" w:hAnsi="Arial Narrow"/>
          <w:szCs w:val="22"/>
        </w:rPr>
        <w:t xml:space="preserve">FCT: Two (2) ATCs in Kawu in Bwari Area Council and Karshi in Abuja Municipal Council for the Livestock (dairy and beef) value chain. </w:t>
      </w:r>
    </w:p>
    <w:p>
      <w:pPr>
        <w:numPr>
          <w:ilvl w:val="0"/>
          <w:numId w:val="2"/>
        </w:numPr>
        <w:spacing w:after="148" w:line="248" w:lineRule="auto"/>
        <w:ind w:right="103" w:hanging="360"/>
        <w:jc w:val="both"/>
        <w:rPr>
          <w:rFonts w:ascii="Arial Narrow" w:hAnsi="Arial Narrow"/>
          <w:szCs w:val="22"/>
        </w:rPr>
      </w:pPr>
      <w:r>
        <w:rPr>
          <w:rFonts w:ascii="Arial Narrow" w:hAnsi="Arial Narrow"/>
          <w:szCs w:val="22"/>
        </w:rPr>
        <w:t xml:space="preserve">Kano State: Four (4) ATCs in Kura, Bagwai, Dawanau, and Kakara for the Rice, Tomato, and Groundnuts/Sesame Seed Oil respectively.  </w:t>
      </w:r>
    </w:p>
    <w:p>
      <w:pPr>
        <w:numPr>
          <w:ilvl w:val="0"/>
          <w:numId w:val="2"/>
        </w:numPr>
        <w:spacing w:after="109" w:line="248" w:lineRule="auto"/>
        <w:ind w:right="103" w:hanging="360"/>
        <w:jc w:val="both"/>
        <w:rPr>
          <w:rFonts w:ascii="Arial Narrow" w:hAnsi="Arial Narrow"/>
          <w:szCs w:val="22"/>
        </w:rPr>
      </w:pPr>
      <w:r>
        <w:rPr>
          <w:rFonts w:ascii="Arial Narrow" w:hAnsi="Arial Narrow"/>
          <w:szCs w:val="22"/>
        </w:rPr>
        <w:t xml:space="preserve">Kwara: Four (4) ATCs in Afon Milk Collection Center, Asa LGA, Gidan Magajiya Grazing Reserve, Baruten LGA, Kinikini Grazing Reserve, Kaiama LGA, and Olodan Grazing Reserve, Ifelodun LGA for the Livestock value chain. </w:t>
      </w:r>
    </w:p>
    <w:p>
      <w:pPr>
        <w:spacing w:after="108"/>
        <w:ind w:right="103"/>
        <w:jc w:val="both"/>
        <w:rPr>
          <w:rFonts w:ascii="Arial Narrow" w:hAnsi="Arial Narrow"/>
          <w:szCs w:val="22"/>
        </w:rPr>
      </w:pPr>
      <w:r>
        <w:rPr>
          <w:rFonts w:ascii="Arial Narrow" w:hAnsi="Arial Narrow"/>
          <w:szCs w:val="22"/>
        </w:rPr>
        <w:t xml:space="preserve">In addition, this component will support the capacity-building activities related to Good Agriculture Practices (GAP) including climate-smart agriculture, quality requirements, testing and conformity standards, and food safety. Activities of this component will also include: (i) an Information and Communication Technology (ICT) platform on which all actors are registered; this includes a database of all producers; (ii) seed system of high-yielding and climate-adapted crop and livestock varieties, and mechanization services; (iii) training, </w:t>
      </w:r>
      <w:r>
        <w:rPr>
          <w:rFonts w:ascii="Arial Narrow" w:hAnsi="Arial Narrow" w:eastAsia="Calibri" w:cs="Calibri"/>
          <w:szCs w:val="22"/>
        </w:rPr>
        <w:t>registration, and financing of “last</w:t>
      </w:r>
      <w:r>
        <w:rPr>
          <w:rFonts w:ascii="Arial Narrow" w:hAnsi="Arial Narrow"/>
          <w:szCs w:val="22"/>
        </w:rPr>
        <w:t>-</w:t>
      </w:r>
      <w:r>
        <w:rPr>
          <w:rFonts w:ascii="Arial Narrow" w:hAnsi="Arial Narrow" w:eastAsia="Calibri" w:cs="Calibri"/>
          <w:szCs w:val="22"/>
        </w:rPr>
        <w:t>mile” agro</w:t>
      </w:r>
      <w:r>
        <w:rPr>
          <w:rFonts w:ascii="Arial Narrow" w:hAnsi="Arial Narrow"/>
          <w:szCs w:val="22"/>
        </w:rPr>
        <w:t xml:space="preserve">-dealer networks; (iv) an electronic wallet to directly support producers with smart government subsidies to offset some of the costs of inputs, especially fertilizer and seeds; and (v) farm advisory services and R&amp;D. </w:t>
      </w:r>
    </w:p>
    <w:p>
      <w:pPr>
        <w:spacing w:after="108"/>
        <w:ind w:right="103"/>
        <w:jc w:val="both"/>
        <w:rPr>
          <w:rFonts w:ascii="Arial Narrow" w:hAnsi="Arial Narrow"/>
          <w:b/>
          <w:bCs/>
          <w:szCs w:val="22"/>
        </w:rPr>
      </w:pPr>
      <w:r>
        <w:rPr>
          <w:rFonts w:ascii="Arial Narrow" w:hAnsi="Arial Narrow"/>
          <w:b/>
          <w:bCs/>
          <w:szCs w:val="22"/>
        </w:rPr>
        <w:t xml:space="preserve">Component-3. Consultancy Services: </w:t>
      </w:r>
    </w:p>
    <w:p>
      <w:pPr>
        <w:spacing w:after="108"/>
        <w:ind w:right="103"/>
        <w:jc w:val="both"/>
        <w:rPr>
          <w:rFonts w:ascii="Arial Narrow" w:hAnsi="Arial Narrow"/>
          <w:szCs w:val="22"/>
        </w:rPr>
      </w:pPr>
      <w:r>
        <w:rPr>
          <w:rFonts w:ascii="Arial Narrow" w:hAnsi="Arial Narrow"/>
          <w:szCs w:val="22"/>
        </w:rPr>
        <w:t xml:space="preserve">Under this component, Design, and Supervision Consultants will be engaged to produce the SAPZ master plans (detailed designs) for AIHs &amp; ATCs and supervision of civil works and facility managers to undertake the operation and maintenance of the zones. Also, a communications and market branding strategy will be developed for the Nigeria SAPZ Project to raise awareness. This component will undertake a market-sounding exercise for each of the AIH locations to gauge private sector appetite and interest towards investing in the selected AIH, take into consideration investor requirements with regard to the development of the sites, and required incentives from the private sector perspective. Consequently, the Project will undertake annual investment promotion events to attract local and international investors to the respective AIHs and ATCs.  </w:t>
      </w:r>
    </w:p>
    <w:p>
      <w:pPr>
        <w:spacing w:after="108"/>
        <w:ind w:right="103"/>
        <w:jc w:val="both"/>
        <w:rPr>
          <w:rFonts w:ascii="Arial Narrow" w:hAnsi="Arial Narrow"/>
          <w:szCs w:val="22"/>
        </w:rPr>
      </w:pPr>
      <w:r>
        <w:rPr>
          <w:rFonts w:ascii="Arial Narrow" w:hAnsi="Arial Narrow"/>
          <w:szCs w:val="22"/>
        </w:rPr>
        <w:t xml:space="preserve">In addition, the component will contribute to: (i)  improving enabling policy, legislation, and regulations for Agro-Industrial Zones in the country; (ii) enabling the business environment (special regulatory regime) to support private sector investment, including One-Stop Shops, digital infrastructure, customs offices, immigration support, land access, contracts and permits in the Agro-Industrial Hubs; (iii) investment promotion, branding, and marketing of the agro-industrial zones; (iv) capacity building for staff of relevant public institutions; and (v) technical assistance for the review and mainstreaming of IT-based business registration &amp; licensing systems, standard operating procedures for the SAPZ initiative in Nigeria.  </w:t>
      </w:r>
    </w:p>
    <w:p>
      <w:pPr>
        <w:spacing w:line="259" w:lineRule="auto"/>
        <w:rPr>
          <w:rFonts w:ascii="Arial Narrow" w:hAnsi="Arial Narrow"/>
          <w:b/>
          <w:bCs/>
          <w:szCs w:val="22"/>
        </w:rPr>
      </w:pPr>
      <w:r>
        <w:rPr>
          <w:rFonts w:ascii="Arial Narrow" w:hAnsi="Arial Narrow"/>
          <w:szCs w:val="22"/>
        </w:rPr>
        <w:t xml:space="preserve"> </w:t>
      </w:r>
      <w:r>
        <w:rPr>
          <w:rFonts w:ascii="Arial Narrow" w:hAnsi="Arial Narrow"/>
          <w:b/>
          <w:bCs/>
          <w:szCs w:val="22"/>
        </w:rPr>
        <w:t xml:space="preserve">Component-4. Project Coordination and Management:  </w:t>
      </w:r>
    </w:p>
    <w:p>
      <w:pPr>
        <w:ind w:right="103"/>
        <w:jc w:val="both"/>
        <w:rPr>
          <w:rFonts w:ascii="Arial Narrow" w:hAnsi="Arial Narrow"/>
          <w:szCs w:val="22"/>
        </w:rPr>
      </w:pPr>
      <w:r>
        <w:rPr>
          <w:rFonts w:ascii="Arial Narrow" w:hAnsi="Arial Narrow"/>
          <w:szCs w:val="22"/>
        </w:rPr>
        <w:t xml:space="preserve">This component will support the establishment of a Federal Project Coordination Unit (FPCU) within FMARD and Participating State Implementing Units (PSIUs) at the State-level including training of FPCU and PSIUs staff and provision of vehicles, equipment, and furniture.  </w:t>
      </w:r>
    </w:p>
    <w:p>
      <w:pPr>
        <w:ind w:right="103"/>
        <w:jc w:val="both"/>
        <w:rPr>
          <w:rFonts w:ascii="Arial Narrow" w:hAnsi="Arial Narrow"/>
          <w:szCs w:val="22"/>
        </w:rPr>
      </w:pPr>
    </w:p>
    <w:p>
      <w:pPr>
        <w:ind w:right="103"/>
        <w:jc w:val="both"/>
        <w:rPr>
          <w:rFonts w:ascii="Arial Narrow" w:hAnsi="Arial Narrow"/>
          <w:b/>
          <w:bCs/>
          <w:szCs w:val="22"/>
        </w:rPr>
      </w:pPr>
      <w:r>
        <w:rPr>
          <w:rFonts w:ascii="Arial Narrow" w:hAnsi="Arial Narrow"/>
          <w:b/>
          <w:bCs/>
          <w:szCs w:val="22"/>
        </w:rPr>
        <w:t xml:space="preserve">Component-5. Financial Audit: </w:t>
      </w:r>
    </w:p>
    <w:p>
      <w:pPr>
        <w:ind w:right="103"/>
        <w:jc w:val="both"/>
        <w:rPr>
          <w:rFonts w:ascii="Arial Narrow" w:hAnsi="Arial Narrow"/>
          <w:szCs w:val="22"/>
        </w:rPr>
      </w:pPr>
      <w:r>
        <w:rPr>
          <w:rFonts w:ascii="Arial Narrow" w:hAnsi="Arial Narrow"/>
          <w:szCs w:val="22"/>
        </w:rPr>
        <w:t xml:space="preserve">This component entails the services of an independent Financial Audit firm </w:t>
      </w:r>
      <w:r>
        <w:rPr>
          <w:rFonts w:ascii="Arial Narrow" w:hAnsi="Arial Narrow" w:eastAsia="Calibri" w:cs="Calibri"/>
          <w:szCs w:val="22"/>
        </w:rPr>
        <w:t>to carry out an annual audit of the project’</w:t>
      </w:r>
      <w:r>
        <w:rPr>
          <w:rFonts w:ascii="Arial Narrow" w:hAnsi="Arial Narrow"/>
          <w:szCs w:val="22"/>
        </w:rPr>
        <w:t xml:space="preserve">s (FCT, Kano, and Kwara) financial situation.  </w:t>
      </w:r>
    </w:p>
    <w:p>
      <w:pPr>
        <w:spacing w:line="259" w:lineRule="auto"/>
        <w:jc w:val="both"/>
        <w:rPr>
          <w:rFonts w:ascii="Arial Narrow" w:hAnsi="Arial Narrow"/>
          <w:szCs w:val="22"/>
        </w:rPr>
      </w:pPr>
      <w:r>
        <w:rPr>
          <w:rFonts w:ascii="Arial Narrow" w:hAnsi="Arial Narrow"/>
          <w:szCs w:val="22"/>
        </w:rPr>
        <w:t xml:space="preserve"> </w:t>
      </w:r>
    </w:p>
    <w:p>
      <w:pPr>
        <w:spacing w:after="4"/>
        <w:ind w:right="103"/>
        <w:jc w:val="both"/>
        <w:rPr>
          <w:rFonts w:ascii="Arial Narrow" w:hAnsi="Arial Narrow"/>
          <w:b/>
          <w:bCs/>
          <w:szCs w:val="22"/>
        </w:rPr>
      </w:pPr>
      <w:r>
        <w:rPr>
          <w:rFonts w:ascii="Arial Narrow" w:hAnsi="Arial Narrow"/>
          <w:b/>
          <w:bCs/>
          <w:szCs w:val="22"/>
        </w:rPr>
        <w:t>Component-6. Contingency Emergency Response Component (CERC):</w:t>
      </w:r>
    </w:p>
    <w:p>
      <w:pPr>
        <w:spacing w:after="4"/>
        <w:ind w:right="103"/>
        <w:jc w:val="both"/>
        <w:rPr>
          <w:rFonts w:ascii="Arial Narrow" w:hAnsi="Arial Narrow"/>
          <w:szCs w:val="22"/>
        </w:rPr>
      </w:pPr>
      <w:r>
        <w:rPr>
          <w:rFonts w:ascii="Arial Narrow" w:hAnsi="Arial Narrow"/>
          <w:szCs w:val="22"/>
        </w:rPr>
        <w:t xml:space="preserve"> This standalone zero-value component is embedded in the project to allow for the use of the present project resources to cover emergency response activities by reallocating Non-Disbursed funds amongst approved components upon request from the country. </w:t>
      </w:r>
    </w:p>
    <w:p>
      <w:pPr>
        <w:spacing w:line="259" w:lineRule="auto"/>
        <w:rPr>
          <w:rFonts w:ascii="Arial Narrow" w:hAnsi="Arial Narrow"/>
          <w:spacing w:val="-2"/>
          <w:szCs w:val="22"/>
        </w:rPr>
      </w:pPr>
      <w:r>
        <w:rPr>
          <w:rFonts w:ascii="Arial Narrow" w:hAnsi="Arial Narrow"/>
          <w:szCs w:val="22"/>
        </w:rPr>
        <w:t xml:space="preserve"> </w:t>
      </w:r>
      <w:r>
        <w:rPr>
          <w:rFonts w:ascii="Arial Narrow" w:hAnsi="Arial Narrow"/>
          <w:szCs w:val="22"/>
        </w:rPr>
        <w:tab/>
      </w:r>
      <w:r>
        <w:rPr>
          <w:rFonts w:ascii="Arial Narrow" w:hAnsi="Arial Narrow"/>
          <w:szCs w:val="22"/>
        </w:rPr>
        <w:t xml:space="preserve"> </w:t>
      </w:r>
    </w:p>
    <w:p>
      <w:pPr>
        <w:suppressAutoHyphens/>
        <w:jc w:val="both"/>
        <w:rPr>
          <w:rFonts w:ascii="Arial Narrow" w:hAnsi="Arial Narrow"/>
          <w:i/>
          <w:spacing w:val="-2"/>
          <w:szCs w:val="22"/>
        </w:rPr>
      </w:pPr>
      <w:r>
        <w:rPr>
          <w:rFonts w:ascii="Arial Narrow" w:hAnsi="Arial Narrow"/>
          <w:spacing w:val="-2"/>
          <w:szCs w:val="22"/>
        </w:rPr>
        <w:t>Procurement of contracts financed by the Islamic Development Bank will be conducted through the procedures as specified in the Guidelines for Procurement of Goods, Works, and related services under Islamic Development Bank Project Financing (current edition), and is open to all eligible bidders as defined in the guidelines.</w:t>
      </w:r>
      <w:r>
        <w:rPr>
          <w:rFonts w:ascii="Arial Narrow" w:hAnsi="Arial Narrow"/>
          <w:szCs w:val="22"/>
        </w:rPr>
        <w:t xml:space="preserve"> </w:t>
      </w:r>
      <w:r>
        <w:rPr>
          <w:rFonts w:ascii="Arial Narrow" w:hAnsi="Arial Narrow"/>
          <w:spacing w:val="-2"/>
          <w:szCs w:val="22"/>
        </w:rPr>
        <w:t>Consulting services will be selected in accordance with the Guidelines for the Procurement of Consultant Services under Islamic Development Bank Project Financing (current edition).</w:t>
      </w:r>
    </w:p>
    <w:p>
      <w:pPr>
        <w:suppressAutoHyphens/>
        <w:jc w:val="both"/>
        <w:rPr>
          <w:rFonts w:ascii="Arial Narrow" w:hAnsi="Arial Narrow"/>
          <w:spacing w:val="-2"/>
          <w:szCs w:val="22"/>
        </w:rPr>
      </w:pPr>
    </w:p>
    <w:p>
      <w:pPr>
        <w:suppressAutoHyphens/>
        <w:jc w:val="both"/>
        <w:rPr>
          <w:rFonts w:ascii="Arial Narrow" w:hAnsi="Arial Narrow"/>
          <w:iCs/>
          <w:spacing w:val="-2"/>
          <w:szCs w:val="22"/>
        </w:rPr>
      </w:pPr>
      <w:r>
        <w:rPr>
          <w:rFonts w:ascii="Arial Narrow" w:hAnsi="Arial Narrow"/>
          <w:spacing w:val="-2"/>
          <w:szCs w:val="22"/>
        </w:rPr>
        <w:t xml:space="preserve">Specific procurement notices for contracts to be bid under the Islamic Development Bank’s international competitive bidding (ICB) or international competitive bidding – member countries (ICB/MC) procedures and for contracts for consultancy services will be announced, as they become available, on </w:t>
      </w:r>
      <w:r>
        <w:fldChar w:fldCharType="begin"/>
      </w:r>
      <w:r>
        <w:instrText xml:space="preserve"> HYPERLINK "http://www.isdb.org/irj/portal/anonymous?NavigationTarget=navurl://76e1dfd61777849cc88228c9bfe818ea" </w:instrText>
      </w:r>
      <w:r>
        <w:fldChar w:fldCharType="separate"/>
      </w:r>
      <w:r>
        <w:rPr>
          <w:rStyle w:val="22"/>
          <w:rFonts w:ascii="Arial Narrow" w:hAnsi="Arial Narrow"/>
          <w:spacing w:val="-2"/>
          <w:szCs w:val="22"/>
        </w:rPr>
        <w:t>IsDB Website</w:t>
      </w:r>
      <w:r>
        <w:rPr>
          <w:rStyle w:val="22"/>
          <w:rFonts w:ascii="Arial Narrow" w:hAnsi="Arial Narrow"/>
          <w:spacing w:val="-2"/>
          <w:szCs w:val="22"/>
        </w:rPr>
        <w:fldChar w:fldCharType="end"/>
      </w:r>
      <w:r>
        <w:rPr>
          <w:rFonts w:ascii="Arial Narrow" w:hAnsi="Arial Narrow"/>
          <w:spacing w:val="-2"/>
          <w:szCs w:val="22"/>
        </w:rPr>
        <w:t xml:space="preserve"> as well as two most widely read national newspapers</w:t>
      </w:r>
    </w:p>
    <w:p>
      <w:pPr>
        <w:suppressAutoHyphens/>
        <w:jc w:val="both"/>
        <w:rPr>
          <w:rFonts w:ascii="Arial Narrow" w:hAnsi="Arial Narrow"/>
          <w:spacing w:val="-2"/>
          <w:szCs w:val="22"/>
        </w:rPr>
      </w:pPr>
    </w:p>
    <w:p>
      <w:pPr>
        <w:suppressAutoHyphens/>
        <w:jc w:val="both"/>
        <w:rPr>
          <w:rFonts w:ascii="Arial Narrow" w:hAnsi="Arial Narrow"/>
          <w:spacing w:val="-2"/>
          <w:szCs w:val="22"/>
          <w:vertAlign w:val="superscript"/>
        </w:rPr>
      </w:pPr>
      <w:r>
        <w:rPr>
          <w:rFonts w:ascii="Arial Narrow" w:hAnsi="Arial Narrow"/>
          <w:spacing w:val="-2"/>
          <w:szCs w:val="22"/>
        </w:rPr>
        <w:t>Pre - qualification of suppliers and contractors may be required for the contracts depending on the amount and complexity</w:t>
      </w:r>
    </w:p>
    <w:p>
      <w:pPr>
        <w:spacing w:before="400" w:after="200"/>
        <w:ind w:right="200"/>
        <w:jc w:val="both"/>
        <w:rPr>
          <w:rFonts w:ascii="Arial Narrow" w:hAnsi="Arial Narrow" w:cs="Arial"/>
          <w:szCs w:val="22"/>
        </w:rPr>
      </w:pPr>
      <w:r>
        <w:rPr>
          <w:rFonts w:ascii="Arial Narrow" w:hAnsi="Arial Narrow"/>
          <w:spacing w:val="-2"/>
          <w:szCs w:val="22"/>
        </w:rPr>
        <w:t>Interested eligible firms and individuals who would wish to be considered for the provision of goods, works and consulting services for the above-mentioned project, or those requiring additional information, should contact the Beneficiary at the address below:</w:t>
      </w:r>
    </w:p>
    <w:p>
      <w:pPr>
        <w:tabs>
          <w:tab w:val="left" w:pos="-720"/>
          <w:tab w:val="left" w:pos="0"/>
          <w:tab w:val="left" w:pos="720"/>
          <w:tab w:val="left" w:pos="1440"/>
          <w:tab w:val="left" w:pos="2160"/>
        </w:tabs>
        <w:suppressAutoHyphens/>
        <w:ind w:left="2880" w:hanging="2880"/>
        <w:rPr>
          <w:rFonts w:ascii="Arial Narrow" w:hAnsi="Arial Narrow"/>
          <w:b/>
          <w:spacing w:val="-3"/>
          <w:szCs w:val="22"/>
        </w:rPr>
      </w:pPr>
      <w:r>
        <w:rPr>
          <w:rFonts w:ascii="Arial Narrow" w:hAnsi="Arial Narrow"/>
          <w:b/>
          <w:spacing w:val="-3"/>
          <w:szCs w:val="22"/>
        </w:rPr>
        <w:t>National Program Coordinator,</w:t>
      </w:r>
    </w:p>
    <w:p>
      <w:pPr>
        <w:tabs>
          <w:tab w:val="left" w:pos="-720"/>
          <w:tab w:val="left" w:pos="0"/>
          <w:tab w:val="left" w:pos="720"/>
          <w:tab w:val="left" w:pos="1440"/>
          <w:tab w:val="left" w:pos="2160"/>
        </w:tabs>
        <w:suppressAutoHyphens/>
        <w:ind w:left="2880" w:hanging="2880"/>
        <w:rPr>
          <w:rFonts w:ascii="Arial Narrow" w:hAnsi="Arial Narrow"/>
          <w:b/>
          <w:spacing w:val="-3"/>
          <w:szCs w:val="22"/>
        </w:rPr>
      </w:pPr>
      <w:r>
        <w:rPr>
          <w:rFonts w:ascii="Arial Narrow" w:hAnsi="Arial Narrow"/>
          <w:b/>
          <w:spacing w:val="-3"/>
          <w:szCs w:val="22"/>
        </w:rPr>
        <w:t>National Co-ordination Office (NCO)</w:t>
      </w:r>
    </w:p>
    <w:p>
      <w:pPr>
        <w:tabs>
          <w:tab w:val="left" w:pos="-720"/>
          <w:tab w:val="left" w:pos="0"/>
          <w:tab w:val="left" w:pos="720"/>
          <w:tab w:val="left" w:pos="1440"/>
          <w:tab w:val="left" w:pos="2160"/>
        </w:tabs>
        <w:suppressAutoHyphens/>
        <w:ind w:left="2880" w:hanging="2880"/>
        <w:rPr>
          <w:rFonts w:ascii="Arial Narrow" w:hAnsi="Arial Narrow"/>
          <w:b/>
          <w:spacing w:val="-3"/>
          <w:szCs w:val="22"/>
        </w:rPr>
      </w:pPr>
      <w:r>
        <w:rPr>
          <w:rFonts w:ascii="Arial Narrow" w:hAnsi="Arial Narrow"/>
          <w:b/>
          <w:spacing w:val="-3"/>
          <w:szCs w:val="22"/>
        </w:rPr>
        <w:t>Federal Ministry of Agriculture and Rural Development,</w:t>
      </w:r>
    </w:p>
    <w:p>
      <w:pPr>
        <w:tabs>
          <w:tab w:val="left" w:pos="-720"/>
          <w:tab w:val="left" w:pos="0"/>
          <w:tab w:val="left" w:pos="720"/>
          <w:tab w:val="left" w:pos="1440"/>
          <w:tab w:val="left" w:pos="2160"/>
        </w:tabs>
        <w:suppressAutoHyphens/>
        <w:ind w:left="2880" w:hanging="2880"/>
        <w:rPr>
          <w:rFonts w:hint="default" w:ascii="Arial Narrow" w:hAnsi="Arial Narrow"/>
          <w:b/>
          <w:spacing w:val="-3"/>
          <w:szCs w:val="22"/>
          <w:lang w:val="en-US"/>
        </w:rPr>
      </w:pPr>
      <w:r>
        <w:rPr>
          <w:rFonts w:ascii="Arial Narrow" w:hAnsi="Arial Narrow"/>
          <w:b/>
          <w:spacing w:val="-3"/>
          <w:szCs w:val="22"/>
        </w:rPr>
        <w:t xml:space="preserve">FADAMA House, No. 1 Eldoret Close, Off Aminu Kano </w:t>
      </w:r>
      <w:r>
        <w:rPr>
          <w:rFonts w:hint="default" w:ascii="Arial Narrow" w:hAnsi="Arial Narrow"/>
          <w:b/>
          <w:spacing w:val="-3"/>
          <w:szCs w:val="22"/>
          <w:lang w:val="en-US"/>
        </w:rPr>
        <w:t>Crescent,</w:t>
      </w:r>
    </w:p>
    <w:p>
      <w:pPr>
        <w:tabs>
          <w:tab w:val="left" w:pos="-720"/>
          <w:tab w:val="left" w:pos="0"/>
          <w:tab w:val="left" w:pos="720"/>
          <w:tab w:val="left" w:pos="1440"/>
          <w:tab w:val="left" w:pos="2160"/>
        </w:tabs>
        <w:suppressAutoHyphens/>
        <w:ind w:left="2880" w:hanging="2880"/>
        <w:rPr>
          <w:rFonts w:ascii="Arial Narrow" w:hAnsi="Arial Narrow"/>
          <w:b/>
          <w:spacing w:val="-3"/>
          <w:szCs w:val="22"/>
        </w:rPr>
      </w:pPr>
      <w:bookmarkStart w:id="0" w:name="_GoBack"/>
      <w:bookmarkEnd w:id="0"/>
      <w:r>
        <w:rPr>
          <w:rFonts w:ascii="Arial Narrow" w:hAnsi="Arial Narrow"/>
          <w:b/>
          <w:spacing w:val="-3"/>
          <w:szCs w:val="22"/>
        </w:rPr>
        <w:t>Wuse II, Abuja,</w:t>
      </w:r>
    </w:p>
    <w:p>
      <w:pPr>
        <w:pStyle w:val="50"/>
        <w:rPr>
          <w:rFonts w:ascii="Arial Narrow" w:hAnsi="Arial Narrow"/>
          <w:spacing w:val="-2"/>
          <w:sz w:val="22"/>
          <w:szCs w:val="22"/>
        </w:rPr>
      </w:pPr>
      <w:r>
        <w:fldChar w:fldCharType="begin"/>
      </w:r>
      <w:r>
        <w:instrText xml:space="preserve"> HYPERLINK "mailto:info@sapz.gov.ng" </w:instrText>
      </w:r>
      <w:r>
        <w:fldChar w:fldCharType="separate"/>
      </w:r>
      <w:r>
        <w:rPr>
          <w:rFonts w:ascii="Arial Narrow" w:hAnsi="Arial Narrow" w:cs="Arial Narrow"/>
          <w:color w:val="0000FF"/>
          <w:sz w:val="22"/>
          <w:szCs w:val="22"/>
        </w:rPr>
        <w:t>admin</w:t>
      </w:r>
      <w:r>
        <w:rPr>
          <w:rStyle w:val="22"/>
          <w:rFonts w:ascii="Arial Narrow" w:hAnsi="Arial Narrow" w:cs="Times New Roman"/>
          <w:b/>
          <w:spacing w:val="-3"/>
          <w:sz w:val="22"/>
          <w:szCs w:val="22"/>
        </w:rPr>
        <w:t>@sapz.gov.ng</w:t>
      </w:r>
      <w:r>
        <w:rPr>
          <w:rStyle w:val="22"/>
          <w:rFonts w:ascii="Arial Narrow" w:hAnsi="Arial Narrow" w:cs="Times New Roman"/>
          <w:b/>
          <w:spacing w:val="-3"/>
          <w:sz w:val="22"/>
          <w:szCs w:val="22"/>
        </w:rPr>
        <w:fldChar w:fldCharType="end"/>
      </w:r>
      <w:r>
        <w:rPr>
          <w:rFonts w:ascii="Arial Narrow" w:hAnsi="Arial Narrow" w:cs="Times New Roman"/>
          <w:b/>
          <w:spacing w:val="-3"/>
          <w:sz w:val="22"/>
          <w:szCs w:val="22"/>
        </w:rPr>
        <w:t>;  fmard.gov.ng,  +234 8168088308</w:t>
      </w:r>
    </w:p>
    <w:sectPr>
      <w:endnotePr>
        <w:numFmt w:val="decimal"/>
      </w:endnotePr>
      <w:pgSz w:w="11907" w:h="16839"/>
      <w:pgMar w:top="1104" w:right="1800" w:bottom="1440" w:left="1800" w:header="426"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D59EC"/>
    <w:multiLevelType w:val="multilevel"/>
    <w:tmpl w:val="39AD59EC"/>
    <w:lvl w:ilvl="0" w:tentative="0">
      <w:start w:val="1"/>
      <w:numFmt w:val="lowerRoman"/>
      <w:lvlText w:val="(%1)"/>
      <w:lvlJc w:val="left"/>
      <w:pPr>
        <w:ind w:left="720"/>
      </w:pPr>
      <w:rPr>
        <w:rFonts w:ascii="Calibri" w:hAnsi="Calibri" w:eastAsia="Calibri" w:cs="Calibri"/>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
    <w:nsid w:val="45662C71"/>
    <w:multiLevelType w:val="multilevel"/>
    <w:tmpl w:val="45662C71"/>
    <w:lvl w:ilvl="0" w:tentative="0">
      <w:start w:val="1"/>
      <w:numFmt w:val="lowerRoman"/>
      <w:lvlText w:val="(%1)"/>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0"/>
      </w:pPr>
      <w:rPr>
        <w:rFonts w:ascii="Calibri" w:hAnsi="Calibri" w:eastAsia="Calibri" w:cs="Calibri"/>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950"/>
  <w:doNotHyphenateCaps/>
  <w:evenAndOddHeaders w:val="1"/>
  <w:drawingGridHorizontalSpacing w:val="110"/>
  <w:displayHorizontalDrawingGridEvery w:val="0"/>
  <w:displayVerticalDrawingGridEvery w:val="0"/>
  <w:doNotShadeFormData w:val="1"/>
  <w:noPunctuationKerning w:val="1"/>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C3"/>
    <w:rsid w:val="00073C60"/>
    <w:rsid w:val="000F4D9A"/>
    <w:rsid w:val="0010171D"/>
    <w:rsid w:val="00190C88"/>
    <w:rsid w:val="001942C9"/>
    <w:rsid w:val="001F65C4"/>
    <w:rsid w:val="00255E3E"/>
    <w:rsid w:val="002B6075"/>
    <w:rsid w:val="002C5423"/>
    <w:rsid w:val="00343FB8"/>
    <w:rsid w:val="00352257"/>
    <w:rsid w:val="00361619"/>
    <w:rsid w:val="003818BD"/>
    <w:rsid w:val="00392B79"/>
    <w:rsid w:val="003C60C4"/>
    <w:rsid w:val="00411AB9"/>
    <w:rsid w:val="0045556F"/>
    <w:rsid w:val="00456400"/>
    <w:rsid w:val="00457B5D"/>
    <w:rsid w:val="00472074"/>
    <w:rsid w:val="004A4747"/>
    <w:rsid w:val="005130C3"/>
    <w:rsid w:val="00550532"/>
    <w:rsid w:val="00557532"/>
    <w:rsid w:val="005E0060"/>
    <w:rsid w:val="005F40FB"/>
    <w:rsid w:val="00633BF6"/>
    <w:rsid w:val="0065085F"/>
    <w:rsid w:val="0065248A"/>
    <w:rsid w:val="00677A84"/>
    <w:rsid w:val="00710E2F"/>
    <w:rsid w:val="00753FDD"/>
    <w:rsid w:val="00756935"/>
    <w:rsid w:val="007D23F5"/>
    <w:rsid w:val="008268E8"/>
    <w:rsid w:val="00846B37"/>
    <w:rsid w:val="008977EB"/>
    <w:rsid w:val="008D7503"/>
    <w:rsid w:val="00902EFB"/>
    <w:rsid w:val="00924F5F"/>
    <w:rsid w:val="009865B1"/>
    <w:rsid w:val="0099084B"/>
    <w:rsid w:val="009E4E88"/>
    <w:rsid w:val="00A02058"/>
    <w:rsid w:val="00A54B9D"/>
    <w:rsid w:val="00A80B6C"/>
    <w:rsid w:val="00A903DD"/>
    <w:rsid w:val="00A9355C"/>
    <w:rsid w:val="00A94FE4"/>
    <w:rsid w:val="00B42E66"/>
    <w:rsid w:val="00B96F14"/>
    <w:rsid w:val="00C12FE6"/>
    <w:rsid w:val="00C36C3E"/>
    <w:rsid w:val="00D176FE"/>
    <w:rsid w:val="00D32C9C"/>
    <w:rsid w:val="00D40631"/>
    <w:rsid w:val="00D60ACE"/>
    <w:rsid w:val="00D9176D"/>
    <w:rsid w:val="00DB5377"/>
    <w:rsid w:val="00DB62EA"/>
    <w:rsid w:val="00DB78F4"/>
    <w:rsid w:val="00DF62EB"/>
    <w:rsid w:val="00E327FB"/>
    <w:rsid w:val="00E706F3"/>
    <w:rsid w:val="00E72DBC"/>
    <w:rsid w:val="00EC4BD3"/>
    <w:rsid w:val="00F3613D"/>
    <w:rsid w:val="09777664"/>
    <w:rsid w:val="0C4472C6"/>
    <w:rsid w:val="13E555A4"/>
    <w:rsid w:val="239A3B53"/>
    <w:rsid w:val="38497CA6"/>
    <w:rsid w:val="4D227566"/>
    <w:rsid w:val="4EC05E74"/>
    <w:rsid w:val="561808D5"/>
    <w:rsid w:val="637C584D"/>
    <w:rsid w:val="7DCC17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qFormat="1" w:unhideWhenUsed="0" w:uiPriority="0" w:name="endnote reference"/>
    <w:lsdException w:qFormat="1" w:unhideWhenUsed="0" w:uiPriority="0" w:name="endnote text"/>
    <w:lsdException w:uiPriority="0" w:name="table of authorities"/>
    <w:lsdException w:uiPriority="0" w:name="macro"/>
    <w:lsdException w:qFormat="1" w:unhideWhenUsed="0"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hAnsi="CG Times" w:eastAsia="Times New Roman" w:cs="Times New Roman"/>
      <w:sz w:val="22"/>
      <w:lang w:val="en-US" w:eastAsia="en-US" w:bidi="ar-SA"/>
    </w:rPr>
  </w:style>
  <w:style w:type="paragraph" w:styleId="2">
    <w:name w:val="heading 1"/>
    <w:basedOn w:val="1"/>
    <w:next w:val="1"/>
    <w:qFormat/>
    <w:uiPriority w:val="0"/>
    <w:pPr>
      <w:keepNext/>
      <w:keepLines/>
      <w:tabs>
        <w:tab w:val="left" w:pos="-720"/>
      </w:tabs>
      <w:suppressAutoHyphens/>
      <w:jc w:val="center"/>
      <w:outlineLvl w:val="0"/>
    </w:pPr>
    <w:rPr>
      <w:rFonts w:ascii="Times New Roman" w:hAnsi="Times New Roman"/>
      <w:b/>
      <w:smallCaps/>
      <w:sz w:val="32"/>
    </w:rPr>
  </w:style>
  <w:style w:type="paragraph" w:styleId="3">
    <w:name w:val="heading 2"/>
    <w:basedOn w:val="1"/>
    <w:next w:val="1"/>
    <w:qFormat/>
    <w:uiPriority w:val="0"/>
    <w:pPr>
      <w:keepNext/>
      <w:keepLines/>
      <w:tabs>
        <w:tab w:val="left" w:pos="-720"/>
      </w:tabs>
      <w:suppressAutoHyphens/>
      <w:jc w:val="center"/>
      <w:outlineLvl w:val="1"/>
    </w:pPr>
    <w:rPr>
      <w:b/>
      <w:smallCaps/>
    </w:rPr>
  </w:style>
  <w:style w:type="paragraph" w:styleId="4">
    <w:name w:val="heading 3"/>
    <w:basedOn w:val="1"/>
    <w:next w:val="1"/>
    <w:qFormat/>
    <w:uiPriority w:val="0"/>
    <w:pPr>
      <w:keepNext/>
      <w:keepLines/>
      <w:tabs>
        <w:tab w:val="left" w:pos="-720"/>
      </w:tabs>
      <w:suppressAutoHyphens/>
      <w:outlineLvl w:val="2"/>
    </w:pPr>
    <w:rPr>
      <w:b/>
    </w:rPr>
  </w:style>
  <w:style w:type="paragraph" w:styleId="5">
    <w:name w:val="heading 4"/>
    <w:basedOn w:val="1"/>
    <w:next w:val="1"/>
    <w:qFormat/>
    <w:uiPriority w:val="0"/>
    <w:pPr>
      <w:keepNext/>
      <w:keepLines/>
      <w:tabs>
        <w:tab w:val="left" w:pos="-720"/>
      </w:tabs>
      <w:suppressAutoHyphens/>
      <w:outlineLvl w:val="3"/>
    </w:pPr>
    <w:rPr>
      <w:b/>
      <w:i/>
    </w:rPr>
  </w:style>
  <w:style w:type="paragraph" w:styleId="6">
    <w:name w:val="heading 5"/>
    <w:basedOn w:val="1"/>
    <w:next w:val="1"/>
    <w:qFormat/>
    <w:uiPriority w:val="0"/>
    <w:pPr>
      <w:tabs>
        <w:tab w:val="left" w:pos="-720"/>
      </w:tabs>
      <w:suppressAutoHyphens/>
      <w:outlineLvl w:val="4"/>
    </w:pPr>
  </w:style>
  <w:style w:type="paragraph" w:styleId="7">
    <w:name w:val="heading 6"/>
    <w:basedOn w:val="1"/>
    <w:next w:val="1"/>
    <w:qFormat/>
    <w:uiPriority w:val="0"/>
    <w:pPr>
      <w:tabs>
        <w:tab w:val="left" w:pos="-720"/>
      </w:tabs>
      <w:suppressAutoHyphens/>
      <w:outlineLvl w:val="5"/>
    </w:pPr>
  </w:style>
  <w:style w:type="paragraph" w:styleId="8">
    <w:name w:val="heading 7"/>
    <w:basedOn w:val="1"/>
    <w:next w:val="1"/>
    <w:qFormat/>
    <w:uiPriority w:val="0"/>
    <w:pPr>
      <w:tabs>
        <w:tab w:val="left" w:pos="-720"/>
      </w:tabs>
      <w:suppressAutoHyphens/>
      <w:outlineLvl w:val="6"/>
    </w:pPr>
  </w:style>
  <w:style w:type="paragraph" w:styleId="9">
    <w:name w:val="heading 8"/>
    <w:basedOn w:val="1"/>
    <w:next w:val="1"/>
    <w:qFormat/>
    <w:uiPriority w:val="0"/>
    <w:pPr>
      <w:tabs>
        <w:tab w:val="left" w:pos="-720"/>
      </w:tabs>
      <w:suppressAutoHyphens/>
      <w:outlineLvl w:val="7"/>
    </w:pPr>
  </w:style>
  <w:style w:type="paragraph" w:styleId="10">
    <w:name w:val="heading 9"/>
    <w:basedOn w:val="1"/>
    <w:next w:val="1"/>
    <w:qFormat/>
    <w:uiPriority w:val="0"/>
    <w:pPr>
      <w:tabs>
        <w:tab w:val="left" w:pos="-720"/>
      </w:tabs>
      <w:suppressAutoHyphens/>
      <w:outlineLvl w:val="8"/>
    </w:p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sz w:val="16"/>
      <w:szCs w:val="16"/>
    </w:rPr>
  </w:style>
  <w:style w:type="paragraph" w:styleId="14">
    <w:name w:val="Body Text"/>
    <w:basedOn w:val="1"/>
    <w:link w:val="47"/>
    <w:qFormat/>
    <w:uiPriority w:val="0"/>
    <w:pPr>
      <w:suppressAutoHyphens/>
    </w:pPr>
    <w:rPr>
      <w:spacing w:val="-2"/>
      <w:sz w:val="24"/>
    </w:rPr>
  </w:style>
  <w:style w:type="paragraph" w:styleId="15">
    <w:name w:val="caption"/>
    <w:basedOn w:val="1"/>
    <w:next w:val="1"/>
    <w:qFormat/>
    <w:uiPriority w:val="0"/>
    <w:rPr>
      <w:sz w:val="24"/>
    </w:rPr>
  </w:style>
  <w:style w:type="character" w:styleId="16">
    <w:name w:val="endnote reference"/>
    <w:semiHidden/>
    <w:qFormat/>
    <w:uiPriority w:val="0"/>
    <w:rPr>
      <w:rFonts w:ascii="CG Times" w:hAnsi="CG Times"/>
      <w:sz w:val="22"/>
      <w:vertAlign w:val="superscript"/>
      <w:lang w:val="en-US"/>
    </w:rPr>
  </w:style>
  <w:style w:type="paragraph" w:styleId="17">
    <w:name w:val="endnote text"/>
    <w:basedOn w:val="1"/>
    <w:semiHidden/>
    <w:qFormat/>
    <w:uiPriority w:val="0"/>
    <w:pPr>
      <w:tabs>
        <w:tab w:val="left" w:pos="-720"/>
      </w:tabs>
      <w:suppressAutoHyphens/>
    </w:pPr>
    <w:rPr>
      <w:rFonts w:ascii="Times New Roman" w:hAnsi="Times New Roman"/>
      <w:sz w:val="20"/>
    </w:rPr>
  </w:style>
  <w:style w:type="paragraph" w:styleId="18">
    <w:name w:val="footer"/>
    <w:basedOn w:val="1"/>
    <w:qFormat/>
    <w:uiPriority w:val="0"/>
    <w:pPr>
      <w:tabs>
        <w:tab w:val="left" w:pos="360"/>
        <w:tab w:val="right" w:pos="9000"/>
      </w:tabs>
      <w:suppressAutoHyphens/>
    </w:pPr>
  </w:style>
  <w:style w:type="character" w:styleId="19">
    <w:name w:val="footnote reference"/>
    <w:semiHidden/>
    <w:qFormat/>
    <w:uiPriority w:val="0"/>
    <w:rPr>
      <w:rFonts w:ascii="CG Times" w:hAnsi="CG Times"/>
      <w:sz w:val="22"/>
      <w:vertAlign w:val="superscript"/>
      <w:lang w:val="en-US"/>
    </w:rPr>
  </w:style>
  <w:style w:type="paragraph" w:styleId="20">
    <w:name w:val="footnote text"/>
    <w:basedOn w:val="1"/>
    <w:semiHidden/>
    <w:qFormat/>
    <w:uiPriority w:val="0"/>
    <w:pPr>
      <w:tabs>
        <w:tab w:val="left" w:pos="-720"/>
      </w:tabs>
      <w:suppressAutoHyphens/>
    </w:pPr>
    <w:rPr>
      <w:rFonts w:ascii="Times New Roman" w:hAnsi="Times New Roman"/>
      <w:sz w:val="20"/>
    </w:rPr>
  </w:style>
  <w:style w:type="paragraph" w:styleId="21">
    <w:name w:val="header"/>
    <w:basedOn w:val="1"/>
    <w:qFormat/>
    <w:uiPriority w:val="0"/>
    <w:pPr>
      <w:tabs>
        <w:tab w:val="left" w:pos="360"/>
        <w:tab w:val="left" w:pos="7560"/>
        <w:tab w:val="left" w:pos="8280"/>
        <w:tab w:val="left" w:pos="9000"/>
      </w:tabs>
      <w:suppressAutoHyphens/>
    </w:pPr>
  </w:style>
  <w:style w:type="character" w:styleId="22">
    <w:name w:val="Hyperlink"/>
    <w:qFormat/>
    <w:uiPriority w:val="99"/>
    <w:rPr>
      <w:color w:val="0000FF"/>
      <w:u w:val="single"/>
    </w:rPr>
  </w:style>
  <w:style w:type="paragraph" w:styleId="23">
    <w:name w:val="index 1"/>
    <w:basedOn w:val="1"/>
    <w:next w:val="1"/>
    <w:semiHidden/>
    <w:qFormat/>
    <w:uiPriority w:val="0"/>
    <w:pPr>
      <w:tabs>
        <w:tab w:val="left" w:leader="dot" w:pos="9000"/>
        <w:tab w:val="right" w:pos="9360"/>
      </w:tabs>
      <w:suppressAutoHyphens/>
      <w:ind w:left="1440" w:right="720" w:hanging="1440"/>
    </w:pPr>
  </w:style>
  <w:style w:type="paragraph" w:styleId="24">
    <w:name w:val="index 2"/>
    <w:basedOn w:val="1"/>
    <w:next w:val="1"/>
    <w:semiHidden/>
    <w:qFormat/>
    <w:uiPriority w:val="0"/>
    <w:pPr>
      <w:tabs>
        <w:tab w:val="left" w:leader="dot" w:pos="9000"/>
        <w:tab w:val="right" w:pos="9360"/>
      </w:tabs>
      <w:suppressAutoHyphens/>
      <w:ind w:left="1440" w:right="720" w:hanging="720"/>
    </w:pPr>
  </w:style>
  <w:style w:type="paragraph" w:styleId="25">
    <w:name w:val="Normal Indent"/>
    <w:basedOn w:val="1"/>
    <w:qFormat/>
    <w:uiPriority w:val="0"/>
    <w:pPr>
      <w:tabs>
        <w:tab w:val="left" w:pos="-720"/>
      </w:tabs>
      <w:suppressAutoHyphens/>
    </w:pPr>
  </w:style>
  <w:style w:type="paragraph" w:styleId="26">
    <w:name w:val="Subtitle"/>
    <w:basedOn w:val="1"/>
    <w:qFormat/>
    <w:uiPriority w:val="0"/>
    <w:pPr>
      <w:jc w:val="center"/>
    </w:pPr>
    <w:rPr>
      <w:b/>
      <w:sz w:val="44"/>
    </w:rPr>
  </w:style>
  <w:style w:type="paragraph" w:styleId="27">
    <w:name w:val="toa heading"/>
    <w:basedOn w:val="1"/>
    <w:next w:val="1"/>
    <w:semiHidden/>
    <w:qFormat/>
    <w:uiPriority w:val="0"/>
    <w:pPr>
      <w:tabs>
        <w:tab w:val="left" w:pos="9000"/>
        <w:tab w:val="right" w:pos="9360"/>
      </w:tabs>
      <w:suppressAutoHyphens/>
    </w:pPr>
  </w:style>
  <w:style w:type="paragraph" w:styleId="28">
    <w:name w:val="toc 1"/>
    <w:basedOn w:val="1"/>
    <w:next w:val="1"/>
    <w:semiHidden/>
    <w:qFormat/>
    <w:uiPriority w:val="0"/>
    <w:pPr>
      <w:tabs>
        <w:tab w:val="left" w:leader="dot" w:pos="9000"/>
        <w:tab w:val="right" w:pos="9360"/>
      </w:tabs>
      <w:suppressAutoHyphens/>
      <w:spacing w:before="480"/>
      <w:ind w:left="720" w:right="720" w:hanging="720"/>
    </w:pPr>
  </w:style>
  <w:style w:type="paragraph" w:styleId="29">
    <w:name w:val="toc 2"/>
    <w:basedOn w:val="1"/>
    <w:next w:val="1"/>
    <w:semiHidden/>
    <w:qFormat/>
    <w:uiPriority w:val="0"/>
    <w:pPr>
      <w:tabs>
        <w:tab w:val="left" w:leader="dot" w:pos="9000"/>
        <w:tab w:val="right" w:pos="9360"/>
      </w:tabs>
      <w:suppressAutoHyphens/>
      <w:ind w:left="1440" w:right="720" w:hanging="720"/>
    </w:pPr>
  </w:style>
  <w:style w:type="paragraph" w:styleId="30">
    <w:name w:val="toc 3"/>
    <w:basedOn w:val="1"/>
    <w:next w:val="1"/>
    <w:semiHidden/>
    <w:qFormat/>
    <w:uiPriority w:val="0"/>
    <w:pPr>
      <w:tabs>
        <w:tab w:val="left" w:leader="dot" w:pos="9000"/>
        <w:tab w:val="right" w:pos="9360"/>
      </w:tabs>
      <w:suppressAutoHyphens/>
      <w:ind w:left="2160" w:right="720" w:hanging="720"/>
    </w:pPr>
  </w:style>
  <w:style w:type="paragraph" w:styleId="31">
    <w:name w:val="toc 4"/>
    <w:basedOn w:val="1"/>
    <w:next w:val="1"/>
    <w:semiHidden/>
    <w:qFormat/>
    <w:uiPriority w:val="0"/>
    <w:pPr>
      <w:tabs>
        <w:tab w:val="left" w:leader="dot" w:pos="9000"/>
        <w:tab w:val="right" w:pos="9360"/>
      </w:tabs>
      <w:suppressAutoHyphens/>
      <w:ind w:left="2880" w:right="720" w:hanging="720"/>
    </w:pPr>
  </w:style>
  <w:style w:type="paragraph" w:styleId="32">
    <w:name w:val="toc 5"/>
    <w:basedOn w:val="1"/>
    <w:next w:val="1"/>
    <w:semiHidden/>
    <w:qFormat/>
    <w:uiPriority w:val="0"/>
    <w:pPr>
      <w:tabs>
        <w:tab w:val="left" w:leader="dot" w:pos="9000"/>
        <w:tab w:val="right" w:pos="9360"/>
      </w:tabs>
      <w:suppressAutoHyphens/>
      <w:ind w:left="3600" w:right="720" w:hanging="720"/>
    </w:pPr>
  </w:style>
  <w:style w:type="paragraph" w:styleId="33">
    <w:name w:val="toc 6"/>
    <w:basedOn w:val="1"/>
    <w:next w:val="1"/>
    <w:semiHidden/>
    <w:qFormat/>
    <w:uiPriority w:val="0"/>
    <w:pPr>
      <w:tabs>
        <w:tab w:val="left" w:pos="9000"/>
        <w:tab w:val="right" w:pos="9360"/>
      </w:tabs>
      <w:suppressAutoHyphens/>
      <w:ind w:left="720" w:hanging="720"/>
    </w:pPr>
  </w:style>
  <w:style w:type="paragraph" w:styleId="34">
    <w:name w:val="toc 7"/>
    <w:basedOn w:val="1"/>
    <w:next w:val="1"/>
    <w:semiHidden/>
    <w:qFormat/>
    <w:uiPriority w:val="0"/>
    <w:pPr>
      <w:suppressAutoHyphens/>
      <w:ind w:left="720" w:hanging="720"/>
    </w:pPr>
  </w:style>
  <w:style w:type="paragraph" w:styleId="35">
    <w:name w:val="toc 8"/>
    <w:basedOn w:val="1"/>
    <w:next w:val="1"/>
    <w:semiHidden/>
    <w:qFormat/>
    <w:uiPriority w:val="0"/>
    <w:pPr>
      <w:tabs>
        <w:tab w:val="left" w:pos="9000"/>
        <w:tab w:val="right" w:pos="9360"/>
      </w:tabs>
      <w:suppressAutoHyphens/>
      <w:ind w:left="720" w:hanging="720"/>
    </w:pPr>
  </w:style>
  <w:style w:type="paragraph" w:styleId="36">
    <w:name w:val="toc 9"/>
    <w:basedOn w:val="1"/>
    <w:next w:val="1"/>
    <w:semiHidden/>
    <w:qFormat/>
    <w:uiPriority w:val="0"/>
    <w:pPr>
      <w:tabs>
        <w:tab w:val="left" w:leader="dot" w:pos="9000"/>
        <w:tab w:val="right" w:pos="9360"/>
      </w:tabs>
      <w:suppressAutoHyphens/>
      <w:ind w:left="720" w:hanging="720"/>
    </w:pPr>
  </w:style>
  <w:style w:type="character" w:customStyle="1" w:styleId="37">
    <w:name w:val="Default Paragraph Fo"/>
    <w:basedOn w:val="11"/>
    <w:qFormat/>
    <w:uiPriority w:val="0"/>
  </w:style>
  <w:style w:type="paragraph" w:customStyle="1" w:styleId="38">
    <w:name w:val="ChapterNumber"/>
    <w:qFormat/>
    <w:uiPriority w:val="0"/>
    <w:pPr>
      <w:tabs>
        <w:tab w:val="left" w:pos="-720"/>
      </w:tabs>
      <w:suppressAutoHyphens/>
    </w:pPr>
    <w:rPr>
      <w:rFonts w:ascii="CG Times" w:hAnsi="CG Times" w:eastAsia="Times New Roman" w:cs="Times New Roman"/>
      <w:sz w:val="22"/>
      <w:lang w:val="en-US" w:eastAsia="en-US" w:bidi="ar-SA"/>
    </w:rPr>
  </w:style>
  <w:style w:type="paragraph" w:customStyle="1" w:styleId="39">
    <w:name w:val="Text Box"/>
    <w:qFormat/>
    <w:uiPriority w:val="0"/>
    <w:pPr>
      <w:keepNext/>
      <w:keepLines/>
      <w:tabs>
        <w:tab w:val="left" w:pos="-720"/>
      </w:tabs>
      <w:suppressAutoHyphens/>
      <w:jc w:val="both"/>
    </w:pPr>
    <w:rPr>
      <w:rFonts w:ascii="Times New Roman" w:hAnsi="Times New Roman" w:eastAsia="Times New Roman" w:cs="Times New Roman"/>
      <w:spacing w:val="-2"/>
      <w:sz w:val="22"/>
      <w:lang w:val="en-US" w:eastAsia="en-US" w:bidi="ar-SA"/>
    </w:rPr>
  </w:style>
  <w:style w:type="paragraph" w:customStyle="1" w:styleId="40">
    <w:name w:val="Text Box (dots)"/>
    <w:qFormat/>
    <w:uiPriority w:val="0"/>
    <w:pPr>
      <w:keepNext/>
      <w:keepLines/>
      <w:tabs>
        <w:tab w:val="left" w:pos="-720"/>
      </w:tabs>
      <w:suppressAutoHyphens/>
      <w:jc w:val="both"/>
    </w:pPr>
    <w:rPr>
      <w:rFonts w:ascii="Times New Roman" w:hAnsi="Times New Roman" w:eastAsia="Times New Roman" w:cs="Times New Roman"/>
      <w:spacing w:val="-2"/>
      <w:sz w:val="22"/>
      <w:lang w:val="en-US" w:eastAsia="en-US" w:bidi="ar-SA"/>
    </w:rPr>
  </w:style>
  <w:style w:type="paragraph" w:customStyle="1" w:styleId="41">
    <w:name w:val="Text Box Framed"/>
    <w:qFormat/>
    <w:uiPriority w:val="0"/>
    <w:pPr>
      <w:keepNext/>
      <w:keepLines/>
      <w:tabs>
        <w:tab w:val="left" w:pos="-720"/>
      </w:tabs>
      <w:suppressAutoHyphens/>
    </w:pPr>
    <w:rPr>
      <w:rFonts w:ascii="Times New Roman" w:hAnsi="Times New Roman" w:eastAsia="Times New Roman" w:cs="Times New Roman"/>
      <w:sz w:val="22"/>
      <w:lang w:val="en-US" w:eastAsia="en-US" w:bidi="ar-SA"/>
    </w:rPr>
  </w:style>
  <w:style w:type="paragraph" w:customStyle="1" w:styleId="42">
    <w:name w:val="Text Box Unframed"/>
    <w:qFormat/>
    <w:uiPriority w:val="0"/>
    <w:pPr>
      <w:keepNext/>
      <w:keepLines/>
      <w:tabs>
        <w:tab w:val="left" w:pos="-720"/>
      </w:tabs>
      <w:suppressAutoHyphens/>
    </w:pPr>
    <w:rPr>
      <w:rFonts w:ascii="Times New Roman" w:hAnsi="Times New Roman" w:eastAsia="Times New Roman" w:cs="Times New Roman"/>
      <w:sz w:val="22"/>
      <w:lang w:val="en-US" w:eastAsia="en-US" w:bidi="ar-SA"/>
    </w:rPr>
  </w:style>
  <w:style w:type="paragraph" w:customStyle="1" w:styleId="43">
    <w:name w:val="TOC 11"/>
    <w:qFormat/>
    <w:uiPriority w:val="0"/>
    <w:pPr>
      <w:tabs>
        <w:tab w:val="left" w:pos="360"/>
      </w:tabs>
      <w:suppressAutoHyphens/>
    </w:pPr>
    <w:rPr>
      <w:rFonts w:ascii="CG Times" w:hAnsi="CG Times" w:eastAsia="Times New Roman" w:cs="Times New Roman"/>
      <w:smallCaps/>
      <w:sz w:val="22"/>
      <w:lang w:val="en-US" w:eastAsia="en-US" w:bidi="ar-SA"/>
    </w:rPr>
  </w:style>
  <w:style w:type="paragraph" w:customStyle="1" w:styleId="44">
    <w:name w:val="BankNormal"/>
    <w:qFormat/>
    <w:uiPriority w:val="0"/>
    <w:pPr>
      <w:tabs>
        <w:tab w:val="left" w:pos="-720"/>
      </w:tabs>
      <w:suppressAutoHyphens/>
    </w:pPr>
    <w:rPr>
      <w:rFonts w:ascii="CG Times" w:hAnsi="CG Times" w:eastAsia="Times New Roman" w:cs="Times New Roman"/>
      <w:sz w:val="22"/>
      <w:lang w:val="en-US" w:eastAsia="en-US" w:bidi="ar-SA"/>
    </w:rPr>
  </w:style>
  <w:style w:type="paragraph" w:customStyle="1" w:styleId="45">
    <w:name w:val="Heading 1a"/>
    <w:qFormat/>
    <w:uiPriority w:val="0"/>
    <w:pPr>
      <w:keepNext/>
      <w:keepLines/>
      <w:tabs>
        <w:tab w:val="left" w:pos="-720"/>
      </w:tabs>
      <w:suppressAutoHyphens/>
      <w:jc w:val="center"/>
    </w:pPr>
    <w:rPr>
      <w:rFonts w:ascii="Times New Roman" w:hAnsi="Times New Roman" w:eastAsia="Times New Roman" w:cs="Times New Roman"/>
      <w:b/>
      <w:smallCaps/>
      <w:sz w:val="32"/>
      <w:lang w:val="en-US" w:eastAsia="en-US" w:bidi="ar-SA"/>
    </w:rPr>
  </w:style>
  <w:style w:type="character" w:customStyle="1" w:styleId="46">
    <w:name w:val="_Equation Caption"/>
    <w:qFormat/>
    <w:uiPriority w:val="0"/>
  </w:style>
  <w:style w:type="character" w:customStyle="1" w:styleId="47">
    <w:name w:val="Body Text Char"/>
    <w:link w:val="14"/>
    <w:qFormat/>
    <w:uiPriority w:val="0"/>
    <w:rPr>
      <w:rFonts w:ascii="CG Times" w:hAnsi="CG Times"/>
      <w:spacing w:val="-2"/>
      <w:sz w:val="24"/>
    </w:rPr>
  </w:style>
  <w:style w:type="paragraph" w:styleId="48">
    <w:name w:val="List Paragraph"/>
    <w:basedOn w:val="1"/>
    <w:link w:val="49"/>
    <w:qFormat/>
    <w:uiPriority w:val="34"/>
    <w:pPr>
      <w:spacing w:after="120" w:line="264" w:lineRule="auto"/>
      <w:ind w:left="720"/>
      <w:contextualSpacing/>
    </w:pPr>
    <w:rPr>
      <w:rFonts w:asciiTheme="minorHAnsi" w:hAnsiTheme="minorHAnsi" w:eastAsiaTheme="minorEastAsia" w:cstheme="minorBidi"/>
      <w:sz w:val="20"/>
      <w:lang w:val="en-GB"/>
    </w:rPr>
  </w:style>
  <w:style w:type="character" w:customStyle="1" w:styleId="49">
    <w:name w:val="List Paragraph Char"/>
    <w:basedOn w:val="11"/>
    <w:link w:val="48"/>
    <w:qFormat/>
    <w:uiPriority w:val="34"/>
    <w:rPr>
      <w:rFonts w:asciiTheme="minorHAnsi" w:hAnsiTheme="minorHAnsi" w:eastAsiaTheme="minorEastAsia" w:cstheme="minorBidi"/>
      <w:lang w:val="en-GB"/>
    </w:rPr>
  </w:style>
  <w:style w:type="paragraph" w:customStyle="1" w:styleId="50">
    <w:name w:val="Default"/>
    <w:qFormat/>
    <w:uiPriority w:val="0"/>
    <w:pPr>
      <w:autoSpaceDE w:val="0"/>
      <w:autoSpaceDN w:val="0"/>
      <w:adjustRightInd w:val="0"/>
    </w:pPr>
    <w:rPr>
      <w:rFonts w:ascii="Arial" w:hAnsi="Arial" w:cs="Arial"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emf"/><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32191D-26B7-47C8-BB86-16994C7ED86F}">
  <ds:schemaRefs/>
</ds:datastoreItem>
</file>

<file path=docProps/app.xml><?xml version="1.0" encoding="utf-8"?>
<Properties xmlns="http://schemas.openxmlformats.org/officeDocument/2006/extended-properties" xmlns:vt="http://schemas.openxmlformats.org/officeDocument/2006/docPropsVTypes">
  <Template>Normal</Template>
  <Company>The World Bank</Company>
  <Pages>3</Pages>
  <Words>1166</Words>
  <Characters>7283</Characters>
  <Lines>60</Lines>
  <Paragraphs>16</Paragraphs>
  <TotalTime>52</TotalTime>
  <ScaleCrop>false</ScaleCrop>
  <LinksUpToDate>false</LinksUpToDate>
  <CharactersWithSpaces>8433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2023-03-14T11:01:00Z</dcterms:created>
  <dc:creator>320040</dc:creator>
  <cp:keywords>procurement, GPN, IDB</cp:keywords>
  <cp:lastModifiedBy>GODWIN UNO</cp:lastModifiedBy>
  <cp:lastPrinted>2023-04-10T19:23:53Z</cp:lastPrinted>
  <dcterms:modified xsi:type="dcterms:W3CDTF">2023-04-10T19:24:03Z</dcterms:modified>
  <dc:title>GPN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4b0dad5c66335f8dd685bf54d740e526eb9c1a74b3495bc8d90dcd55df5b27a8</vt:lpwstr>
  </property>
  <property fmtid="{D5CDD505-2E9C-101B-9397-08002B2CF9AE}" pid="3" name="KSOProductBuildVer">
    <vt:lpwstr>1033-11.2.0.11417</vt:lpwstr>
  </property>
  <property fmtid="{D5CDD505-2E9C-101B-9397-08002B2CF9AE}" pid="4" name="ICV">
    <vt:lpwstr>B827A11FF00A4CE684470A9D72E08BDE</vt:lpwstr>
  </property>
</Properties>
</file>