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F77" w:rsidRPr="007E45BB" w:rsidRDefault="00DE5F77" w:rsidP="00E37969">
      <w:pPr>
        <w:pStyle w:val="Coordonnes"/>
        <w:spacing w:before="0"/>
        <w:jc w:val="left"/>
        <w:rPr>
          <w:rFonts w:ascii="Times New Roman" w:hAnsi="Times New Roman" w:cs="Times New Roman"/>
          <w:noProof/>
          <w:color w:val="auto"/>
        </w:rPr>
      </w:pPr>
    </w:p>
    <w:tbl>
      <w:tblPr>
        <w:tblpPr w:leftFromText="141" w:rightFromText="141" w:vertAnchor="page" w:horzAnchor="margin" w:tblpY="796"/>
        <w:tblW w:w="9712" w:type="dxa"/>
        <w:tblLook w:val="04A0" w:firstRow="1" w:lastRow="0" w:firstColumn="1" w:lastColumn="0" w:noHBand="0" w:noVBand="1"/>
      </w:tblPr>
      <w:tblGrid>
        <w:gridCol w:w="5308"/>
        <w:gridCol w:w="896"/>
        <w:gridCol w:w="3508"/>
      </w:tblGrid>
      <w:tr w:rsidR="007E45BB" w:rsidRPr="0086465A" w:rsidTr="007F2FE8">
        <w:trPr>
          <w:trHeight w:val="648"/>
        </w:trPr>
        <w:tc>
          <w:tcPr>
            <w:tcW w:w="5308" w:type="dxa"/>
            <w:shd w:val="clear" w:color="auto" w:fill="auto"/>
          </w:tcPr>
          <w:p w:rsidR="00FB7AA4" w:rsidRPr="007E45BB" w:rsidRDefault="00FB7AA4" w:rsidP="007E45BB">
            <w:pPr>
              <w:rPr>
                <w:rFonts w:eastAsia="Calibri"/>
                <w:b/>
                <w:lang w:val="fr-FR"/>
              </w:rPr>
            </w:pPr>
            <w:r w:rsidRPr="007E45BB">
              <w:rPr>
                <w:rFonts w:eastAsia="Calibri"/>
                <w:noProof/>
                <w:lang w:val="fr-FR" w:eastAsia="fr-FR"/>
              </w:rPr>
              <w:drawing>
                <wp:anchor distT="0" distB="0" distL="114300" distR="114300" simplePos="0" relativeHeight="251659264" behindDoc="0" locked="0" layoutInCell="1" allowOverlap="1" wp14:anchorId="52FB1BF4" wp14:editId="066C37AF">
                  <wp:simplePos x="0" y="0"/>
                  <wp:positionH relativeFrom="column">
                    <wp:posOffset>2794635</wp:posOffset>
                  </wp:positionH>
                  <wp:positionV relativeFrom="paragraph">
                    <wp:posOffset>-123825</wp:posOffset>
                  </wp:positionV>
                  <wp:extent cx="657225" cy="1047750"/>
                  <wp:effectExtent l="0" t="0" r="9525" b="0"/>
                  <wp:wrapNone/>
                  <wp:docPr id="5" name="Image 5" descr="C:\Users\USER\Desktop\DOSSIERS SP AVANT GBEGBENI\MEAH\Desktop\DIVERS\Bureautique 300dpi\Armoiries_couleurs_5x3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C:\Users\USER\Desktop\DOSSIERS SP AVANT GBEGBENI\MEAH\Desktop\DIVERS\Bureautique 300dpi\Armoiries_couleurs_5x3c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45BB">
              <w:rPr>
                <w:rFonts w:eastAsia="Calibri"/>
                <w:b/>
                <w:lang w:val="fr-FR"/>
              </w:rPr>
              <w:t xml:space="preserve">   MINISTERE DE L’EAU ET DE                                                                L’HYDRAULIQUE VILLAGEOISE</w:t>
            </w:r>
          </w:p>
          <w:p w:rsidR="00FB7AA4" w:rsidRPr="007E45BB" w:rsidRDefault="00FB7AA4" w:rsidP="007E45BB">
            <w:pPr>
              <w:tabs>
                <w:tab w:val="left" w:pos="1965"/>
                <w:tab w:val="center" w:pos="2513"/>
              </w:tabs>
              <w:rPr>
                <w:rFonts w:eastAsia="Calibri"/>
                <w:b/>
                <w:lang w:val="fr-FR"/>
              </w:rPr>
            </w:pPr>
            <w:r w:rsidRPr="007E45BB">
              <w:rPr>
                <w:rFonts w:eastAsia="Calibri"/>
                <w:b/>
                <w:lang w:val="fr-FR"/>
              </w:rPr>
              <w:t xml:space="preserve">                      ------------</w:t>
            </w:r>
          </w:p>
          <w:p w:rsidR="00FB7AA4" w:rsidRPr="007E45BB" w:rsidRDefault="00FB7AA4" w:rsidP="007E45BB">
            <w:pPr>
              <w:rPr>
                <w:rFonts w:eastAsia="Calibri"/>
                <w:b/>
                <w:lang w:val="fr-FR"/>
              </w:rPr>
            </w:pPr>
            <w:r w:rsidRPr="007E45BB">
              <w:rPr>
                <w:rFonts w:eastAsia="Calibri"/>
                <w:b/>
                <w:lang w:val="fr-FR"/>
              </w:rPr>
              <w:t xml:space="preserve">                      CABINET</w:t>
            </w:r>
          </w:p>
          <w:p w:rsidR="00FB7AA4" w:rsidRPr="007E45BB" w:rsidRDefault="00FB7AA4" w:rsidP="007E45BB">
            <w:pPr>
              <w:tabs>
                <w:tab w:val="left" w:pos="3315"/>
              </w:tabs>
              <w:rPr>
                <w:rFonts w:eastAsia="Calibri"/>
                <w:b/>
                <w:lang w:val="fr-FR"/>
              </w:rPr>
            </w:pPr>
            <w:r w:rsidRPr="007E45BB">
              <w:rPr>
                <w:rFonts w:eastAsia="Calibri"/>
                <w:b/>
                <w:lang w:val="fr-FR"/>
              </w:rPr>
              <w:t xml:space="preserve">                       ------------</w:t>
            </w:r>
          </w:p>
          <w:p w:rsidR="00FB7AA4" w:rsidRPr="007E45BB" w:rsidRDefault="00FB7AA4" w:rsidP="007E45BB">
            <w:pPr>
              <w:rPr>
                <w:rFonts w:eastAsia="Calibri"/>
                <w:b/>
                <w:lang w:val="fr-FR"/>
              </w:rPr>
            </w:pPr>
            <w:r w:rsidRPr="007E45BB">
              <w:rPr>
                <w:rFonts w:eastAsia="Calibri"/>
                <w:b/>
                <w:lang w:val="fr-FR"/>
              </w:rPr>
              <w:t xml:space="preserve">         SECRETARIAT GENERAL</w:t>
            </w:r>
          </w:p>
          <w:p w:rsidR="00FB7AA4" w:rsidRPr="007E45BB" w:rsidRDefault="00FB7AA4" w:rsidP="007E45BB">
            <w:pPr>
              <w:tabs>
                <w:tab w:val="left" w:pos="3315"/>
              </w:tabs>
              <w:rPr>
                <w:rFonts w:eastAsia="Calibri"/>
                <w:b/>
                <w:lang w:val="fr-FR"/>
              </w:rPr>
            </w:pPr>
            <w:r w:rsidRPr="007E45BB">
              <w:rPr>
                <w:rFonts w:eastAsia="Calibri"/>
                <w:b/>
                <w:lang w:val="fr-FR"/>
              </w:rPr>
              <w:t xml:space="preserve">                       ------------</w:t>
            </w:r>
          </w:p>
          <w:p w:rsidR="00FB7AA4" w:rsidRDefault="00FB7AA4" w:rsidP="00576777">
            <w:pPr>
              <w:rPr>
                <w:rFonts w:eastAsia="Calibri"/>
                <w:b/>
                <w:lang w:val="fr-FR"/>
              </w:rPr>
            </w:pPr>
            <w:r w:rsidRPr="007E45BB">
              <w:rPr>
                <w:rFonts w:eastAsia="Calibri"/>
                <w:b/>
                <w:lang w:val="fr-FR"/>
              </w:rPr>
              <w:t xml:space="preserve">        </w:t>
            </w:r>
            <w:r w:rsidR="00576777">
              <w:rPr>
                <w:rFonts w:eastAsia="Calibri"/>
                <w:b/>
                <w:lang w:val="fr-FR"/>
              </w:rPr>
              <w:t xml:space="preserve">PERSONNE RESPONSABLE </w:t>
            </w:r>
          </w:p>
          <w:p w:rsidR="00576777" w:rsidRPr="007E45BB" w:rsidRDefault="00576777" w:rsidP="00576777">
            <w:pPr>
              <w:rPr>
                <w:rFonts w:eastAsia="Calibri"/>
                <w:b/>
                <w:lang w:val="fr-FR"/>
              </w:rPr>
            </w:pPr>
            <w:r>
              <w:rPr>
                <w:rFonts w:eastAsia="Calibri"/>
                <w:b/>
                <w:lang w:val="fr-FR"/>
              </w:rPr>
              <w:t xml:space="preserve">         DES MARCHES PUBLICS</w:t>
            </w:r>
          </w:p>
          <w:p w:rsidR="00FB7AA4" w:rsidRPr="00576777" w:rsidRDefault="00FB7AA4" w:rsidP="007E45BB">
            <w:pPr>
              <w:tabs>
                <w:tab w:val="left" w:pos="3315"/>
              </w:tabs>
              <w:rPr>
                <w:rFonts w:eastAsia="Calibri"/>
                <w:b/>
                <w:lang w:val="fr-FR"/>
              </w:rPr>
            </w:pPr>
            <w:r w:rsidRPr="007E45BB">
              <w:rPr>
                <w:rFonts w:eastAsia="Calibri"/>
                <w:b/>
                <w:lang w:val="fr-FR"/>
              </w:rPr>
              <w:t xml:space="preserve">                       </w:t>
            </w:r>
            <w:r w:rsidRPr="00576777">
              <w:rPr>
                <w:rFonts w:eastAsia="Calibri"/>
                <w:b/>
                <w:lang w:val="fr-FR"/>
              </w:rPr>
              <w:t>------------</w:t>
            </w:r>
            <w:r w:rsidRPr="00576777">
              <w:rPr>
                <w:rFonts w:eastAsia="Calibri"/>
                <w:b/>
                <w:lang w:val="fr-FR"/>
              </w:rPr>
              <w:tab/>
            </w:r>
          </w:p>
          <w:p w:rsidR="00FB7AA4" w:rsidRPr="00576777" w:rsidRDefault="00FB7AA4" w:rsidP="007E45BB">
            <w:pPr>
              <w:rPr>
                <w:rFonts w:eastAsia="Calibri"/>
                <w:b/>
                <w:lang w:val="fr-FR"/>
              </w:rPr>
            </w:pPr>
            <w:r w:rsidRPr="00576777">
              <w:rPr>
                <w:rFonts w:eastAsia="Calibri"/>
                <w:b/>
                <w:lang w:val="fr-FR"/>
              </w:rPr>
              <w:t xml:space="preserve">                                  </w:t>
            </w:r>
          </w:p>
        </w:tc>
        <w:tc>
          <w:tcPr>
            <w:tcW w:w="896" w:type="dxa"/>
            <w:shd w:val="clear" w:color="auto" w:fill="auto"/>
          </w:tcPr>
          <w:p w:rsidR="00FB7AA4" w:rsidRPr="00576777" w:rsidRDefault="00FB7AA4" w:rsidP="007E45BB">
            <w:pPr>
              <w:jc w:val="center"/>
              <w:rPr>
                <w:rFonts w:eastAsia="Calibri"/>
                <w:lang w:val="fr-FR"/>
              </w:rPr>
            </w:pPr>
          </w:p>
        </w:tc>
        <w:tc>
          <w:tcPr>
            <w:tcW w:w="3508" w:type="dxa"/>
            <w:shd w:val="clear" w:color="auto" w:fill="auto"/>
          </w:tcPr>
          <w:p w:rsidR="00FB7AA4" w:rsidRPr="007E45BB" w:rsidRDefault="00FB7AA4" w:rsidP="007E45BB">
            <w:pPr>
              <w:jc w:val="center"/>
              <w:rPr>
                <w:rFonts w:eastAsia="Calibri"/>
                <w:b/>
                <w:lang w:val="fr-FR"/>
              </w:rPr>
            </w:pPr>
            <w:r w:rsidRPr="007E45BB">
              <w:rPr>
                <w:rFonts w:eastAsia="Calibri"/>
                <w:b/>
                <w:lang w:val="fr-FR"/>
              </w:rPr>
              <w:t>REPUBLIQUE TOGOLAISE</w:t>
            </w:r>
          </w:p>
          <w:p w:rsidR="00FB7AA4" w:rsidRPr="00426EBE" w:rsidRDefault="00FB7AA4" w:rsidP="007E45BB">
            <w:pPr>
              <w:jc w:val="center"/>
              <w:rPr>
                <w:rFonts w:eastAsia="Calibri"/>
                <w:b/>
                <w:sz w:val="20"/>
                <w:lang w:val="fr-FR"/>
              </w:rPr>
            </w:pPr>
            <w:r w:rsidRPr="00426EBE">
              <w:rPr>
                <w:rFonts w:eastAsia="Calibri"/>
                <w:b/>
                <w:sz w:val="20"/>
                <w:lang w:val="fr-FR"/>
              </w:rPr>
              <w:t>Travail -Liberté – Patrie</w:t>
            </w:r>
          </w:p>
          <w:p w:rsidR="00FB7AA4" w:rsidRPr="007E45BB" w:rsidRDefault="00FB7AA4" w:rsidP="007E45BB">
            <w:pPr>
              <w:jc w:val="center"/>
              <w:rPr>
                <w:rFonts w:eastAsia="Calibri"/>
                <w:b/>
                <w:lang w:val="fr-FR"/>
              </w:rPr>
            </w:pPr>
            <w:r w:rsidRPr="007E45BB">
              <w:rPr>
                <w:rFonts w:eastAsia="Calibri"/>
                <w:b/>
                <w:lang w:val="fr-FR"/>
              </w:rPr>
              <w:t>----------------</w:t>
            </w:r>
          </w:p>
          <w:p w:rsidR="00FB7AA4" w:rsidRPr="007E45BB" w:rsidRDefault="00FB7AA4" w:rsidP="007E45BB">
            <w:pPr>
              <w:jc w:val="center"/>
              <w:rPr>
                <w:rFonts w:eastAsia="Calibri"/>
                <w:b/>
                <w:lang w:val="fr-FR"/>
              </w:rPr>
            </w:pPr>
          </w:p>
          <w:p w:rsidR="00FB7AA4" w:rsidRPr="007E45BB" w:rsidRDefault="00FB7AA4" w:rsidP="007E45BB">
            <w:pPr>
              <w:jc w:val="center"/>
              <w:rPr>
                <w:rFonts w:eastAsia="Calibri"/>
                <w:b/>
                <w:lang w:val="fr-FR"/>
              </w:rPr>
            </w:pPr>
          </w:p>
          <w:p w:rsidR="00FB7AA4" w:rsidRPr="007E45BB" w:rsidRDefault="00FB7AA4" w:rsidP="007E45BB">
            <w:pPr>
              <w:jc w:val="center"/>
              <w:rPr>
                <w:rFonts w:eastAsia="Calibri"/>
                <w:b/>
                <w:lang w:val="fr-FR"/>
              </w:rPr>
            </w:pPr>
          </w:p>
          <w:p w:rsidR="00FB7AA4" w:rsidRPr="007E45BB" w:rsidRDefault="00FB7AA4" w:rsidP="007E45BB">
            <w:pPr>
              <w:rPr>
                <w:rFonts w:eastAsia="Calibri"/>
                <w:lang w:val="fr-FR"/>
              </w:rPr>
            </w:pPr>
          </w:p>
        </w:tc>
      </w:tr>
    </w:tbl>
    <w:p w:rsidR="00DE5F77" w:rsidRPr="007E45BB" w:rsidRDefault="00587638" w:rsidP="007E45BB">
      <w:pPr>
        <w:ind w:right="72"/>
        <w:jc w:val="center"/>
        <w:rPr>
          <w:rFonts w:eastAsiaTheme="majorEastAsia"/>
          <w:b/>
          <w:bCs/>
          <w:caps/>
          <w:kern w:val="24"/>
          <w:position w:val="1"/>
          <w:szCs w:val="40"/>
          <w:lang w:val="fr-FR"/>
        </w:rPr>
      </w:pPr>
      <w:r w:rsidRPr="007E45BB">
        <w:rPr>
          <w:b/>
          <w:sz w:val="28"/>
          <w:szCs w:val="28"/>
          <w:lang w:val="fr-FR"/>
        </w:rPr>
        <w:t xml:space="preserve">PROJET EAU ET ASSAINISSEMENT DANS </w:t>
      </w:r>
      <w:r w:rsidR="00576777">
        <w:rPr>
          <w:b/>
          <w:sz w:val="28"/>
          <w:szCs w:val="28"/>
          <w:lang w:val="fr-FR"/>
        </w:rPr>
        <w:t>QUATRE (0</w:t>
      </w:r>
      <w:r w:rsidRPr="007E45BB">
        <w:rPr>
          <w:b/>
          <w:sz w:val="28"/>
          <w:szCs w:val="28"/>
          <w:lang w:val="fr-FR"/>
        </w:rPr>
        <w:t>4</w:t>
      </w:r>
      <w:r w:rsidR="00576777">
        <w:rPr>
          <w:b/>
          <w:sz w:val="28"/>
          <w:szCs w:val="28"/>
          <w:lang w:val="fr-FR"/>
        </w:rPr>
        <w:t>)</w:t>
      </w:r>
      <w:r w:rsidRPr="007E45BB">
        <w:rPr>
          <w:b/>
          <w:sz w:val="28"/>
          <w:szCs w:val="28"/>
          <w:lang w:val="fr-FR"/>
        </w:rPr>
        <w:t xml:space="preserve"> PREFECTURES TOGO- TGO1011 </w:t>
      </w:r>
    </w:p>
    <w:p w:rsidR="00DE5F77" w:rsidRPr="007E45BB" w:rsidRDefault="00587638" w:rsidP="007E45BB">
      <w:pPr>
        <w:jc w:val="center"/>
        <w:rPr>
          <w:b/>
          <w:bCs/>
          <w:i/>
          <w:lang w:val="fr-FR"/>
        </w:rPr>
      </w:pPr>
      <w:r w:rsidRPr="007E45BB">
        <w:rPr>
          <w:b/>
          <w:bCs/>
          <w:i/>
          <w:lang w:val="fr-FR"/>
        </w:rPr>
        <w:t>-----------------------</w:t>
      </w:r>
    </w:p>
    <w:p w:rsidR="00C30C3D" w:rsidRPr="007E45BB" w:rsidRDefault="00C30C3D" w:rsidP="007E45BB">
      <w:pPr>
        <w:ind w:right="72"/>
        <w:jc w:val="center"/>
        <w:rPr>
          <w:sz w:val="28"/>
          <w:szCs w:val="28"/>
          <w:lang w:val="fr-FR"/>
        </w:rPr>
      </w:pPr>
      <w:r w:rsidRPr="007E45BB">
        <w:rPr>
          <w:b/>
          <w:sz w:val="28"/>
          <w:szCs w:val="28"/>
          <w:lang w:val="fr-FR"/>
        </w:rPr>
        <w:t>AVIS GENERAL DE PASSATION DES MARCHES</w:t>
      </w:r>
      <w:r w:rsidR="00D4629B" w:rsidRPr="007E45BB">
        <w:rPr>
          <w:b/>
          <w:sz w:val="28"/>
          <w:szCs w:val="28"/>
          <w:lang w:val="fr-FR"/>
        </w:rPr>
        <w:t xml:space="preserve"> (AGPM)</w:t>
      </w:r>
    </w:p>
    <w:p w:rsidR="00C30C3D" w:rsidRPr="007E45BB" w:rsidRDefault="00C30C3D" w:rsidP="007E45BB">
      <w:pPr>
        <w:ind w:right="72"/>
        <w:rPr>
          <w:lang w:val="fr-FR"/>
        </w:rPr>
      </w:pPr>
    </w:p>
    <w:p w:rsidR="00C30C3D" w:rsidRPr="007E45BB" w:rsidRDefault="00AE2DFE" w:rsidP="007E45BB">
      <w:pPr>
        <w:ind w:right="72"/>
        <w:rPr>
          <w:iCs/>
          <w:lang w:val="fr-FR"/>
        </w:rPr>
      </w:pPr>
      <w:r w:rsidRPr="007E45BB">
        <w:rPr>
          <w:iCs/>
          <w:lang w:val="fr-FR"/>
        </w:rPr>
        <w:t xml:space="preserve">République du </w:t>
      </w:r>
      <w:r w:rsidR="00EA44DF" w:rsidRPr="007E45BB">
        <w:rPr>
          <w:iCs/>
          <w:lang w:val="fr-FR"/>
        </w:rPr>
        <w:t>Togo</w:t>
      </w:r>
    </w:p>
    <w:p w:rsidR="00AE2DFE" w:rsidRPr="007E45BB" w:rsidRDefault="0047361C" w:rsidP="007E45BB">
      <w:pPr>
        <w:ind w:right="72"/>
        <w:rPr>
          <w:iCs/>
          <w:lang w:val="fr-FR"/>
        </w:rPr>
      </w:pPr>
      <w:r w:rsidRPr="007E45BB">
        <w:rPr>
          <w:b/>
          <w:i/>
          <w:lang w:val="fr-FR"/>
        </w:rPr>
        <w:t>Projet d’approvisionnement en eau et assainissement dans quatre préfectures au Togo</w:t>
      </w:r>
      <w:r w:rsidRPr="007E45BB">
        <w:rPr>
          <w:i/>
          <w:lang w:val="fr-FR"/>
        </w:rPr>
        <w:t xml:space="preserve"> </w:t>
      </w:r>
      <w:r w:rsidR="00AE2DFE" w:rsidRPr="007E45BB">
        <w:rPr>
          <w:iCs/>
          <w:lang w:val="fr-FR"/>
        </w:rPr>
        <w:t>Prêt BID</w:t>
      </w:r>
    </w:p>
    <w:p w:rsidR="00517E16" w:rsidRPr="007E45BB" w:rsidRDefault="00517E16" w:rsidP="007E45BB">
      <w:pPr>
        <w:ind w:right="72"/>
        <w:rPr>
          <w:iCs/>
          <w:lang w:val="fr-FR"/>
        </w:rPr>
      </w:pPr>
      <w:r w:rsidRPr="007E45BB">
        <w:rPr>
          <w:iCs/>
          <w:lang w:val="fr-FR"/>
        </w:rPr>
        <w:t>No du Financement</w:t>
      </w:r>
      <w:r w:rsidR="00AE2DFE" w:rsidRPr="007E45BB">
        <w:rPr>
          <w:iCs/>
          <w:lang w:val="fr-FR"/>
        </w:rPr>
        <w:t xml:space="preserve"> : </w:t>
      </w:r>
      <w:r w:rsidR="0047361C" w:rsidRPr="007E45BB">
        <w:rPr>
          <w:iCs/>
          <w:lang w:val="fr-FR"/>
        </w:rPr>
        <w:t>TGO-1011</w:t>
      </w:r>
    </w:p>
    <w:p w:rsidR="00517E16" w:rsidRPr="007E45BB" w:rsidRDefault="00517E16" w:rsidP="007E45BB">
      <w:pPr>
        <w:ind w:right="72"/>
        <w:rPr>
          <w:sz w:val="8"/>
          <w:lang w:val="fr-FR"/>
        </w:rPr>
      </w:pPr>
    </w:p>
    <w:p w:rsidR="001C075F" w:rsidRPr="007E45BB" w:rsidRDefault="00AE2DFE" w:rsidP="007E45BB">
      <w:pPr>
        <w:ind w:right="72"/>
        <w:jc w:val="both"/>
        <w:rPr>
          <w:i/>
          <w:iCs/>
          <w:lang w:val="fr-FR"/>
        </w:rPr>
      </w:pPr>
      <w:r w:rsidRPr="007E45BB">
        <w:rPr>
          <w:lang w:val="fr-FR"/>
        </w:rPr>
        <w:t xml:space="preserve">Le Gouvernement du </w:t>
      </w:r>
      <w:r w:rsidR="00EA44DF" w:rsidRPr="007E45BB">
        <w:rPr>
          <w:lang w:val="fr-FR"/>
        </w:rPr>
        <w:t>Togo</w:t>
      </w:r>
      <w:r w:rsidR="00C30C3D" w:rsidRPr="007E45BB">
        <w:rPr>
          <w:lang w:val="fr-FR"/>
        </w:rPr>
        <w:t xml:space="preserve"> </w:t>
      </w:r>
      <w:r w:rsidR="00531E04" w:rsidRPr="007E45BB">
        <w:rPr>
          <w:lang w:val="fr-FR"/>
        </w:rPr>
        <w:t>a sollicité</w:t>
      </w:r>
      <w:r w:rsidR="00C30C3D" w:rsidRPr="007E45BB">
        <w:rPr>
          <w:lang w:val="fr-FR"/>
        </w:rPr>
        <w:t xml:space="preserve"> </w:t>
      </w:r>
      <w:r w:rsidR="00D4629B" w:rsidRPr="007E45BB">
        <w:rPr>
          <w:lang w:val="fr-FR"/>
        </w:rPr>
        <w:t xml:space="preserve">un </w:t>
      </w:r>
      <w:r w:rsidR="00531E04" w:rsidRPr="007E45BB">
        <w:rPr>
          <w:lang w:val="fr-FR"/>
        </w:rPr>
        <w:t xml:space="preserve">financement de </w:t>
      </w:r>
      <w:r w:rsidR="00D4629B" w:rsidRPr="007E45BB">
        <w:rPr>
          <w:lang w:val="fr-FR"/>
        </w:rPr>
        <w:t xml:space="preserve">montant </w:t>
      </w:r>
      <w:r w:rsidR="0047361C" w:rsidRPr="007E45BB">
        <w:rPr>
          <w:lang w:val="fr-FR"/>
        </w:rPr>
        <w:t>un million</w:t>
      </w:r>
      <w:r w:rsidRPr="007E45BB">
        <w:rPr>
          <w:lang w:val="fr-FR"/>
        </w:rPr>
        <w:t xml:space="preserve"> (</w:t>
      </w:r>
      <w:r w:rsidR="0047361C" w:rsidRPr="007E45BB">
        <w:rPr>
          <w:lang w:val="fr-FR"/>
        </w:rPr>
        <w:t>1800 000</w:t>
      </w:r>
      <w:r w:rsidRPr="007E45BB">
        <w:rPr>
          <w:lang w:val="fr-FR"/>
        </w:rPr>
        <w:t>) d’</w:t>
      </w:r>
      <w:r w:rsidR="00C44BDB" w:rsidRPr="007E45BB">
        <w:rPr>
          <w:lang w:val="fr-FR"/>
        </w:rPr>
        <w:t>euros</w:t>
      </w:r>
      <w:r w:rsidR="00D4629B" w:rsidRPr="007E45BB">
        <w:rPr>
          <w:lang w:val="fr-FR"/>
        </w:rPr>
        <w:t xml:space="preserve"> sous la forme de </w:t>
      </w:r>
      <w:r w:rsidR="00C44BDB" w:rsidRPr="007E45BB">
        <w:rPr>
          <w:lang w:val="fr-FR"/>
        </w:rPr>
        <w:t>prêt</w:t>
      </w:r>
      <w:r w:rsidR="00C30C3D" w:rsidRPr="007E45BB">
        <w:rPr>
          <w:lang w:val="fr-FR"/>
        </w:rPr>
        <w:t xml:space="preserve"> de la Banque </w:t>
      </w:r>
      <w:r w:rsidR="00D4629B" w:rsidRPr="007E45BB">
        <w:rPr>
          <w:lang w:val="fr-FR"/>
        </w:rPr>
        <w:t xml:space="preserve">Islamique de Développement </w:t>
      </w:r>
      <w:r w:rsidR="00C30C3D" w:rsidRPr="007E45BB">
        <w:rPr>
          <w:lang w:val="fr-FR"/>
        </w:rPr>
        <w:t xml:space="preserve">pour financer le </w:t>
      </w:r>
      <w:r w:rsidR="00C44BDB" w:rsidRPr="007E45BB">
        <w:rPr>
          <w:i/>
          <w:lang w:val="fr-FR"/>
        </w:rPr>
        <w:t xml:space="preserve">Projet </w:t>
      </w:r>
      <w:r w:rsidR="00587638" w:rsidRPr="007E45BB">
        <w:rPr>
          <w:i/>
          <w:lang w:val="fr-FR"/>
        </w:rPr>
        <w:t>eau et assainissement dans 4 préfectures du Togo</w:t>
      </w:r>
      <w:r w:rsidR="00C44BDB" w:rsidRPr="007E45BB">
        <w:rPr>
          <w:i/>
          <w:lang w:val="fr-FR"/>
        </w:rPr>
        <w:t xml:space="preserve"> </w:t>
      </w:r>
      <w:r w:rsidR="001C075F" w:rsidRPr="007E45BB">
        <w:rPr>
          <w:lang w:val="fr-FR"/>
        </w:rPr>
        <w:t xml:space="preserve">et à l’intention d’utiliser une partie de ce </w:t>
      </w:r>
      <w:r w:rsidR="001C075F" w:rsidRPr="007E45BB">
        <w:rPr>
          <w:iCs/>
          <w:lang w:val="fr-FR"/>
        </w:rPr>
        <w:t>financement</w:t>
      </w:r>
      <w:r w:rsidR="001C075F" w:rsidRPr="007E45BB">
        <w:rPr>
          <w:lang w:val="fr-FR"/>
        </w:rPr>
        <w:t xml:space="preserve"> pour effectuer des paiements pour l’acquisition de biens, travaux et services connexes et de services de consultants nécessaires dans le cadre de ce projet</w:t>
      </w:r>
    </w:p>
    <w:p w:rsidR="00F0738A" w:rsidRDefault="00C30C3D" w:rsidP="007E45BB">
      <w:pPr>
        <w:ind w:right="72"/>
        <w:rPr>
          <w:lang w:val="fr-FR"/>
        </w:rPr>
      </w:pPr>
      <w:r w:rsidRPr="007E45BB">
        <w:rPr>
          <w:lang w:val="fr-FR"/>
        </w:rPr>
        <w:t>Le projet comprendra les composantes suivantes</w:t>
      </w:r>
      <w:r w:rsidR="00D4629B" w:rsidRPr="007E45BB">
        <w:rPr>
          <w:lang w:val="fr-FR"/>
        </w:rPr>
        <w:t> :</w:t>
      </w:r>
      <w:r w:rsidR="001C075F" w:rsidRPr="007E45BB">
        <w:rPr>
          <w:lang w:val="fr-FR"/>
        </w:rPr>
        <w:t xml:space="preserve"> </w:t>
      </w:r>
    </w:p>
    <w:p w:rsidR="007E45BB" w:rsidRPr="007E45BB" w:rsidRDefault="007E45BB" w:rsidP="007E45BB">
      <w:pPr>
        <w:ind w:right="72"/>
        <w:rPr>
          <w:lang w:val="fr-FR"/>
        </w:rPr>
      </w:pPr>
    </w:p>
    <w:p w:rsidR="00F0738A" w:rsidRPr="007E45BB" w:rsidRDefault="00FF467B" w:rsidP="007E45BB">
      <w:pPr>
        <w:pStyle w:val="Titre7"/>
        <w:numPr>
          <w:ilvl w:val="0"/>
          <w:numId w:val="4"/>
        </w:numPr>
        <w:rPr>
          <w:rFonts w:ascii="Times New Roman" w:hAnsi="Times New Roman"/>
          <w:bCs w:val="0"/>
          <w:sz w:val="22"/>
          <w:szCs w:val="22"/>
        </w:rPr>
      </w:pPr>
      <w:r w:rsidRPr="007E45BB">
        <w:rPr>
          <w:rFonts w:ascii="Times New Roman" w:hAnsi="Times New Roman"/>
          <w:bCs w:val="0"/>
          <w:sz w:val="22"/>
          <w:szCs w:val="22"/>
        </w:rPr>
        <w:t xml:space="preserve">Composante </w:t>
      </w:r>
      <w:r w:rsidR="006D29EB" w:rsidRPr="007E45BB">
        <w:rPr>
          <w:rFonts w:ascii="Times New Roman" w:hAnsi="Times New Roman"/>
          <w:bCs w:val="0"/>
          <w:sz w:val="22"/>
          <w:szCs w:val="22"/>
        </w:rPr>
        <w:t>1</w:t>
      </w:r>
      <w:r w:rsidRPr="007E45BB">
        <w:rPr>
          <w:rFonts w:ascii="Times New Roman" w:hAnsi="Times New Roman"/>
          <w:bCs w:val="0"/>
          <w:sz w:val="22"/>
          <w:szCs w:val="22"/>
        </w:rPr>
        <w:t xml:space="preserve"> :</w:t>
      </w:r>
      <w:r w:rsidR="00F0738A" w:rsidRPr="007E45BB">
        <w:rPr>
          <w:rFonts w:ascii="Times New Roman" w:hAnsi="Times New Roman"/>
          <w:bCs w:val="0"/>
          <w:sz w:val="22"/>
          <w:szCs w:val="22"/>
        </w:rPr>
        <w:t xml:space="preserve"> </w:t>
      </w:r>
      <w:r w:rsidR="000A1531" w:rsidRPr="007E45BB">
        <w:rPr>
          <w:rFonts w:ascii="Times New Roman" w:hAnsi="Times New Roman"/>
          <w:bCs w:val="0"/>
          <w:sz w:val="22"/>
          <w:szCs w:val="22"/>
        </w:rPr>
        <w:t xml:space="preserve">Mise à disposition d’infrastructures d’eau potable et d’assainissement gérées en toute sécurité  </w:t>
      </w:r>
    </w:p>
    <w:p w:rsidR="000A1531" w:rsidRPr="007E45BB" w:rsidRDefault="000A1531" w:rsidP="007E45BB">
      <w:pPr>
        <w:ind w:right="72"/>
        <w:jc w:val="both"/>
        <w:rPr>
          <w:lang w:val="fr-FR"/>
        </w:rPr>
      </w:pPr>
    </w:p>
    <w:p w:rsidR="000A1531" w:rsidRDefault="000A1531" w:rsidP="007E45BB">
      <w:pPr>
        <w:ind w:right="72"/>
        <w:jc w:val="both"/>
        <w:rPr>
          <w:sz w:val="22"/>
          <w:szCs w:val="22"/>
          <w:lang w:val="fr-FR"/>
        </w:rPr>
      </w:pPr>
      <w:r w:rsidRPr="007E45BB">
        <w:rPr>
          <w:lang w:val="fr-FR"/>
        </w:rPr>
        <w:t xml:space="preserve">Cette composante comprend essentiellement la réalisation des </w:t>
      </w:r>
      <w:r w:rsidR="00F0738A" w:rsidRPr="007E45BB">
        <w:rPr>
          <w:lang w:val="fr-FR"/>
        </w:rPr>
        <w:t xml:space="preserve">travaux </w:t>
      </w:r>
      <w:r w:rsidRPr="007E45BB">
        <w:rPr>
          <w:lang w:val="fr-FR"/>
        </w:rPr>
        <w:t>et l’acquisition des biens</w:t>
      </w:r>
      <w:r w:rsidR="00F0738A" w:rsidRPr="007E45BB">
        <w:rPr>
          <w:lang w:val="fr-FR"/>
        </w:rPr>
        <w:t>.</w:t>
      </w:r>
      <w:r w:rsidRPr="007E45BB">
        <w:rPr>
          <w:sz w:val="22"/>
          <w:szCs w:val="22"/>
          <w:lang w:val="fr-FR"/>
        </w:rPr>
        <w:t xml:space="preserve"> </w:t>
      </w:r>
    </w:p>
    <w:p w:rsidR="00C74424" w:rsidRPr="007E45BB" w:rsidRDefault="00C74424" w:rsidP="007E45BB">
      <w:pPr>
        <w:ind w:right="72"/>
        <w:jc w:val="both"/>
        <w:rPr>
          <w:sz w:val="22"/>
          <w:szCs w:val="22"/>
          <w:lang w:val="fr-FR"/>
        </w:rPr>
      </w:pPr>
    </w:p>
    <w:p w:rsidR="00F0738A" w:rsidRPr="007E45BB" w:rsidRDefault="000A1531" w:rsidP="007E45BB">
      <w:pPr>
        <w:pStyle w:val="Paragraphedeliste"/>
        <w:numPr>
          <w:ilvl w:val="0"/>
          <w:numId w:val="3"/>
        </w:numPr>
        <w:spacing w:after="0" w:line="240" w:lineRule="auto"/>
        <w:ind w:right="72"/>
        <w:jc w:val="both"/>
        <w:rPr>
          <w:rFonts w:ascii="Times New Roman" w:hAnsi="Times New Roman" w:cs="Times New Roman"/>
          <w:sz w:val="22"/>
          <w:lang w:val="fr-FR"/>
        </w:rPr>
      </w:pPr>
      <w:r w:rsidRPr="007E45BB">
        <w:rPr>
          <w:rFonts w:ascii="Times New Roman" w:hAnsi="Times New Roman" w:cs="Times New Roman"/>
          <w:sz w:val="24"/>
          <w:szCs w:val="22"/>
        </w:rPr>
        <w:t>Travaux</w:t>
      </w:r>
    </w:p>
    <w:p w:rsidR="00F0738A" w:rsidRPr="007E45BB" w:rsidRDefault="00F0738A" w:rsidP="007E45BB">
      <w:pPr>
        <w:ind w:right="72"/>
        <w:jc w:val="both"/>
        <w:rPr>
          <w:i/>
          <w:iCs/>
          <w:sz w:val="22"/>
          <w:szCs w:val="22"/>
          <w:lang w:val="fr-FR"/>
        </w:rPr>
      </w:pPr>
    </w:p>
    <w:tbl>
      <w:tblPr>
        <w:tblStyle w:val="Grilledutableau"/>
        <w:tblW w:w="10490" w:type="dxa"/>
        <w:tblInd w:w="-856" w:type="dxa"/>
        <w:tblLook w:val="04A0" w:firstRow="1" w:lastRow="0" w:firstColumn="1" w:lastColumn="0" w:noHBand="0" w:noVBand="1"/>
      </w:tblPr>
      <w:tblGrid>
        <w:gridCol w:w="8222"/>
        <w:gridCol w:w="2268"/>
      </w:tblGrid>
      <w:tr w:rsidR="007E45BB" w:rsidRPr="007E45BB" w:rsidTr="00444043">
        <w:tc>
          <w:tcPr>
            <w:tcW w:w="8222" w:type="dxa"/>
            <w:shd w:val="clear" w:color="auto" w:fill="A6A6A6" w:themeFill="background1" w:themeFillShade="A6"/>
          </w:tcPr>
          <w:p w:rsidR="00F0738A" w:rsidRPr="007E45BB" w:rsidRDefault="00F0738A" w:rsidP="007E45BB">
            <w:pPr>
              <w:ind w:right="72"/>
              <w:jc w:val="center"/>
              <w:rPr>
                <w:b/>
                <w:lang w:val="fr-FR"/>
              </w:rPr>
            </w:pPr>
            <w:r w:rsidRPr="007E45BB">
              <w:rPr>
                <w:b/>
                <w:lang w:val="fr-FR"/>
              </w:rPr>
              <w:t>Description</w:t>
            </w:r>
          </w:p>
        </w:tc>
        <w:tc>
          <w:tcPr>
            <w:tcW w:w="2268" w:type="dxa"/>
            <w:shd w:val="clear" w:color="auto" w:fill="A6A6A6" w:themeFill="background1" w:themeFillShade="A6"/>
          </w:tcPr>
          <w:p w:rsidR="00F0738A" w:rsidRPr="007E45BB" w:rsidRDefault="00F0738A" w:rsidP="007E45BB">
            <w:pPr>
              <w:ind w:right="72"/>
              <w:jc w:val="center"/>
              <w:rPr>
                <w:b/>
                <w:lang w:val="fr-FR"/>
              </w:rPr>
            </w:pPr>
            <w:r w:rsidRPr="007E45BB">
              <w:rPr>
                <w:b/>
                <w:lang w:val="fr-FR"/>
              </w:rPr>
              <w:t>Mode d’acquisition</w:t>
            </w:r>
          </w:p>
        </w:tc>
      </w:tr>
      <w:tr w:rsidR="007E45BB" w:rsidRPr="007E45BB" w:rsidTr="004A253F">
        <w:trPr>
          <w:trHeight w:val="553"/>
        </w:trPr>
        <w:tc>
          <w:tcPr>
            <w:tcW w:w="8222" w:type="dxa"/>
            <w:vAlign w:val="center"/>
          </w:tcPr>
          <w:p w:rsidR="00F0738A" w:rsidRPr="007E45BB" w:rsidRDefault="00402218" w:rsidP="00402218">
            <w:pPr>
              <w:ind w:right="72"/>
              <w:jc w:val="both"/>
              <w:rPr>
                <w:lang w:val="fr-FR"/>
              </w:rPr>
            </w:pPr>
            <w:r w:rsidRPr="004A253F">
              <w:rPr>
                <w:b/>
                <w:i/>
                <w:lang w:val="fr-FR"/>
              </w:rPr>
              <w:t>Sous-composante 1.1 : Fourniture de systèmes d’approvisionnement en eau adéquats :</w:t>
            </w:r>
            <w:r>
              <w:rPr>
                <w:lang w:val="fr-FR"/>
              </w:rPr>
              <w:t xml:space="preserve"> </w:t>
            </w:r>
            <w:r w:rsidR="00F0738A" w:rsidRPr="007E45BB">
              <w:rPr>
                <w:lang w:val="fr-FR"/>
              </w:rPr>
              <w:t xml:space="preserve">Dossier d’appel d’offres national pour </w:t>
            </w:r>
            <w:r w:rsidR="00712B53" w:rsidRPr="007E45BB">
              <w:rPr>
                <w:lang w:val="fr-FR"/>
              </w:rPr>
              <w:t>la réalisation de forage et équipement de forage</w:t>
            </w:r>
          </w:p>
        </w:tc>
        <w:tc>
          <w:tcPr>
            <w:tcW w:w="2268" w:type="dxa"/>
            <w:vAlign w:val="center"/>
          </w:tcPr>
          <w:p w:rsidR="00712B53" w:rsidRPr="007E45BB" w:rsidRDefault="00712B53" w:rsidP="007E45BB">
            <w:pPr>
              <w:tabs>
                <w:tab w:val="left" w:pos="1380"/>
              </w:tabs>
              <w:ind w:right="72"/>
              <w:jc w:val="center"/>
              <w:rPr>
                <w:lang w:val="fr-FR"/>
              </w:rPr>
            </w:pPr>
            <w:bookmarkStart w:id="0" w:name="_GoBack"/>
            <w:bookmarkEnd w:id="0"/>
          </w:p>
          <w:p w:rsidR="00B9683C" w:rsidRPr="007E45BB" w:rsidRDefault="00B9683C" w:rsidP="007E45BB">
            <w:pPr>
              <w:tabs>
                <w:tab w:val="left" w:pos="1380"/>
              </w:tabs>
              <w:ind w:right="72"/>
              <w:jc w:val="center"/>
              <w:rPr>
                <w:lang w:val="fr-FR"/>
              </w:rPr>
            </w:pPr>
            <w:r w:rsidRPr="007E45BB">
              <w:rPr>
                <w:lang w:val="fr-FR"/>
              </w:rPr>
              <w:t>AO</w:t>
            </w:r>
            <w:r w:rsidR="00712B53" w:rsidRPr="007E45BB">
              <w:rPr>
                <w:lang w:val="fr-FR"/>
              </w:rPr>
              <w:t>N</w:t>
            </w:r>
            <w:r w:rsidR="00235DC8" w:rsidRPr="007E45BB">
              <w:rPr>
                <w:lang w:val="fr-FR"/>
              </w:rPr>
              <w:t>/PM</w:t>
            </w:r>
          </w:p>
          <w:p w:rsidR="00F0738A" w:rsidRPr="007E45BB" w:rsidRDefault="00F0738A" w:rsidP="007E45BB">
            <w:pPr>
              <w:tabs>
                <w:tab w:val="left" w:pos="1380"/>
              </w:tabs>
              <w:ind w:right="72"/>
              <w:jc w:val="center"/>
              <w:rPr>
                <w:lang w:val="fr-FR"/>
              </w:rPr>
            </w:pPr>
          </w:p>
        </w:tc>
      </w:tr>
      <w:tr w:rsidR="00402218" w:rsidRPr="007E45BB" w:rsidTr="004A253F">
        <w:trPr>
          <w:trHeight w:val="553"/>
        </w:trPr>
        <w:tc>
          <w:tcPr>
            <w:tcW w:w="8222" w:type="dxa"/>
            <w:vAlign w:val="center"/>
          </w:tcPr>
          <w:p w:rsidR="00402218" w:rsidRDefault="00402218" w:rsidP="00402218">
            <w:pPr>
              <w:ind w:right="72"/>
              <w:jc w:val="both"/>
              <w:rPr>
                <w:lang w:val="fr-FR"/>
              </w:rPr>
            </w:pPr>
            <w:r w:rsidRPr="004A253F">
              <w:rPr>
                <w:b/>
                <w:i/>
                <w:lang w:val="fr-FR"/>
              </w:rPr>
              <w:t>Sous-composante 1.1 : Fourniture de systèmes d’approvisionnement en eau adéquats :</w:t>
            </w:r>
            <w:r>
              <w:rPr>
                <w:lang w:val="fr-FR"/>
              </w:rPr>
              <w:t xml:space="preserve"> Système d’approvisionnement en eau</w:t>
            </w:r>
          </w:p>
        </w:tc>
        <w:tc>
          <w:tcPr>
            <w:tcW w:w="2268" w:type="dxa"/>
            <w:vAlign w:val="center"/>
          </w:tcPr>
          <w:p w:rsidR="00402218" w:rsidRPr="007E45BB" w:rsidRDefault="00402218" w:rsidP="007E45BB">
            <w:pPr>
              <w:tabs>
                <w:tab w:val="left" w:pos="1380"/>
              </w:tabs>
              <w:ind w:right="72"/>
              <w:jc w:val="center"/>
              <w:rPr>
                <w:lang w:val="fr-FR"/>
              </w:rPr>
            </w:pPr>
            <w:r>
              <w:rPr>
                <w:lang w:val="fr-FR"/>
              </w:rPr>
              <w:t>AON/PM</w:t>
            </w:r>
          </w:p>
        </w:tc>
      </w:tr>
      <w:tr w:rsidR="00402218" w:rsidRPr="007E45BB" w:rsidTr="004A253F">
        <w:trPr>
          <w:trHeight w:val="553"/>
        </w:trPr>
        <w:tc>
          <w:tcPr>
            <w:tcW w:w="8222" w:type="dxa"/>
            <w:vAlign w:val="center"/>
          </w:tcPr>
          <w:p w:rsidR="00402218" w:rsidRDefault="00402218" w:rsidP="00402218">
            <w:pPr>
              <w:ind w:right="72"/>
              <w:jc w:val="both"/>
              <w:rPr>
                <w:lang w:val="fr-FR"/>
              </w:rPr>
            </w:pPr>
            <w:r w:rsidRPr="004A253F">
              <w:rPr>
                <w:b/>
                <w:i/>
                <w:lang w:val="fr-FR"/>
              </w:rPr>
              <w:t>Sous-composante 1.2 :</w:t>
            </w:r>
            <w:r>
              <w:rPr>
                <w:lang w:val="fr-FR"/>
              </w:rPr>
              <w:t xml:space="preserve"> Fourniture d’un système d’alimentation électrique</w:t>
            </w:r>
          </w:p>
        </w:tc>
        <w:tc>
          <w:tcPr>
            <w:tcW w:w="2268" w:type="dxa"/>
            <w:vAlign w:val="center"/>
          </w:tcPr>
          <w:p w:rsidR="00402218" w:rsidRDefault="00444043" w:rsidP="007E45BB">
            <w:pPr>
              <w:tabs>
                <w:tab w:val="left" w:pos="1380"/>
              </w:tabs>
              <w:ind w:right="72"/>
              <w:jc w:val="center"/>
              <w:rPr>
                <w:lang w:val="fr-FR"/>
              </w:rPr>
            </w:pPr>
            <w:r>
              <w:rPr>
                <w:lang w:val="fr-FR"/>
              </w:rPr>
              <w:t>DC/SSS</w:t>
            </w:r>
          </w:p>
        </w:tc>
      </w:tr>
      <w:tr w:rsidR="007E45BB" w:rsidRPr="007E45BB" w:rsidTr="004A253F">
        <w:tc>
          <w:tcPr>
            <w:tcW w:w="8222" w:type="dxa"/>
            <w:vAlign w:val="center"/>
          </w:tcPr>
          <w:p w:rsidR="00FF467B" w:rsidRPr="007E45BB" w:rsidRDefault="00F45D11" w:rsidP="00F45D11">
            <w:pPr>
              <w:ind w:right="72"/>
              <w:jc w:val="both"/>
              <w:rPr>
                <w:lang w:val="fr-FR"/>
              </w:rPr>
            </w:pPr>
            <w:r w:rsidRPr="004A253F">
              <w:rPr>
                <w:b/>
                <w:i/>
                <w:lang w:val="fr-FR"/>
              </w:rPr>
              <w:t>Sous-composante 1.3 : Fourniture d’infrastructures d’assainissement adéquates :</w:t>
            </w:r>
            <w:r>
              <w:rPr>
                <w:lang w:val="fr-FR"/>
              </w:rPr>
              <w:t xml:space="preserve"> </w:t>
            </w:r>
            <w:r w:rsidR="00712B53" w:rsidRPr="007E45BB">
              <w:rPr>
                <w:lang w:val="fr-FR"/>
              </w:rPr>
              <w:t xml:space="preserve">Dossier d’appel d’offres </w:t>
            </w:r>
            <w:r w:rsidR="001E1F7E" w:rsidRPr="007E45BB">
              <w:rPr>
                <w:lang w:val="fr-FR"/>
              </w:rPr>
              <w:t xml:space="preserve">pour la réalisation des installations de traitement des boues de fécales </w:t>
            </w:r>
          </w:p>
        </w:tc>
        <w:tc>
          <w:tcPr>
            <w:tcW w:w="2268" w:type="dxa"/>
            <w:vAlign w:val="center"/>
          </w:tcPr>
          <w:p w:rsidR="00FF467B" w:rsidRPr="007E45BB" w:rsidRDefault="001E1F7E" w:rsidP="007E45BB">
            <w:pPr>
              <w:ind w:right="72"/>
              <w:jc w:val="center"/>
              <w:rPr>
                <w:lang w:val="fr-FR"/>
              </w:rPr>
            </w:pPr>
            <w:r w:rsidRPr="007E45BB">
              <w:rPr>
                <w:lang w:val="fr-FR"/>
              </w:rPr>
              <w:t xml:space="preserve">AOI/PM </w:t>
            </w:r>
          </w:p>
        </w:tc>
      </w:tr>
      <w:tr w:rsidR="007E45BB" w:rsidRPr="007E45BB" w:rsidTr="004A253F">
        <w:tc>
          <w:tcPr>
            <w:tcW w:w="8222" w:type="dxa"/>
            <w:vAlign w:val="center"/>
          </w:tcPr>
          <w:p w:rsidR="00AB6EF2" w:rsidRPr="007E45BB" w:rsidRDefault="001313C2" w:rsidP="001313C2">
            <w:pPr>
              <w:ind w:right="72"/>
              <w:jc w:val="both"/>
              <w:rPr>
                <w:lang w:val="fr-FR"/>
              </w:rPr>
            </w:pPr>
            <w:r w:rsidRPr="002C3C0E">
              <w:rPr>
                <w:b/>
                <w:i/>
                <w:lang w:val="fr-FR"/>
              </w:rPr>
              <w:lastRenderedPageBreak/>
              <w:t xml:space="preserve">Sous-composante </w:t>
            </w:r>
            <w:r w:rsidRPr="004A253F">
              <w:rPr>
                <w:b/>
                <w:i/>
                <w:lang w:val="fr-FR"/>
              </w:rPr>
              <w:t>1.3 : Fourniture d’infrastructures d’assainissement adéquates :</w:t>
            </w:r>
            <w:r>
              <w:rPr>
                <w:lang w:val="fr-FR"/>
              </w:rPr>
              <w:t xml:space="preserve"> </w:t>
            </w:r>
            <w:r w:rsidRPr="007E45BB">
              <w:rPr>
                <w:lang w:val="fr-FR"/>
              </w:rPr>
              <w:t xml:space="preserve">Dossier d’appel d’offres pour la réalisation des </w:t>
            </w:r>
            <w:r>
              <w:rPr>
                <w:lang w:val="fr-FR"/>
              </w:rPr>
              <w:t>latrines</w:t>
            </w:r>
          </w:p>
        </w:tc>
        <w:tc>
          <w:tcPr>
            <w:tcW w:w="2268" w:type="dxa"/>
            <w:vAlign w:val="center"/>
          </w:tcPr>
          <w:p w:rsidR="004E0671" w:rsidRPr="007E45BB" w:rsidRDefault="00444043" w:rsidP="004E0671">
            <w:pPr>
              <w:tabs>
                <w:tab w:val="left" w:pos="1380"/>
              </w:tabs>
              <w:ind w:right="72"/>
              <w:jc w:val="center"/>
              <w:rPr>
                <w:lang w:val="fr-FR"/>
              </w:rPr>
            </w:pPr>
            <w:r>
              <w:rPr>
                <w:lang w:val="fr-FR"/>
              </w:rPr>
              <w:t xml:space="preserve">DC/SSS </w:t>
            </w:r>
          </w:p>
        </w:tc>
      </w:tr>
      <w:tr w:rsidR="002C3C0E" w:rsidRPr="007E45BB" w:rsidTr="004A253F">
        <w:tc>
          <w:tcPr>
            <w:tcW w:w="8222" w:type="dxa"/>
          </w:tcPr>
          <w:p w:rsidR="002C3C0E" w:rsidRPr="002C3C0E" w:rsidRDefault="002C3C0E" w:rsidP="002C3C0E">
            <w:pPr>
              <w:ind w:right="74"/>
              <w:jc w:val="both"/>
              <w:rPr>
                <w:b/>
                <w:szCs w:val="22"/>
              </w:rPr>
            </w:pPr>
            <w:r w:rsidRPr="002C3C0E">
              <w:rPr>
                <w:b/>
                <w:i/>
                <w:lang w:val="fr-FR"/>
              </w:rPr>
              <w:t>Sous-composante 1.4 :</w:t>
            </w:r>
            <w:r w:rsidRPr="002C3C0E">
              <w:rPr>
                <w:i/>
                <w:lang w:val="fr-FR"/>
              </w:rPr>
              <w:t xml:space="preserve"> </w:t>
            </w:r>
            <w:r w:rsidRPr="002C3C0E">
              <w:rPr>
                <w:b/>
                <w:szCs w:val="22"/>
              </w:rPr>
              <w:t xml:space="preserve">Service de conseil </w:t>
            </w:r>
            <w:r>
              <w:rPr>
                <w:lang w:val="fr-FR"/>
              </w:rPr>
              <w:t xml:space="preserve">: </w:t>
            </w:r>
            <w:r w:rsidRPr="007E45BB">
              <w:rPr>
                <w:lang w:val="fr-FR"/>
              </w:rPr>
              <w:t>Recrutement  d’un consultant pour la conception &amp; la supervision des travaux</w:t>
            </w:r>
          </w:p>
        </w:tc>
        <w:tc>
          <w:tcPr>
            <w:tcW w:w="2268" w:type="dxa"/>
          </w:tcPr>
          <w:p w:rsidR="002C3C0E" w:rsidRPr="007E45BB" w:rsidRDefault="002C3C0E" w:rsidP="002C3C0E">
            <w:pPr>
              <w:tabs>
                <w:tab w:val="left" w:pos="1380"/>
              </w:tabs>
              <w:ind w:right="72"/>
              <w:jc w:val="center"/>
              <w:rPr>
                <w:lang w:val="fr-FR"/>
              </w:rPr>
            </w:pPr>
            <w:r w:rsidRPr="007E45BB">
              <w:rPr>
                <w:lang w:val="fr-FR"/>
              </w:rPr>
              <w:t>SFQC = QCBS/MC</w:t>
            </w:r>
          </w:p>
        </w:tc>
      </w:tr>
    </w:tbl>
    <w:p w:rsidR="007E45BB" w:rsidRDefault="007E45BB" w:rsidP="007E45BB">
      <w:pPr>
        <w:ind w:right="72"/>
        <w:rPr>
          <w:lang w:val="fr-FR"/>
        </w:rPr>
      </w:pPr>
    </w:p>
    <w:p w:rsidR="001E1F7E" w:rsidRPr="004A253F" w:rsidRDefault="001E1F7E" w:rsidP="007E45BB">
      <w:pPr>
        <w:pStyle w:val="Paragraphedeliste"/>
        <w:numPr>
          <w:ilvl w:val="0"/>
          <w:numId w:val="3"/>
        </w:numPr>
        <w:spacing w:after="0" w:line="240" w:lineRule="auto"/>
        <w:ind w:right="74"/>
        <w:jc w:val="both"/>
        <w:rPr>
          <w:rFonts w:ascii="Times New Roman" w:hAnsi="Times New Roman" w:cs="Times New Roman"/>
          <w:b/>
          <w:sz w:val="22"/>
          <w:lang w:val="fr-FR"/>
        </w:rPr>
      </w:pPr>
      <w:r w:rsidRPr="007E45BB">
        <w:rPr>
          <w:rFonts w:ascii="Times New Roman" w:hAnsi="Times New Roman" w:cs="Times New Roman"/>
          <w:b/>
          <w:sz w:val="24"/>
          <w:szCs w:val="22"/>
        </w:rPr>
        <w:t>Biens</w:t>
      </w:r>
    </w:p>
    <w:p w:rsidR="001E1F7E" w:rsidRPr="004A253F" w:rsidRDefault="001E1F7E" w:rsidP="007E45BB">
      <w:pPr>
        <w:ind w:right="74"/>
        <w:jc w:val="both"/>
        <w:rPr>
          <w:b/>
          <w:sz w:val="22"/>
          <w:lang w:val="fr-FR"/>
        </w:rPr>
      </w:pPr>
    </w:p>
    <w:tbl>
      <w:tblPr>
        <w:tblStyle w:val="Grilledutableau"/>
        <w:tblW w:w="10490" w:type="dxa"/>
        <w:tblInd w:w="-856" w:type="dxa"/>
        <w:tblLook w:val="04A0" w:firstRow="1" w:lastRow="0" w:firstColumn="1" w:lastColumn="0" w:noHBand="0" w:noVBand="1"/>
      </w:tblPr>
      <w:tblGrid>
        <w:gridCol w:w="7939"/>
        <w:gridCol w:w="2551"/>
      </w:tblGrid>
      <w:tr w:rsidR="007E45BB" w:rsidRPr="004A253F" w:rsidTr="004A253F">
        <w:tc>
          <w:tcPr>
            <w:tcW w:w="7939" w:type="dxa"/>
            <w:shd w:val="clear" w:color="auto" w:fill="BFBFBF" w:themeFill="background1" w:themeFillShade="BF"/>
          </w:tcPr>
          <w:p w:rsidR="001E1F7E" w:rsidRPr="004A253F" w:rsidRDefault="001E1F7E" w:rsidP="007E45BB">
            <w:pPr>
              <w:ind w:right="74"/>
              <w:jc w:val="both"/>
              <w:rPr>
                <w:b/>
                <w:lang w:val="fr-FR"/>
              </w:rPr>
            </w:pPr>
            <w:r w:rsidRPr="004A253F">
              <w:rPr>
                <w:b/>
                <w:lang w:val="fr-FR"/>
              </w:rPr>
              <w:t>Description</w:t>
            </w:r>
          </w:p>
        </w:tc>
        <w:tc>
          <w:tcPr>
            <w:tcW w:w="2551" w:type="dxa"/>
            <w:shd w:val="clear" w:color="auto" w:fill="BFBFBF" w:themeFill="background1" w:themeFillShade="BF"/>
          </w:tcPr>
          <w:p w:rsidR="001E1F7E" w:rsidRPr="004A253F" w:rsidRDefault="001E1F7E" w:rsidP="007E45BB">
            <w:pPr>
              <w:ind w:right="74"/>
              <w:jc w:val="both"/>
              <w:rPr>
                <w:b/>
                <w:lang w:val="fr-FR"/>
              </w:rPr>
            </w:pPr>
            <w:r w:rsidRPr="004A253F">
              <w:rPr>
                <w:b/>
                <w:lang w:val="fr-FR"/>
              </w:rPr>
              <w:t>Mode d’acquisition</w:t>
            </w:r>
          </w:p>
        </w:tc>
      </w:tr>
      <w:tr w:rsidR="007E45BB" w:rsidRPr="007E45BB" w:rsidTr="004A253F">
        <w:trPr>
          <w:trHeight w:val="446"/>
        </w:trPr>
        <w:tc>
          <w:tcPr>
            <w:tcW w:w="7939" w:type="dxa"/>
          </w:tcPr>
          <w:p w:rsidR="001E1F7E" w:rsidRPr="007E45BB" w:rsidRDefault="001E1F7E" w:rsidP="007E45BB">
            <w:pPr>
              <w:ind w:right="72"/>
              <w:jc w:val="both"/>
              <w:rPr>
                <w:lang w:val="fr-FR"/>
              </w:rPr>
            </w:pPr>
            <w:r w:rsidRPr="007E45BB">
              <w:rPr>
                <w:lang w:val="fr-FR"/>
              </w:rPr>
              <w:t>Consultation de fournisseur pour la fourniture et installation de générateurs de secours pour chaque site</w:t>
            </w:r>
          </w:p>
        </w:tc>
        <w:tc>
          <w:tcPr>
            <w:tcW w:w="2551" w:type="dxa"/>
            <w:vAlign w:val="center"/>
          </w:tcPr>
          <w:p w:rsidR="00426EBE" w:rsidRDefault="00426EBE" w:rsidP="007E45BB">
            <w:pPr>
              <w:ind w:right="72"/>
              <w:jc w:val="center"/>
              <w:rPr>
                <w:lang w:val="fr-FR"/>
              </w:rPr>
            </w:pPr>
          </w:p>
          <w:p w:rsidR="001E1F7E" w:rsidRPr="007E45BB" w:rsidRDefault="001E1F7E" w:rsidP="00426EBE">
            <w:pPr>
              <w:ind w:right="72"/>
              <w:jc w:val="center"/>
              <w:rPr>
                <w:lang w:val="fr-FR"/>
              </w:rPr>
            </w:pPr>
            <w:r w:rsidRPr="007E45BB">
              <w:rPr>
                <w:lang w:val="fr-FR"/>
              </w:rPr>
              <w:t>CF</w:t>
            </w:r>
            <w:r w:rsidR="004E0671">
              <w:rPr>
                <w:lang w:val="fr-FR"/>
              </w:rPr>
              <w:t>/SH</w:t>
            </w:r>
          </w:p>
        </w:tc>
      </w:tr>
      <w:tr w:rsidR="007E45BB" w:rsidRPr="007E45BB" w:rsidTr="004A253F">
        <w:tc>
          <w:tcPr>
            <w:tcW w:w="7939" w:type="dxa"/>
          </w:tcPr>
          <w:p w:rsidR="001E1F7E" w:rsidRPr="007E45BB" w:rsidRDefault="001E1F7E" w:rsidP="007E45BB">
            <w:pPr>
              <w:ind w:right="72"/>
              <w:jc w:val="both"/>
              <w:rPr>
                <w:lang w:val="fr-FR"/>
              </w:rPr>
            </w:pPr>
            <w:r w:rsidRPr="007E45BB">
              <w:rPr>
                <w:lang w:val="fr-FR"/>
              </w:rPr>
              <w:t>Consultation de fournisseur pour l’acquisition d’équipements et d’accessoires informatiques</w:t>
            </w:r>
          </w:p>
        </w:tc>
        <w:tc>
          <w:tcPr>
            <w:tcW w:w="2551" w:type="dxa"/>
            <w:vAlign w:val="center"/>
          </w:tcPr>
          <w:p w:rsidR="001E1F7E" w:rsidRPr="007E45BB" w:rsidRDefault="001E1F7E" w:rsidP="00426EBE">
            <w:pPr>
              <w:ind w:right="72"/>
              <w:jc w:val="center"/>
              <w:rPr>
                <w:lang w:val="fr-FR"/>
              </w:rPr>
            </w:pPr>
            <w:r w:rsidRPr="007E45BB">
              <w:rPr>
                <w:lang w:val="fr-FR"/>
              </w:rPr>
              <w:t>CF</w:t>
            </w:r>
            <w:r w:rsidR="004E0671">
              <w:rPr>
                <w:lang w:val="fr-FR"/>
              </w:rPr>
              <w:t>/SH</w:t>
            </w:r>
          </w:p>
        </w:tc>
      </w:tr>
      <w:tr w:rsidR="007E45BB" w:rsidRPr="007E45BB" w:rsidTr="004A253F">
        <w:tc>
          <w:tcPr>
            <w:tcW w:w="7939" w:type="dxa"/>
          </w:tcPr>
          <w:p w:rsidR="001E1F7E" w:rsidRPr="007E45BB" w:rsidRDefault="001E1F7E" w:rsidP="007E45BB">
            <w:pPr>
              <w:rPr>
                <w:lang w:val="fr-FR"/>
              </w:rPr>
            </w:pPr>
            <w:r w:rsidRPr="007E45BB">
              <w:rPr>
                <w:lang w:val="fr-FR"/>
              </w:rPr>
              <w:t xml:space="preserve">Consultation de fournisseur pour </w:t>
            </w:r>
            <w:r w:rsidR="00BA11D0" w:rsidRPr="007E45BB">
              <w:rPr>
                <w:lang w:val="fr-FR"/>
              </w:rPr>
              <w:t>l’</w:t>
            </w:r>
            <w:r w:rsidRPr="007E45BB">
              <w:rPr>
                <w:lang w:val="fr-FR"/>
              </w:rPr>
              <w:t xml:space="preserve">acquisition </w:t>
            </w:r>
            <w:r w:rsidR="00BA11D0" w:rsidRPr="007E45BB">
              <w:rPr>
                <w:lang w:val="fr-FR"/>
              </w:rPr>
              <w:t xml:space="preserve">de mobilier et équipement de bureau </w:t>
            </w:r>
          </w:p>
        </w:tc>
        <w:tc>
          <w:tcPr>
            <w:tcW w:w="2551" w:type="dxa"/>
            <w:vMerge w:val="restart"/>
            <w:vAlign w:val="center"/>
          </w:tcPr>
          <w:p w:rsidR="001E1F7E" w:rsidRPr="007E45BB" w:rsidRDefault="00426EBE" w:rsidP="007E45BB">
            <w:pPr>
              <w:ind w:right="72"/>
              <w:jc w:val="center"/>
            </w:pPr>
            <w:r>
              <w:rPr>
                <w:lang w:val="fr-FR"/>
              </w:rPr>
              <w:t>CF</w:t>
            </w:r>
            <w:r w:rsidR="004E0671">
              <w:rPr>
                <w:lang w:val="fr-FR"/>
              </w:rPr>
              <w:t>/SH</w:t>
            </w:r>
          </w:p>
        </w:tc>
      </w:tr>
      <w:tr w:rsidR="007E45BB" w:rsidRPr="0086465A" w:rsidTr="004A253F">
        <w:tc>
          <w:tcPr>
            <w:tcW w:w="7939" w:type="dxa"/>
          </w:tcPr>
          <w:p w:rsidR="001E1F7E" w:rsidRPr="007E45BB" w:rsidRDefault="001E1F7E" w:rsidP="007E45BB">
            <w:pPr>
              <w:ind w:right="72"/>
              <w:jc w:val="both"/>
              <w:rPr>
                <w:lang w:val="fr-FR"/>
              </w:rPr>
            </w:pPr>
            <w:r w:rsidRPr="007E45BB">
              <w:rPr>
                <w:lang w:val="fr-FR"/>
              </w:rPr>
              <w:t>Consultation de fournisseur pour achat d'un véhicule pick-up double cabine</w:t>
            </w:r>
            <w:r w:rsidR="00BA11D0" w:rsidRPr="007E45BB">
              <w:rPr>
                <w:lang w:val="fr-FR"/>
              </w:rPr>
              <w:t xml:space="preserve"> tout terrain et véhicule de coordination (1 PRADO + 4 HILLUX)</w:t>
            </w:r>
          </w:p>
        </w:tc>
        <w:tc>
          <w:tcPr>
            <w:tcW w:w="2551" w:type="dxa"/>
            <w:vMerge/>
            <w:vAlign w:val="center"/>
          </w:tcPr>
          <w:p w:rsidR="001E1F7E" w:rsidRPr="007E45BB" w:rsidRDefault="001E1F7E" w:rsidP="007E45BB">
            <w:pPr>
              <w:ind w:right="72"/>
              <w:rPr>
                <w:lang w:val="fr-FR"/>
              </w:rPr>
            </w:pPr>
          </w:p>
        </w:tc>
      </w:tr>
    </w:tbl>
    <w:p w:rsidR="001E5869" w:rsidRPr="00426EBE" w:rsidRDefault="001E5869" w:rsidP="007E45BB">
      <w:pPr>
        <w:ind w:right="74"/>
        <w:jc w:val="both"/>
        <w:rPr>
          <w:b/>
          <w:sz w:val="28"/>
          <w:szCs w:val="22"/>
        </w:rPr>
      </w:pPr>
    </w:p>
    <w:p w:rsidR="006D29EB" w:rsidRPr="00426EBE" w:rsidRDefault="006D29EB" w:rsidP="007E45BB">
      <w:pPr>
        <w:pStyle w:val="Titre7"/>
        <w:numPr>
          <w:ilvl w:val="0"/>
          <w:numId w:val="4"/>
        </w:numPr>
        <w:ind w:right="74"/>
        <w:rPr>
          <w:rFonts w:ascii="Times New Roman" w:hAnsi="Times New Roman"/>
          <w:bCs w:val="0"/>
          <w:szCs w:val="22"/>
        </w:rPr>
      </w:pPr>
      <w:r w:rsidRPr="00426EBE">
        <w:rPr>
          <w:rFonts w:ascii="Times New Roman" w:hAnsi="Times New Roman"/>
          <w:bCs w:val="0"/>
          <w:szCs w:val="22"/>
        </w:rPr>
        <w:t>Composante 2 : Engagement communautaire et responsabilisation</w:t>
      </w:r>
    </w:p>
    <w:p w:rsidR="006D29EB" w:rsidRPr="007E45BB" w:rsidRDefault="006D29EB" w:rsidP="007E45BB">
      <w:pPr>
        <w:ind w:right="74"/>
        <w:jc w:val="both"/>
        <w:rPr>
          <w:lang w:val="fr-FR"/>
        </w:rPr>
      </w:pPr>
    </w:p>
    <w:p w:rsidR="00AB6EF2" w:rsidRPr="004A253F" w:rsidRDefault="00AB6EF2" w:rsidP="007E45BB">
      <w:pPr>
        <w:ind w:right="74"/>
        <w:jc w:val="both"/>
        <w:rPr>
          <w:b/>
          <w:lang w:val="fr-FR"/>
        </w:rPr>
      </w:pPr>
      <w:r w:rsidRPr="007E45BB">
        <w:rPr>
          <w:lang w:val="fr-FR"/>
        </w:rPr>
        <w:t>Ce</w:t>
      </w:r>
      <w:r w:rsidR="006D29EB" w:rsidRPr="007E45BB">
        <w:rPr>
          <w:lang w:val="fr-FR"/>
        </w:rPr>
        <w:t>tte composante</w:t>
      </w:r>
      <w:r w:rsidRPr="007E45BB">
        <w:rPr>
          <w:lang w:val="fr-FR"/>
        </w:rPr>
        <w:t xml:space="preserve"> compren</w:t>
      </w:r>
      <w:r w:rsidR="006D29EB" w:rsidRPr="007E45BB">
        <w:rPr>
          <w:lang w:val="fr-FR"/>
        </w:rPr>
        <w:t>d</w:t>
      </w:r>
      <w:r w:rsidRPr="007E45BB">
        <w:rPr>
          <w:lang w:val="fr-FR"/>
        </w:rPr>
        <w:t xml:space="preserve"> la </w:t>
      </w:r>
      <w:r w:rsidR="00FE0B1E" w:rsidRPr="007E45BB">
        <w:rPr>
          <w:lang w:val="fr-FR"/>
        </w:rPr>
        <w:t xml:space="preserve">mise en œuvre du plan IEC, </w:t>
      </w:r>
      <w:r w:rsidR="006D29EB" w:rsidRPr="007E45BB">
        <w:rPr>
          <w:lang w:val="fr-FR"/>
        </w:rPr>
        <w:t>l’appui des populations bénéficiaires sur les activités génératrices de revenu et le suivi évaluation</w:t>
      </w:r>
      <w:r w:rsidRPr="007E45BB">
        <w:rPr>
          <w:lang w:val="fr-FR"/>
        </w:rPr>
        <w:t>.</w:t>
      </w:r>
      <w:r w:rsidR="007E45BB">
        <w:rPr>
          <w:lang w:val="fr-FR"/>
        </w:rPr>
        <w:t xml:space="preserve"> </w:t>
      </w:r>
      <w:r w:rsidRPr="007E45BB">
        <w:rPr>
          <w:lang w:val="fr-FR"/>
        </w:rPr>
        <w:t>Les marchés financés dans le cadre de cette composante sont essentiellem</w:t>
      </w:r>
      <w:r w:rsidR="007E45BB">
        <w:rPr>
          <w:lang w:val="fr-FR"/>
        </w:rPr>
        <w:t xml:space="preserve">ent des contrats de consultants </w:t>
      </w:r>
      <w:r w:rsidRPr="007E45BB">
        <w:rPr>
          <w:lang w:val="fr-FR"/>
        </w:rPr>
        <w:t>:</w:t>
      </w:r>
    </w:p>
    <w:tbl>
      <w:tblPr>
        <w:tblStyle w:val="Grilledutableau"/>
        <w:tblW w:w="10485" w:type="dxa"/>
        <w:jc w:val="center"/>
        <w:tblLook w:val="04A0" w:firstRow="1" w:lastRow="0" w:firstColumn="1" w:lastColumn="0" w:noHBand="0" w:noVBand="1"/>
      </w:tblPr>
      <w:tblGrid>
        <w:gridCol w:w="7650"/>
        <w:gridCol w:w="2835"/>
      </w:tblGrid>
      <w:tr w:rsidR="007E45BB" w:rsidRPr="004A253F" w:rsidTr="004A253F">
        <w:trPr>
          <w:jc w:val="center"/>
        </w:trPr>
        <w:tc>
          <w:tcPr>
            <w:tcW w:w="7650" w:type="dxa"/>
            <w:shd w:val="clear" w:color="auto" w:fill="BFBFBF" w:themeFill="background1" w:themeFillShade="BF"/>
          </w:tcPr>
          <w:p w:rsidR="00AB6EF2" w:rsidRPr="004A253F" w:rsidRDefault="00AB6EF2" w:rsidP="007E45BB">
            <w:pPr>
              <w:ind w:right="74"/>
              <w:jc w:val="both"/>
              <w:rPr>
                <w:b/>
                <w:lang w:val="fr-FR"/>
              </w:rPr>
            </w:pPr>
            <w:r w:rsidRPr="004A253F">
              <w:rPr>
                <w:b/>
                <w:lang w:val="fr-FR"/>
              </w:rPr>
              <w:t>Description</w:t>
            </w:r>
          </w:p>
        </w:tc>
        <w:tc>
          <w:tcPr>
            <w:tcW w:w="2835" w:type="dxa"/>
            <w:shd w:val="clear" w:color="auto" w:fill="BFBFBF" w:themeFill="background1" w:themeFillShade="BF"/>
          </w:tcPr>
          <w:p w:rsidR="00AB6EF2" w:rsidRPr="004A253F" w:rsidRDefault="00AB6EF2" w:rsidP="004A253F">
            <w:pPr>
              <w:ind w:right="74"/>
              <w:jc w:val="center"/>
              <w:rPr>
                <w:b/>
                <w:lang w:val="fr-FR"/>
              </w:rPr>
            </w:pPr>
            <w:r w:rsidRPr="004A253F">
              <w:rPr>
                <w:b/>
                <w:lang w:val="fr-FR"/>
              </w:rPr>
              <w:t>Mode d’acquisition</w:t>
            </w:r>
          </w:p>
        </w:tc>
      </w:tr>
      <w:tr w:rsidR="007E45BB" w:rsidRPr="007E45BB" w:rsidTr="004A253F">
        <w:trPr>
          <w:jc w:val="center"/>
        </w:trPr>
        <w:tc>
          <w:tcPr>
            <w:tcW w:w="7650" w:type="dxa"/>
          </w:tcPr>
          <w:p w:rsidR="00AB6EF2" w:rsidRPr="007E45BB" w:rsidRDefault="00444043" w:rsidP="007E45BB">
            <w:pPr>
              <w:ind w:right="74"/>
              <w:jc w:val="both"/>
              <w:rPr>
                <w:lang w:val="fr-FR"/>
              </w:rPr>
            </w:pPr>
            <w:r>
              <w:rPr>
                <w:lang w:val="fr-FR"/>
              </w:rPr>
              <w:t>M</w:t>
            </w:r>
            <w:r w:rsidR="00FE0B1E" w:rsidRPr="007E45BB">
              <w:rPr>
                <w:lang w:val="fr-FR"/>
              </w:rPr>
              <w:t xml:space="preserve">ise en œuvre du plan IEC </w:t>
            </w:r>
            <w:r w:rsidR="003F6376" w:rsidRPr="007E45BB">
              <w:rPr>
                <w:b/>
                <w:i/>
                <w:lang w:val="fr-FR"/>
              </w:rPr>
              <w:t>(séance de planification du changement de comportement : 140 bénévoles communautaires</w:t>
            </w:r>
          </w:p>
        </w:tc>
        <w:tc>
          <w:tcPr>
            <w:tcW w:w="2835" w:type="dxa"/>
          </w:tcPr>
          <w:p w:rsidR="00444043" w:rsidRDefault="00444043" w:rsidP="007E45BB">
            <w:pPr>
              <w:tabs>
                <w:tab w:val="left" w:pos="1380"/>
              </w:tabs>
              <w:ind w:right="74"/>
              <w:jc w:val="center"/>
              <w:rPr>
                <w:lang w:val="fr-FR"/>
              </w:rPr>
            </w:pPr>
          </w:p>
          <w:p w:rsidR="00AB6EF2" w:rsidRPr="007E45BB" w:rsidRDefault="00444043" w:rsidP="007E45BB">
            <w:pPr>
              <w:tabs>
                <w:tab w:val="left" w:pos="1380"/>
              </w:tabs>
              <w:ind w:right="74"/>
              <w:jc w:val="center"/>
              <w:rPr>
                <w:lang w:val="fr-FR"/>
              </w:rPr>
            </w:pPr>
            <w:r>
              <w:rPr>
                <w:lang w:val="fr-FR"/>
              </w:rPr>
              <w:t>DC/SSS</w:t>
            </w:r>
          </w:p>
        </w:tc>
      </w:tr>
      <w:tr w:rsidR="007E45BB" w:rsidRPr="007E45BB" w:rsidTr="004A253F">
        <w:trPr>
          <w:jc w:val="center"/>
        </w:trPr>
        <w:tc>
          <w:tcPr>
            <w:tcW w:w="7650" w:type="dxa"/>
          </w:tcPr>
          <w:p w:rsidR="003F6376" w:rsidRPr="007E45BB" w:rsidRDefault="00444043" w:rsidP="00444043">
            <w:pPr>
              <w:ind w:right="72"/>
              <w:jc w:val="both"/>
              <w:rPr>
                <w:lang w:val="fr-FR"/>
              </w:rPr>
            </w:pPr>
            <w:r>
              <w:rPr>
                <w:lang w:val="fr-FR"/>
              </w:rPr>
              <w:t>A</w:t>
            </w:r>
            <w:r w:rsidR="003F6376" w:rsidRPr="007E45BB">
              <w:rPr>
                <w:lang w:val="fr-FR"/>
              </w:rPr>
              <w:t>ppui aux activités génératrices de revenus</w:t>
            </w:r>
          </w:p>
        </w:tc>
        <w:tc>
          <w:tcPr>
            <w:tcW w:w="2835" w:type="dxa"/>
            <w:vAlign w:val="center"/>
          </w:tcPr>
          <w:p w:rsidR="003F6376" w:rsidRPr="007E45BB" w:rsidRDefault="00444043" w:rsidP="003E4E75">
            <w:pPr>
              <w:ind w:right="72"/>
              <w:jc w:val="center"/>
              <w:rPr>
                <w:lang w:val="fr-FR"/>
              </w:rPr>
            </w:pPr>
            <w:r>
              <w:rPr>
                <w:lang w:val="fr-FR"/>
              </w:rPr>
              <w:t>DC/SSS</w:t>
            </w:r>
          </w:p>
        </w:tc>
      </w:tr>
      <w:tr w:rsidR="007E45BB" w:rsidRPr="007E45BB" w:rsidTr="004A253F">
        <w:trPr>
          <w:jc w:val="center"/>
        </w:trPr>
        <w:tc>
          <w:tcPr>
            <w:tcW w:w="7650" w:type="dxa"/>
          </w:tcPr>
          <w:p w:rsidR="003F6376" w:rsidRPr="007E45BB" w:rsidRDefault="003F6376" w:rsidP="007E45BB">
            <w:pPr>
              <w:ind w:right="74"/>
              <w:jc w:val="both"/>
              <w:rPr>
                <w:lang w:val="fr-FR"/>
              </w:rPr>
            </w:pPr>
            <w:r w:rsidRPr="007E45BB">
              <w:rPr>
                <w:lang w:val="fr-FR"/>
              </w:rPr>
              <w:t>Recrutement d'un bureau d’étude pour l’appui au SGI et au système de suivi et évaluation en temps réel</w:t>
            </w:r>
          </w:p>
        </w:tc>
        <w:tc>
          <w:tcPr>
            <w:tcW w:w="2835" w:type="dxa"/>
            <w:vAlign w:val="center"/>
          </w:tcPr>
          <w:p w:rsidR="003F6376" w:rsidRPr="007E45BB" w:rsidRDefault="003F6376" w:rsidP="003E4E75">
            <w:pPr>
              <w:ind w:right="74"/>
              <w:jc w:val="center"/>
              <w:rPr>
                <w:lang w:val="fr-FR"/>
              </w:rPr>
            </w:pPr>
            <w:r w:rsidRPr="007E45BB">
              <w:rPr>
                <w:lang w:val="fr-FR"/>
              </w:rPr>
              <w:t>SFQC = QCBS/MC</w:t>
            </w:r>
          </w:p>
        </w:tc>
      </w:tr>
    </w:tbl>
    <w:p w:rsidR="00AB6EF2" w:rsidRPr="00426EBE" w:rsidRDefault="00AB6EF2" w:rsidP="007E45BB">
      <w:pPr>
        <w:ind w:right="74"/>
        <w:jc w:val="both"/>
        <w:rPr>
          <w:iCs/>
          <w:szCs w:val="22"/>
          <w:lang w:val="fr-FR"/>
        </w:rPr>
      </w:pPr>
    </w:p>
    <w:p w:rsidR="00AE3401" w:rsidRPr="00426EBE" w:rsidRDefault="00AE3401" w:rsidP="007E45BB">
      <w:pPr>
        <w:pStyle w:val="Titre7"/>
        <w:numPr>
          <w:ilvl w:val="0"/>
          <w:numId w:val="6"/>
        </w:numPr>
        <w:ind w:right="74"/>
        <w:rPr>
          <w:rFonts w:ascii="Times New Roman" w:hAnsi="Times New Roman"/>
          <w:bCs w:val="0"/>
          <w:szCs w:val="22"/>
        </w:rPr>
      </w:pPr>
      <w:r w:rsidRPr="00426EBE">
        <w:rPr>
          <w:rFonts w:ascii="Times New Roman" w:hAnsi="Times New Roman"/>
          <w:bCs w:val="0"/>
          <w:szCs w:val="22"/>
        </w:rPr>
        <w:t>Composante 4 : service d’audit financier</w:t>
      </w:r>
    </w:p>
    <w:p w:rsidR="00AE3401" w:rsidRPr="007E45BB" w:rsidRDefault="00AE3401" w:rsidP="007E45BB">
      <w:pPr>
        <w:ind w:right="74"/>
        <w:jc w:val="both"/>
        <w:rPr>
          <w:lang w:val="fr-FR"/>
        </w:rPr>
      </w:pPr>
    </w:p>
    <w:p w:rsidR="00164DD2" w:rsidRDefault="00164DD2" w:rsidP="007E45BB">
      <w:pPr>
        <w:ind w:right="74"/>
        <w:jc w:val="both"/>
        <w:rPr>
          <w:lang w:val="fr-FR"/>
        </w:rPr>
      </w:pPr>
      <w:r w:rsidRPr="007E45BB">
        <w:rPr>
          <w:lang w:val="fr-FR"/>
        </w:rPr>
        <w:t xml:space="preserve">Cette composante comprend l’audit des comptes du projet. </w:t>
      </w:r>
    </w:p>
    <w:p w:rsidR="007E45BB" w:rsidRPr="007E45BB" w:rsidRDefault="007E45BB" w:rsidP="007E45BB">
      <w:pPr>
        <w:ind w:right="74"/>
        <w:jc w:val="both"/>
        <w:rPr>
          <w:lang w:val="fr-FR"/>
        </w:rPr>
      </w:pPr>
    </w:p>
    <w:p w:rsidR="00164DD2" w:rsidRPr="007E45BB" w:rsidRDefault="00164DD2" w:rsidP="007E45BB">
      <w:pPr>
        <w:ind w:right="74"/>
        <w:jc w:val="both"/>
        <w:rPr>
          <w:lang w:val="fr-FR"/>
        </w:rPr>
      </w:pPr>
      <w:r w:rsidRPr="007E45BB">
        <w:rPr>
          <w:lang w:val="fr-FR"/>
        </w:rPr>
        <w:t>Le marché financé dans le cadre de cette composante est essentiellement le recrutement d’in cabinet d’audit qui sera chargé de l’audit financier du projet.</w:t>
      </w:r>
    </w:p>
    <w:p w:rsidR="00B13781" w:rsidRPr="007E45BB" w:rsidRDefault="00B13781" w:rsidP="007E45BB">
      <w:pPr>
        <w:ind w:right="74"/>
        <w:jc w:val="both"/>
        <w:rPr>
          <w:lang w:val="fr-FR"/>
        </w:rPr>
      </w:pPr>
    </w:p>
    <w:tbl>
      <w:tblPr>
        <w:tblStyle w:val="Grilledutableau"/>
        <w:tblW w:w="9493" w:type="dxa"/>
        <w:jc w:val="center"/>
        <w:tblLook w:val="04A0" w:firstRow="1" w:lastRow="0" w:firstColumn="1" w:lastColumn="0" w:noHBand="0" w:noVBand="1"/>
      </w:tblPr>
      <w:tblGrid>
        <w:gridCol w:w="6941"/>
        <w:gridCol w:w="2552"/>
      </w:tblGrid>
      <w:tr w:rsidR="007E45BB" w:rsidRPr="007E45BB" w:rsidTr="00444043">
        <w:trPr>
          <w:jc w:val="center"/>
        </w:trPr>
        <w:tc>
          <w:tcPr>
            <w:tcW w:w="6941" w:type="dxa"/>
            <w:shd w:val="clear" w:color="auto" w:fill="A6A6A6" w:themeFill="background1" w:themeFillShade="A6"/>
          </w:tcPr>
          <w:p w:rsidR="00B13781" w:rsidRPr="007E45BB" w:rsidRDefault="00B13781" w:rsidP="00774114">
            <w:pPr>
              <w:ind w:right="74"/>
              <w:jc w:val="center"/>
              <w:rPr>
                <w:b/>
                <w:lang w:val="fr-FR"/>
              </w:rPr>
            </w:pPr>
            <w:r w:rsidRPr="007E45BB">
              <w:rPr>
                <w:b/>
                <w:lang w:val="fr-FR"/>
              </w:rPr>
              <w:t>Description</w:t>
            </w:r>
          </w:p>
        </w:tc>
        <w:tc>
          <w:tcPr>
            <w:tcW w:w="2552" w:type="dxa"/>
            <w:shd w:val="clear" w:color="auto" w:fill="A6A6A6" w:themeFill="background1" w:themeFillShade="A6"/>
          </w:tcPr>
          <w:p w:rsidR="00B13781" w:rsidRPr="007E45BB" w:rsidRDefault="00B13781" w:rsidP="00774114">
            <w:pPr>
              <w:ind w:right="74"/>
              <w:jc w:val="center"/>
              <w:rPr>
                <w:b/>
                <w:lang w:val="fr-FR"/>
              </w:rPr>
            </w:pPr>
            <w:r w:rsidRPr="007E45BB">
              <w:rPr>
                <w:b/>
                <w:lang w:val="fr-FR"/>
              </w:rPr>
              <w:t>Mode d’acquisition</w:t>
            </w:r>
          </w:p>
        </w:tc>
      </w:tr>
      <w:tr w:rsidR="007E45BB" w:rsidRPr="007E45BB" w:rsidTr="00774114">
        <w:trPr>
          <w:jc w:val="center"/>
        </w:trPr>
        <w:tc>
          <w:tcPr>
            <w:tcW w:w="6941" w:type="dxa"/>
          </w:tcPr>
          <w:p w:rsidR="00B13781" w:rsidRPr="007E45BB" w:rsidRDefault="00B13781" w:rsidP="007E45BB">
            <w:pPr>
              <w:ind w:right="74"/>
              <w:jc w:val="both"/>
              <w:rPr>
                <w:lang w:val="fr-FR"/>
              </w:rPr>
            </w:pPr>
            <w:r w:rsidRPr="007E45BB">
              <w:rPr>
                <w:lang w:val="fr-FR"/>
              </w:rPr>
              <w:t xml:space="preserve">Recrutement d'un cabinet chargé de </w:t>
            </w:r>
            <w:r w:rsidR="00C74424" w:rsidRPr="007E45BB">
              <w:rPr>
                <w:lang w:val="fr-FR"/>
              </w:rPr>
              <w:t>l’audit annuel</w:t>
            </w:r>
            <w:r w:rsidRPr="007E45BB">
              <w:rPr>
                <w:lang w:val="fr-FR"/>
              </w:rPr>
              <w:t xml:space="preserve"> (techniques, financiers et de passation de marchés)</w:t>
            </w:r>
          </w:p>
        </w:tc>
        <w:tc>
          <w:tcPr>
            <w:tcW w:w="2552" w:type="dxa"/>
            <w:vAlign w:val="center"/>
          </w:tcPr>
          <w:p w:rsidR="00B13781" w:rsidRPr="007E45BB" w:rsidRDefault="00B13781" w:rsidP="007E45BB">
            <w:pPr>
              <w:ind w:right="74"/>
              <w:jc w:val="center"/>
              <w:rPr>
                <w:lang w:val="fr-FR"/>
              </w:rPr>
            </w:pPr>
            <w:r w:rsidRPr="007E45BB">
              <w:rPr>
                <w:lang w:val="fr-FR"/>
              </w:rPr>
              <w:t>SMC = LCS/LC</w:t>
            </w:r>
          </w:p>
        </w:tc>
      </w:tr>
    </w:tbl>
    <w:p w:rsidR="002C3C0E" w:rsidRDefault="002C3C0E" w:rsidP="007E45BB">
      <w:pPr>
        <w:ind w:right="72"/>
        <w:jc w:val="both"/>
        <w:rPr>
          <w:lang w:val="fr-FR"/>
        </w:rPr>
      </w:pPr>
    </w:p>
    <w:p w:rsidR="00C30C3D" w:rsidRDefault="00C30C3D" w:rsidP="007E45BB">
      <w:pPr>
        <w:ind w:right="72"/>
        <w:jc w:val="both"/>
        <w:rPr>
          <w:lang w:val="fr-FR"/>
        </w:rPr>
      </w:pPr>
      <w:r w:rsidRPr="007E45BB">
        <w:rPr>
          <w:lang w:val="fr-FR"/>
        </w:rPr>
        <w:t xml:space="preserve">Les </w:t>
      </w:r>
      <w:r w:rsidR="00F61B08" w:rsidRPr="007E45BB">
        <w:rPr>
          <w:lang w:val="fr-FR"/>
        </w:rPr>
        <w:t>acquisition</w:t>
      </w:r>
      <w:r w:rsidRPr="007E45BB">
        <w:rPr>
          <w:lang w:val="fr-FR"/>
        </w:rPr>
        <w:t xml:space="preserve">s </w:t>
      </w:r>
      <w:r w:rsidR="00E35120" w:rsidRPr="007E45BB">
        <w:rPr>
          <w:lang w:val="fr-FR"/>
        </w:rPr>
        <w:t xml:space="preserve">financées par la Banque Islamique de Développement </w:t>
      </w:r>
      <w:r w:rsidRPr="007E45BB">
        <w:rPr>
          <w:lang w:val="fr-FR"/>
        </w:rPr>
        <w:t xml:space="preserve">seront </w:t>
      </w:r>
      <w:r w:rsidR="00F61B08" w:rsidRPr="007E45BB">
        <w:rPr>
          <w:lang w:val="fr-FR"/>
        </w:rPr>
        <w:t>effectu</w:t>
      </w:r>
      <w:r w:rsidRPr="007E45BB">
        <w:rPr>
          <w:lang w:val="fr-FR"/>
        </w:rPr>
        <w:t>é</w:t>
      </w:r>
      <w:r w:rsidR="00F61B08" w:rsidRPr="007E45BB">
        <w:rPr>
          <w:lang w:val="fr-FR"/>
        </w:rPr>
        <w:t>e</w:t>
      </w:r>
      <w:r w:rsidRPr="007E45BB">
        <w:rPr>
          <w:lang w:val="fr-FR"/>
        </w:rPr>
        <w:t>s conformément aux Directives</w:t>
      </w:r>
      <w:r w:rsidR="009F6C07" w:rsidRPr="007E45BB">
        <w:rPr>
          <w:lang w:val="fr-FR"/>
        </w:rPr>
        <w:t xml:space="preserve"> pour </w:t>
      </w:r>
      <w:r w:rsidR="00E35120" w:rsidRPr="007E45BB">
        <w:rPr>
          <w:lang w:val="fr-FR"/>
        </w:rPr>
        <w:t>l’acquisition de Biens, Travaux et services connexes</w:t>
      </w:r>
      <w:r w:rsidRPr="007E45BB">
        <w:rPr>
          <w:lang w:val="fr-FR"/>
        </w:rPr>
        <w:t xml:space="preserve"> </w:t>
      </w:r>
      <w:r w:rsidR="009474B0" w:rsidRPr="007E45BB">
        <w:rPr>
          <w:lang w:val="fr-FR"/>
        </w:rPr>
        <w:t xml:space="preserve">dans le cadre des Projets </w:t>
      </w:r>
      <w:r w:rsidRPr="007E45BB">
        <w:rPr>
          <w:lang w:val="fr-FR"/>
        </w:rPr>
        <w:t>financés par la B</w:t>
      </w:r>
      <w:r w:rsidR="009F6C07" w:rsidRPr="007E45BB">
        <w:rPr>
          <w:lang w:val="fr-FR"/>
        </w:rPr>
        <w:t xml:space="preserve">anque </w:t>
      </w:r>
      <w:r w:rsidRPr="007E45BB">
        <w:rPr>
          <w:lang w:val="fr-FR"/>
        </w:rPr>
        <w:t>I</w:t>
      </w:r>
      <w:r w:rsidR="009F6C07" w:rsidRPr="007E45BB">
        <w:rPr>
          <w:lang w:val="fr-FR"/>
        </w:rPr>
        <w:t xml:space="preserve">slamique de Développement </w:t>
      </w:r>
      <w:r w:rsidRPr="007E45BB">
        <w:rPr>
          <w:lang w:val="fr-FR"/>
        </w:rPr>
        <w:t>(</w:t>
      </w:r>
      <w:r w:rsidR="00C47CDF" w:rsidRPr="007E45BB">
        <w:rPr>
          <w:lang w:val="fr-FR"/>
        </w:rPr>
        <w:t xml:space="preserve">édition </w:t>
      </w:r>
      <w:r w:rsidR="00E35120" w:rsidRPr="007E45BB">
        <w:rPr>
          <w:lang w:val="fr-FR"/>
        </w:rPr>
        <w:t>courante</w:t>
      </w:r>
      <w:r w:rsidRPr="007E45BB">
        <w:rPr>
          <w:lang w:val="fr-FR"/>
        </w:rPr>
        <w:t>)</w:t>
      </w:r>
      <w:r w:rsidR="00E35120" w:rsidRPr="007E45BB">
        <w:rPr>
          <w:lang w:val="fr-FR"/>
        </w:rPr>
        <w:t xml:space="preserve"> et sont ouvertes à tous les soumissionnaires éligibles, tels que définis dans ces Directives</w:t>
      </w:r>
      <w:r w:rsidRPr="007E45BB">
        <w:rPr>
          <w:lang w:val="fr-FR"/>
        </w:rPr>
        <w:t xml:space="preserve">. Les </w:t>
      </w:r>
      <w:r w:rsidR="00E35120" w:rsidRPr="007E45BB">
        <w:rPr>
          <w:lang w:val="fr-FR"/>
        </w:rPr>
        <w:t xml:space="preserve">acquisitions </w:t>
      </w:r>
      <w:r w:rsidR="009F6C07" w:rsidRPr="007E45BB">
        <w:rPr>
          <w:lang w:val="fr-FR"/>
        </w:rPr>
        <w:t xml:space="preserve">de services de </w:t>
      </w:r>
      <w:r w:rsidRPr="007E45BB">
        <w:rPr>
          <w:lang w:val="fr-FR"/>
        </w:rPr>
        <w:t xml:space="preserve">consultants </w:t>
      </w:r>
      <w:r w:rsidR="00E35120" w:rsidRPr="007E45BB">
        <w:rPr>
          <w:lang w:val="fr-FR"/>
        </w:rPr>
        <w:t xml:space="preserve">seront effectuées conformément aux </w:t>
      </w:r>
      <w:r w:rsidR="00E35120" w:rsidRPr="007E45BB">
        <w:rPr>
          <w:lang w:val="fr-FR"/>
        </w:rPr>
        <w:lastRenderedPageBreak/>
        <w:t xml:space="preserve">Directives pour l’acquisition de Services de Consultants </w:t>
      </w:r>
      <w:r w:rsidR="009474B0" w:rsidRPr="007E45BB">
        <w:rPr>
          <w:lang w:val="fr-FR"/>
        </w:rPr>
        <w:t xml:space="preserve">dans le cadre des Projets </w:t>
      </w:r>
      <w:r w:rsidR="00E35120" w:rsidRPr="007E45BB">
        <w:rPr>
          <w:lang w:val="fr-FR"/>
        </w:rPr>
        <w:t>financés par la Banque Islamique de Développement (édition courante)</w:t>
      </w:r>
      <w:r w:rsidR="009F6C07" w:rsidRPr="007E45BB">
        <w:rPr>
          <w:lang w:val="fr-FR"/>
        </w:rPr>
        <w:t>.</w:t>
      </w:r>
      <w:r w:rsidR="00E35120" w:rsidRPr="007E45BB">
        <w:rPr>
          <w:rStyle w:val="Appelnotedebasdep"/>
          <w:lang w:val="fr-FR"/>
        </w:rPr>
        <w:footnoteReference w:id="1"/>
      </w:r>
    </w:p>
    <w:p w:rsidR="00774114" w:rsidRPr="007E45BB" w:rsidRDefault="00774114" w:rsidP="007E45BB">
      <w:pPr>
        <w:ind w:right="72"/>
        <w:jc w:val="both"/>
        <w:rPr>
          <w:lang w:val="fr-FR"/>
        </w:rPr>
      </w:pPr>
    </w:p>
    <w:p w:rsidR="00691DCE" w:rsidRPr="00774114" w:rsidRDefault="00B63B97" w:rsidP="007E45BB">
      <w:pPr>
        <w:ind w:right="72"/>
        <w:jc w:val="both"/>
        <w:rPr>
          <w:b/>
          <w:lang w:val="fr-FR"/>
        </w:rPr>
      </w:pPr>
      <w:r w:rsidRPr="007E45BB">
        <w:rPr>
          <w:lang w:val="fr-FR"/>
        </w:rPr>
        <w:t>Les avis spécifiques de passation des marchés pour les acquisitions à effectuer par Appel d’Offres International (AOI) ou Appel d’Offres International réservé aux pays membres (AOI/PM) et les appels à manifestations d’intérêt</w:t>
      </w:r>
      <w:r w:rsidR="00691DCE" w:rsidRPr="007E45BB">
        <w:rPr>
          <w:lang w:val="fr-FR"/>
        </w:rPr>
        <w:t xml:space="preserve"> pour les services de consultants seront publiés au fur et à mesure qu’ils seront disponibles, sur le site internet de la </w:t>
      </w:r>
      <w:r w:rsidR="00691DCE" w:rsidRPr="00774114">
        <w:rPr>
          <w:b/>
          <w:lang w:val="fr-FR"/>
        </w:rPr>
        <w:t>BIsD</w:t>
      </w:r>
      <w:r w:rsidR="00B9683C" w:rsidRPr="00774114">
        <w:rPr>
          <w:b/>
          <w:lang w:val="fr-FR"/>
        </w:rPr>
        <w:t xml:space="preserve">, </w:t>
      </w:r>
      <w:r w:rsidR="00B13781" w:rsidRPr="00774114">
        <w:rPr>
          <w:b/>
          <w:lang w:val="fr-FR"/>
        </w:rPr>
        <w:t>D</w:t>
      </w:r>
      <w:r w:rsidR="00EA7F11" w:rsidRPr="00774114">
        <w:rPr>
          <w:b/>
          <w:lang w:val="fr-FR"/>
        </w:rPr>
        <w:t xml:space="preserve">g Market, </w:t>
      </w:r>
      <w:r w:rsidR="00B13781" w:rsidRPr="00774114">
        <w:rPr>
          <w:b/>
          <w:lang w:val="fr-FR"/>
        </w:rPr>
        <w:t>le quotidien</w:t>
      </w:r>
      <w:r w:rsidR="00426EBE">
        <w:rPr>
          <w:b/>
          <w:lang w:val="fr-FR"/>
        </w:rPr>
        <w:t xml:space="preserve"> «</w:t>
      </w:r>
      <w:r w:rsidR="00426EBE" w:rsidRPr="00774114">
        <w:rPr>
          <w:b/>
          <w:lang w:val="fr-FR"/>
        </w:rPr>
        <w:t xml:space="preserve"> Togo</w:t>
      </w:r>
      <w:r w:rsidR="00B13781" w:rsidRPr="00774114">
        <w:rPr>
          <w:b/>
          <w:lang w:val="fr-FR"/>
        </w:rPr>
        <w:t xml:space="preserve"> Presse ».</w:t>
      </w:r>
    </w:p>
    <w:p w:rsidR="00B13781" w:rsidRPr="007E45BB" w:rsidRDefault="00B13781" w:rsidP="007E45BB">
      <w:pPr>
        <w:ind w:right="72"/>
        <w:jc w:val="both"/>
        <w:rPr>
          <w:lang w:val="fr-FR"/>
        </w:rPr>
      </w:pPr>
    </w:p>
    <w:p w:rsidR="00F61B08" w:rsidRPr="007E45BB" w:rsidRDefault="00F61B08" w:rsidP="007E45BB">
      <w:pPr>
        <w:ind w:right="74"/>
        <w:jc w:val="both"/>
        <w:rPr>
          <w:i/>
          <w:lang w:val="fr-FR"/>
        </w:rPr>
      </w:pPr>
      <w:r w:rsidRPr="007E45BB">
        <w:rPr>
          <w:lang w:val="fr-FR"/>
        </w:rPr>
        <w:t xml:space="preserve">Les candidats intéressés </w:t>
      </w:r>
      <w:r w:rsidR="00517E16" w:rsidRPr="007E45BB">
        <w:rPr>
          <w:lang w:val="fr-FR"/>
        </w:rPr>
        <w:t xml:space="preserve">et éligibles, qui souhaitent être considérés pour la </w:t>
      </w:r>
      <w:r w:rsidR="00861189" w:rsidRPr="007E45BB">
        <w:rPr>
          <w:lang w:val="fr-FR"/>
        </w:rPr>
        <w:t>fourniture</w:t>
      </w:r>
      <w:r w:rsidR="00517E16" w:rsidRPr="007E45BB">
        <w:rPr>
          <w:lang w:val="fr-FR"/>
        </w:rPr>
        <w:t xml:space="preserve"> de biens, travaux et services de consultants pour le projet, ou qui désirent obtenir des informations additionnelles, sont invités à contacter le Bénéficiaire à l’adresse ci-</w:t>
      </w:r>
      <w:r w:rsidR="00235DC8" w:rsidRPr="007E45BB">
        <w:rPr>
          <w:lang w:val="fr-FR"/>
        </w:rPr>
        <w:t>dessous :</w:t>
      </w:r>
    </w:p>
    <w:p w:rsidR="00463E5C" w:rsidRPr="00426EBE" w:rsidRDefault="00463E5C" w:rsidP="00426EBE">
      <w:pPr>
        <w:ind w:right="74"/>
        <w:jc w:val="both"/>
        <w:rPr>
          <w:b/>
          <w:lang w:val="fr-FR"/>
        </w:rPr>
      </w:pPr>
      <w:bookmarkStart w:id="1" w:name="_Hlk56781504"/>
      <w:r w:rsidRPr="00426EBE">
        <w:rPr>
          <w:b/>
          <w:lang w:val="fr-FR"/>
        </w:rPr>
        <w:t xml:space="preserve">Secrétariat Permanent de la Personne Responsable des Marchés Publics </w:t>
      </w:r>
      <w:r w:rsidR="00B13781" w:rsidRPr="00426EBE">
        <w:rPr>
          <w:b/>
          <w:lang w:val="fr-FR"/>
        </w:rPr>
        <w:t>du MEHV</w:t>
      </w:r>
      <w:r w:rsidRPr="00426EBE">
        <w:rPr>
          <w:b/>
          <w:lang w:val="fr-FR"/>
        </w:rPr>
        <w:t xml:space="preserve">, </w:t>
      </w:r>
    </w:p>
    <w:p w:rsidR="00463E5C" w:rsidRPr="00426EBE" w:rsidRDefault="00463E5C" w:rsidP="00426EBE">
      <w:pPr>
        <w:ind w:right="72"/>
        <w:jc w:val="both"/>
        <w:rPr>
          <w:b/>
          <w:lang w:val="fr-FR"/>
        </w:rPr>
      </w:pPr>
      <w:r w:rsidRPr="00426EBE">
        <w:rPr>
          <w:b/>
          <w:lang w:val="fr-FR"/>
        </w:rPr>
        <w:t xml:space="preserve">A l'attention de Monsieur </w:t>
      </w:r>
      <w:r w:rsidR="007864A0">
        <w:rPr>
          <w:b/>
          <w:lang w:val="fr-FR"/>
        </w:rPr>
        <w:t>Légua LADANI</w:t>
      </w:r>
      <w:r w:rsidRPr="00426EBE">
        <w:rPr>
          <w:b/>
          <w:lang w:val="fr-FR"/>
        </w:rPr>
        <w:t>, Personne Responsable des Marchés Publics.</w:t>
      </w:r>
    </w:p>
    <w:p w:rsidR="00463E5C" w:rsidRPr="00426EBE" w:rsidRDefault="00B13781" w:rsidP="00426EBE">
      <w:pPr>
        <w:ind w:right="72"/>
        <w:jc w:val="both"/>
        <w:rPr>
          <w:b/>
          <w:sz w:val="22"/>
          <w:szCs w:val="22"/>
          <w:lang w:val="fr-FR"/>
        </w:rPr>
      </w:pPr>
      <w:r w:rsidRPr="00426EBE">
        <w:rPr>
          <w:b/>
          <w:lang w:val="fr-FR"/>
        </w:rPr>
        <w:t xml:space="preserve">01BP119 Lomé-Togo ; </w:t>
      </w:r>
      <w:r w:rsidR="00774114" w:rsidRPr="00426EBE">
        <w:rPr>
          <w:b/>
          <w:lang w:val="fr-FR"/>
        </w:rPr>
        <w:t>Cél</w:t>
      </w:r>
      <w:r w:rsidR="007864A0">
        <w:rPr>
          <w:b/>
          <w:lang w:val="fr-FR"/>
        </w:rPr>
        <w:t> : 90 24 42 25</w:t>
      </w:r>
    </w:p>
    <w:p w:rsidR="00463E5C" w:rsidRPr="007864A0" w:rsidRDefault="00463E5C" w:rsidP="00426EBE">
      <w:pPr>
        <w:jc w:val="both"/>
        <w:rPr>
          <w:b/>
          <w:lang w:val="fr-FR"/>
        </w:rPr>
      </w:pPr>
      <w:r w:rsidRPr="00426EBE">
        <w:rPr>
          <w:b/>
          <w:spacing w:val="-2"/>
          <w:lang w:val="fr-FR"/>
        </w:rPr>
        <w:t xml:space="preserve">Email : </w:t>
      </w:r>
      <w:hyperlink r:id="rId9" w:history="1">
        <w:r w:rsidR="007864A0" w:rsidRPr="007864A0">
          <w:rPr>
            <w:rStyle w:val="Lienhypertexte"/>
            <w:b/>
            <w:color w:val="auto"/>
            <w:spacing w:val="-2"/>
            <w:u w:val="none"/>
            <w:lang w:val="fr-FR"/>
          </w:rPr>
          <w:t>prmp</w:t>
        </w:r>
        <w:r w:rsidR="007864A0" w:rsidRPr="007864A0">
          <w:rPr>
            <w:rStyle w:val="Lienhypertexte"/>
            <w:b/>
            <w:color w:val="auto"/>
            <w:u w:val="none"/>
            <w:lang w:val="fr-FR"/>
          </w:rPr>
          <w:t>mehv@hayoo.com</w:t>
        </w:r>
      </w:hyperlink>
    </w:p>
    <w:p w:rsidR="007864A0" w:rsidRPr="00426EBE" w:rsidRDefault="007864A0" w:rsidP="00426EBE">
      <w:pPr>
        <w:jc w:val="both"/>
        <w:rPr>
          <w:rFonts w:eastAsia="Calibri"/>
          <w:b/>
          <w:lang w:val="fr-FR"/>
        </w:rPr>
      </w:pPr>
      <w:r w:rsidRPr="007864A0">
        <w:rPr>
          <w:b/>
          <w:lang w:val="fr-FR"/>
        </w:rPr>
        <w:t xml:space="preserve">Email SPM : </w:t>
      </w:r>
      <w:hyperlink r:id="rId10" w:history="1">
        <w:r w:rsidRPr="007864A0">
          <w:rPr>
            <w:rStyle w:val="Lienhypertexte"/>
            <w:b/>
            <w:color w:val="auto"/>
            <w:u w:val="none"/>
            <w:lang w:val="fr-FR"/>
          </w:rPr>
          <w:t>didiersolitoki@hotmail.fr</w:t>
        </w:r>
      </w:hyperlink>
      <w:r>
        <w:rPr>
          <w:b/>
          <w:lang w:val="fr-FR"/>
        </w:rPr>
        <w:t xml:space="preserve"> </w:t>
      </w:r>
    </w:p>
    <w:p w:rsidR="00463E5C" w:rsidRPr="007E45BB" w:rsidRDefault="00463E5C" w:rsidP="007E45BB">
      <w:pPr>
        <w:rPr>
          <w:rFonts w:eastAsia="Calibri"/>
          <w:b/>
          <w:lang w:val="fr-FR"/>
        </w:rPr>
      </w:pPr>
    </w:p>
    <w:p w:rsidR="00463E5C" w:rsidRPr="00774114" w:rsidRDefault="00463E5C" w:rsidP="007E45BB">
      <w:pPr>
        <w:ind w:right="72"/>
        <w:jc w:val="both"/>
        <w:rPr>
          <w:b/>
          <w:u w:val="single"/>
          <w:lang w:val="fr-FR"/>
        </w:rPr>
      </w:pPr>
      <w:r w:rsidRPr="00774114">
        <w:rPr>
          <w:b/>
          <w:u w:val="single"/>
          <w:lang w:val="fr-FR"/>
        </w:rPr>
        <w:t>Légende</w:t>
      </w:r>
    </w:p>
    <w:p w:rsidR="00774114" w:rsidRPr="00774114" w:rsidRDefault="00774114" w:rsidP="007E45BB">
      <w:pPr>
        <w:ind w:right="72"/>
        <w:jc w:val="both"/>
        <w:rPr>
          <w:b/>
          <w:u w:val="single"/>
          <w:lang w:val="fr-FR"/>
        </w:rPr>
      </w:pPr>
    </w:p>
    <w:p w:rsidR="00463E5C" w:rsidRPr="007E45BB" w:rsidRDefault="00463E5C" w:rsidP="007E45BB">
      <w:pPr>
        <w:ind w:right="72"/>
        <w:jc w:val="both"/>
        <w:rPr>
          <w:lang w:val="fr-FR"/>
        </w:rPr>
      </w:pPr>
      <w:r w:rsidRPr="007E45BB">
        <w:rPr>
          <w:lang w:val="fr-FR"/>
        </w:rPr>
        <w:t>AOI</w:t>
      </w:r>
      <w:r w:rsidR="00EA7F11" w:rsidRPr="007E45BB">
        <w:rPr>
          <w:lang w:val="fr-FR"/>
        </w:rPr>
        <w:t>/</w:t>
      </w:r>
      <w:r w:rsidR="00774114" w:rsidRPr="007E45BB">
        <w:rPr>
          <w:lang w:val="fr-FR"/>
        </w:rPr>
        <w:t>PM :</w:t>
      </w:r>
      <w:r w:rsidRPr="007E45BB">
        <w:rPr>
          <w:lang w:val="fr-FR"/>
        </w:rPr>
        <w:t xml:space="preserve"> Appel d’offres International</w:t>
      </w:r>
      <w:r w:rsidR="009325D2" w:rsidRPr="007E45BB">
        <w:rPr>
          <w:lang w:val="fr-FR"/>
        </w:rPr>
        <w:t xml:space="preserve"> ouvert aux Pays </w:t>
      </w:r>
      <w:r w:rsidR="00774114" w:rsidRPr="007E45BB">
        <w:rPr>
          <w:lang w:val="fr-FR"/>
        </w:rPr>
        <w:t>Membres ;</w:t>
      </w:r>
      <w:r w:rsidRPr="007E45BB">
        <w:rPr>
          <w:lang w:val="fr-FR"/>
        </w:rPr>
        <w:t xml:space="preserve"> </w:t>
      </w:r>
    </w:p>
    <w:p w:rsidR="00463E5C" w:rsidRPr="007E45BB" w:rsidRDefault="00463E5C" w:rsidP="007E45BB">
      <w:pPr>
        <w:ind w:right="72"/>
        <w:jc w:val="both"/>
        <w:rPr>
          <w:lang w:val="fr-FR"/>
        </w:rPr>
      </w:pPr>
      <w:r w:rsidRPr="007E45BB">
        <w:rPr>
          <w:lang w:val="fr-FR"/>
        </w:rPr>
        <w:t xml:space="preserve">SFQC : Sélection fondée sur la qualité et le </w:t>
      </w:r>
      <w:r w:rsidR="009325D2" w:rsidRPr="007E45BB">
        <w:rPr>
          <w:lang w:val="fr-FR"/>
        </w:rPr>
        <w:t>coût ;</w:t>
      </w:r>
      <w:r w:rsidRPr="007E45BB">
        <w:rPr>
          <w:lang w:val="fr-FR"/>
        </w:rPr>
        <w:t xml:space="preserve"> </w:t>
      </w:r>
      <w:bookmarkEnd w:id="1"/>
    </w:p>
    <w:p w:rsidR="00463E5C" w:rsidRPr="007E45BB" w:rsidRDefault="00774114" w:rsidP="007E45BB">
      <w:pPr>
        <w:ind w:right="72"/>
        <w:jc w:val="both"/>
      </w:pPr>
      <w:r w:rsidRPr="007E45BB">
        <w:t>CF:</w:t>
      </w:r>
      <w:r w:rsidR="00463E5C" w:rsidRPr="007E45BB">
        <w:t xml:space="preserve"> </w:t>
      </w:r>
      <w:r w:rsidR="009325D2" w:rsidRPr="007E45BB">
        <w:t>Consultation de Fournisseurs</w:t>
      </w:r>
    </w:p>
    <w:p w:rsidR="00463E5C" w:rsidRPr="007E45BB" w:rsidRDefault="00463E5C" w:rsidP="007E45BB">
      <w:pPr>
        <w:ind w:right="72"/>
        <w:jc w:val="both"/>
      </w:pPr>
      <w:r w:rsidRPr="007E45BB">
        <w:t xml:space="preserve">ICB/MC (International Competitive Bidding limited to Member Countries), </w:t>
      </w:r>
    </w:p>
    <w:p w:rsidR="00463E5C" w:rsidRPr="007E45BB" w:rsidRDefault="00463E5C" w:rsidP="007E45BB">
      <w:pPr>
        <w:ind w:right="72"/>
        <w:jc w:val="both"/>
      </w:pPr>
      <w:r w:rsidRPr="007E45BB">
        <w:t xml:space="preserve">NCB (National Competitive Bidding), QCBS/MC (Quality and Cost Based Selection among a Short-list of member country firms), </w:t>
      </w:r>
    </w:p>
    <w:p w:rsidR="00463E5C" w:rsidRPr="007E45BB" w:rsidRDefault="00463E5C" w:rsidP="007E45BB">
      <w:pPr>
        <w:ind w:right="72"/>
        <w:jc w:val="both"/>
      </w:pPr>
      <w:r w:rsidRPr="007E45BB">
        <w:t>LCS/LC (Least Cost Selection among Short-list of Local firms)</w:t>
      </w:r>
    </w:p>
    <w:p w:rsidR="00FB7AA4" w:rsidRPr="007E45BB" w:rsidRDefault="00FB7AA4" w:rsidP="007E45BB">
      <w:pPr>
        <w:ind w:right="72"/>
        <w:jc w:val="both"/>
      </w:pPr>
    </w:p>
    <w:p w:rsidR="00463E5C" w:rsidRPr="007E45BB" w:rsidRDefault="00FB7AA4" w:rsidP="007E45BB">
      <w:pPr>
        <w:ind w:left="4320" w:right="72" w:firstLine="720"/>
        <w:jc w:val="both"/>
        <w:rPr>
          <w:lang w:val="fr-FR"/>
        </w:rPr>
      </w:pPr>
      <w:r w:rsidRPr="007E45BB">
        <w:rPr>
          <w:lang w:val="fr-FR"/>
        </w:rPr>
        <w:t>Lomé, le</w:t>
      </w:r>
      <w:r w:rsidR="0086465A">
        <w:rPr>
          <w:lang w:val="fr-FR"/>
        </w:rPr>
        <w:t xml:space="preserve"> </w:t>
      </w:r>
      <w:r w:rsidR="00444043">
        <w:rPr>
          <w:b/>
          <w:lang w:val="fr-FR"/>
        </w:rPr>
        <w:t xml:space="preserve">06 février </w:t>
      </w:r>
      <w:r w:rsidR="0086465A" w:rsidRPr="0086465A">
        <w:rPr>
          <w:b/>
          <w:lang w:val="fr-FR"/>
        </w:rPr>
        <w:t>202</w:t>
      </w:r>
      <w:r w:rsidR="007864A0">
        <w:rPr>
          <w:b/>
          <w:lang w:val="fr-FR"/>
        </w:rPr>
        <w:t>3</w:t>
      </w:r>
    </w:p>
    <w:p w:rsidR="00DE5F77" w:rsidRDefault="00DE5F77" w:rsidP="007E45BB">
      <w:pPr>
        <w:ind w:left="4320" w:right="72" w:firstLine="720"/>
        <w:jc w:val="both"/>
        <w:rPr>
          <w:lang w:val="fr-FR"/>
        </w:rPr>
      </w:pPr>
    </w:p>
    <w:p w:rsidR="00E37969" w:rsidRPr="007E45BB" w:rsidRDefault="00E37969" w:rsidP="007E45BB">
      <w:pPr>
        <w:ind w:left="4320" w:right="72" w:firstLine="720"/>
        <w:jc w:val="both"/>
        <w:rPr>
          <w:lang w:val="fr-FR"/>
        </w:rPr>
      </w:pPr>
    </w:p>
    <w:p w:rsidR="00992D95" w:rsidRPr="00E37969" w:rsidRDefault="00463E5C" w:rsidP="00E37969">
      <w:pPr>
        <w:ind w:right="74"/>
        <w:jc w:val="center"/>
        <w:rPr>
          <w:b/>
          <w:lang w:val="fr-FR"/>
        </w:rPr>
      </w:pPr>
      <w:r w:rsidRPr="00E37969">
        <w:rPr>
          <w:b/>
          <w:lang w:val="fr-FR"/>
        </w:rPr>
        <w:t>La Personne Responsable des Marchés Publics</w:t>
      </w:r>
    </w:p>
    <w:sectPr w:rsidR="00992D95" w:rsidRPr="00E37969">
      <w:footerReference w:type="default" r:id="rId11"/>
      <w:endnotePr>
        <w:numFmt w:val="decimal"/>
      </w:endnotePr>
      <w:type w:val="continuous"/>
      <w:pgSz w:w="12240" w:h="15840"/>
      <w:pgMar w:top="1440" w:right="1728"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06A" w:rsidRDefault="008F006A">
      <w:r>
        <w:separator/>
      </w:r>
    </w:p>
  </w:endnote>
  <w:endnote w:type="continuationSeparator" w:id="0">
    <w:p w:rsidR="008F006A" w:rsidRDefault="008F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417237"/>
      <w:docPartObj>
        <w:docPartGallery w:val="Page Numbers (Bottom of Page)"/>
        <w:docPartUnique/>
      </w:docPartObj>
    </w:sdtPr>
    <w:sdtEndPr>
      <w:rPr>
        <w:b/>
      </w:rPr>
    </w:sdtEndPr>
    <w:sdtContent>
      <w:p w:rsidR="003E4E75" w:rsidRPr="003E4E75" w:rsidRDefault="003E4E75">
        <w:pPr>
          <w:pStyle w:val="Pieddepage"/>
          <w:jc w:val="right"/>
          <w:rPr>
            <w:b/>
          </w:rPr>
        </w:pPr>
        <w:r w:rsidRPr="003E4E75">
          <w:rPr>
            <w:b/>
          </w:rPr>
          <w:fldChar w:fldCharType="begin"/>
        </w:r>
        <w:r w:rsidRPr="003E4E75">
          <w:rPr>
            <w:b/>
          </w:rPr>
          <w:instrText>PAGE   \* MERGEFORMAT</w:instrText>
        </w:r>
        <w:r w:rsidRPr="003E4E75">
          <w:rPr>
            <w:b/>
          </w:rPr>
          <w:fldChar w:fldCharType="separate"/>
        </w:r>
        <w:r w:rsidR="00444043" w:rsidRPr="00444043">
          <w:rPr>
            <w:b/>
            <w:noProof/>
            <w:lang w:val="fr-FR"/>
          </w:rPr>
          <w:t>2</w:t>
        </w:r>
        <w:r w:rsidRPr="003E4E75">
          <w:rPr>
            <w:b/>
          </w:rPr>
          <w:fldChar w:fldCharType="end"/>
        </w:r>
      </w:p>
    </w:sdtContent>
  </w:sdt>
  <w:p w:rsidR="003E4E75" w:rsidRDefault="003E4E7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06A" w:rsidRDefault="008F006A">
      <w:r>
        <w:separator/>
      </w:r>
    </w:p>
  </w:footnote>
  <w:footnote w:type="continuationSeparator" w:id="0">
    <w:p w:rsidR="008F006A" w:rsidRDefault="008F006A">
      <w:r>
        <w:continuationSeparator/>
      </w:r>
    </w:p>
  </w:footnote>
  <w:footnote w:id="1">
    <w:p w:rsidR="00E35120" w:rsidRPr="00F938D9" w:rsidRDefault="00E35120">
      <w:pPr>
        <w:pStyle w:val="Notedebasdepage"/>
        <w:rPr>
          <w:lang w:val="fr-F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C0E31"/>
    <w:multiLevelType w:val="hybridMultilevel"/>
    <w:tmpl w:val="C41AD30A"/>
    <w:lvl w:ilvl="0" w:tplc="61C437B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80A7F"/>
    <w:multiLevelType w:val="hybridMultilevel"/>
    <w:tmpl w:val="C41AD30A"/>
    <w:lvl w:ilvl="0" w:tplc="61C437B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5465E"/>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D142E"/>
    <w:multiLevelType w:val="hybridMultilevel"/>
    <w:tmpl w:val="7D14E0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D50BCD"/>
    <w:multiLevelType w:val="hybridMultilevel"/>
    <w:tmpl w:val="C41AD30A"/>
    <w:lvl w:ilvl="0" w:tplc="61C437B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3D"/>
    <w:rsid w:val="00063CFA"/>
    <w:rsid w:val="00067A66"/>
    <w:rsid w:val="000A1531"/>
    <w:rsid w:val="001313C2"/>
    <w:rsid w:val="00164DD2"/>
    <w:rsid w:val="00175571"/>
    <w:rsid w:val="00175EF4"/>
    <w:rsid w:val="001C075F"/>
    <w:rsid w:val="001E1F7E"/>
    <w:rsid w:val="001E5869"/>
    <w:rsid w:val="00203B62"/>
    <w:rsid w:val="00235DC8"/>
    <w:rsid w:val="00250167"/>
    <w:rsid w:val="002C3C0E"/>
    <w:rsid w:val="002E207A"/>
    <w:rsid w:val="002E774C"/>
    <w:rsid w:val="003A3B7B"/>
    <w:rsid w:val="003D44FA"/>
    <w:rsid w:val="003E2E56"/>
    <w:rsid w:val="003E4E75"/>
    <w:rsid w:val="003F6376"/>
    <w:rsid w:val="00402218"/>
    <w:rsid w:val="00406DAD"/>
    <w:rsid w:val="00426EBE"/>
    <w:rsid w:val="00444043"/>
    <w:rsid w:val="00463E5C"/>
    <w:rsid w:val="0047361C"/>
    <w:rsid w:val="004A253F"/>
    <w:rsid w:val="004D0719"/>
    <w:rsid w:val="004E0671"/>
    <w:rsid w:val="004F2778"/>
    <w:rsid w:val="00517E16"/>
    <w:rsid w:val="00531E04"/>
    <w:rsid w:val="00576777"/>
    <w:rsid w:val="00587638"/>
    <w:rsid w:val="005946BC"/>
    <w:rsid w:val="00603B95"/>
    <w:rsid w:val="00611F6F"/>
    <w:rsid w:val="00626884"/>
    <w:rsid w:val="00683899"/>
    <w:rsid w:val="00691DCE"/>
    <w:rsid w:val="006C12F4"/>
    <w:rsid w:val="006D29EB"/>
    <w:rsid w:val="006F1DD8"/>
    <w:rsid w:val="00712B53"/>
    <w:rsid w:val="00774114"/>
    <w:rsid w:val="007864A0"/>
    <w:rsid w:val="007C71AD"/>
    <w:rsid w:val="007E45BB"/>
    <w:rsid w:val="00861189"/>
    <w:rsid w:val="0086465A"/>
    <w:rsid w:val="008A11F3"/>
    <w:rsid w:val="008F006A"/>
    <w:rsid w:val="00912919"/>
    <w:rsid w:val="009325D2"/>
    <w:rsid w:val="009474B0"/>
    <w:rsid w:val="00954FA2"/>
    <w:rsid w:val="00992D95"/>
    <w:rsid w:val="009F6C07"/>
    <w:rsid w:val="00A30714"/>
    <w:rsid w:val="00A7269C"/>
    <w:rsid w:val="00AA4BB7"/>
    <w:rsid w:val="00AB6EF2"/>
    <w:rsid w:val="00AD541B"/>
    <w:rsid w:val="00AE2DFE"/>
    <w:rsid w:val="00AE3401"/>
    <w:rsid w:val="00B078F3"/>
    <w:rsid w:val="00B13781"/>
    <w:rsid w:val="00B41ABE"/>
    <w:rsid w:val="00B63B97"/>
    <w:rsid w:val="00B9683C"/>
    <w:rsid w:val="00BA11D0"/>
    <w:rsid w:val="00BC2AB4"/>
    <w:rsid w:val="00BF0D7B"/>
    <w:rsid w:val="00C30C3D"/>
    <w:rsid w:val="00C44BDB"/>
    <w:rsid w:val="00C47CDF"/>
    <w:rsid w:val="00C725C8"/>
    <w:rsid w:val="00C74424"/>
    <w:rsid w:val="00CD7152"/>
    <w:rsid w:val="00D4629B"/>
    <w:rsid w:val="00DD21DE"/>
    <w:rsid w:val="00DE5F77"/>
    <w:rsid w:val="00DE67A8"/>
    <w:rsid w:val="00DF392B"/>
    <w:rsid w:val="00E35120"/>
    <w:rsid w:val="00E37969"/>
    <w:rsid w:val="00EA1926"/>
    <w:rsid w:val="00EA44DF"/>
    <w:rsid w:val="00EA7F11"/>
    <w:rsid w:val="00F0738A"/>
    <w:rsid w:val="00F44F74"/>
    <w:rsid w:val="00F45D11"/>
    <w:rsid w:val="00F61B08"/>
    <w:rsid w:val="00F938D9"/>
    <w:rsid w:val="00FB7AA4"/>
    <w:rsid w:val="00FC1A9B"/>
    <w:rsid w:val="00FE0B1E"/>
    <w:rsid w:val="00FF467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itre7">
    <w:name w:val="heading 7"/>
    <w:basedOn w:val="Normal"/>
    <w:next w:val="Normal"/>
    <w:link w:val="Titre7Car"/>
    <w:qFormat/>
    <w:rsid w:val="00F0738A"/>
    <w:pPr>
      <w:keepNext/>
      <w:ind w:right="72"/>
      <w:outlineLvl w:val="6"/>
    </w:pPr>
    <w:rPr>
      <w:rFonts w:ascii="CG Times" w:hAnsi="CG Times"/>
      <w:b/>
      <w:bCs/>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left" w:pos="7200"/>
      </w:tabs>
    </w:pPr>
    <w:rPr>
      <w:i/>
      <w:sz w:val="22"/>
      <w:szCs w:val="20"/>
    </w:rPr>
  </w:style>
  <w:style w:type="character" w:styleId="Numrodepage">
    <w:name w:val="page number"/>
    <w:basedOn w:val="Policepardfaut"/>
  </w:style>
  <w:style w:type="paragraph" w:customStyle="1" w:styleId="BankNormal">
    <w:name w:val="BankNormal"/>
    <w:basedOn w:val="Normal"/>
    <w:pPr>
      <w:spacing w:before="240" w:after="60"/>
    </w:pPr>
    <w:rPr>
      <w:szCs w:val="20"/>
    </w:rPr>
  </w:style>
  <w:style w:type="paragraph" w:styleId="Notedefin">
    <w:name w:val="endnote text"/>
    <w:basedOn w:val="Normal"/>
    <w:semiHidden/>
    <w:rPr>
      <w:sz w:val="20"/>
      <w:szCs w:val="20"/>
    </w:rPr>
  </w:style>
  <w:style w:type="character" w:styleId="Appeldenotedefin">
    <w:name w:val="endnote reference"/>
    <w:basedOn w:val="Policepardfaut"/>
    <w:semiHidden/>
    <w:rPr>
      <w:vertAlign w:val="superscript"/>
    </w:rPr>
  </w:style>
  <w:style w:type="paragraph" w:styleId="Titre">
    <w:name w:val="Title"/>
    <w:basedOn w:val="Normal"/>
    <w:qFormat/>
    <w:pPr>
      <w:ind w:right="72"/>
      <w:jc w:val="center"/>
    </w:pPr>
    <w:rPr>
      <w:rFonts w:ascii="CG Times" w:hAnsi="CG Times"/>
      <w:b/>
      <w:u w:val="single"/>
      <w:lang w:val="fr-FR"/>
    </w:rPr>
  </w:style>
  <w:style w:type="paragraph" w:styleId="Corpsdetexte">
    <w:name w:val="Body Text"/>
    <w:basedOn w:val="Normal"/>
    <w:pPr>
      <w:ind w:right="72"/>
    </w:pPr>
    <w:rPr>
      <w:rFonts w:ascii="CG Times" w:hAnsi="CG Times"/>
      <w:lang w:val="fr-FR"/>
    </w:rPr>
  </w:style>
  <w:style w:type="paragraph" w:styleId="Pieddepage">
    <w:name w:val="footer"/>
    <w:basedOn w:val="Normal"/>
    <w:link w:val="PieddepageCar"/>
    <w:uiPriority w:val="99"/>
    <w:rsid w:val="00A30714"/>
    <w:pPr>
      <w:tabs>
        <w:tab w:val="center" w:pos="4320"/>
        <w:tab w:val="right" w:pos="8640"/>
      </w:tabs>
    </w:pPr>
  </w:style>
  <w:style w:type="paragraph" w:styleId="Textedebulles">
    <w:name w:val="Balloon Text"/>
    <w:basedOn w:val="Normal"/>
    <w:link w:val="TextedebullesCar"/>
    <w:rsid w:val="00250167"/>
    <w:rPr>
      <w:rFonts w:ascii="Tahoma" w:hAnsi="Tahoma" w:cs="Tahoma"/>
      <w:sz w:val="16"/>
      <w:szCs w:val="16"/>
    </w:rPr>
  </w:style>
  <w:style w:type="character" w:customStyle="1" w:styleId="TextedebullesCar">
    <w:name w:val="Texte de bulles Car"/>
    <w:basedOn w:val="Policepardfaut"/>
    <w:link w:val="Textedebulles"/>
    <w:rsid w:val="00250167"/>
    <w:rPr>
      <w:rFonts w:ascii="Tahoma" w:hAnsi="Tahoma" w:cs="Tahoma"/>
      <w:sz w:val="16"/>
      <w:szCs w:val="16"/>
      <w:lang w:val="en-US" w:eastAsia="en-US"/>
    </w:rPr>
  </w:style>
  <w:style w:type="paragraph" w:styleId="Paragraphedeliste">
    <w:name w:val="List Paragraph"/>
    <w:aliases w:val="Citation List,본문(내용),List Paragraph (numbered (a))"/>
    <w:basedOn w:val="Normal"/>
    <w:link w:val="ParagraphedelisteCar"/>
    <w:uiPriority w:val="34"/>
    <w:qFormat/>
    <w:rsid w:val="00531E04"/>
    <w:pPr>
      <w:spacing w:after="120" w:line="264" w:lineRule="auto"/>
      <w:ind w:left="720"/>
      <w:contextualSpacing/>
    </w:pPr>
    <w:rPr>
      <w:rFonts w:asciiTheme="minorHAnsi" w:eastAsiaTheme="minorEastAsia" w:hAnsiTheme="minorHAnsi" w:cstheme="minorBidi"/>
      <w:sz w:val="20"/>
      <w:szCs w:val="20"/>
      <w:lang w:val="en-GB"/>
    </w:rPr>
  </w:style>
  <w:style w:type="character" w:customStyle="1" w:styleId="ParagraphedelisteCar">
    <w:name w:val="Paragraphe de liste Car"/>
    <w:aliases w:val="Citation List Car,본문(내용) Car,List Paragraph (numbered (a)) Car"/>
    <w:basedOn w:val="Policepardfaut"/>
    <w:link w:val="Paragraphedeliste"/>
    <w:uiPriority w:val="34"/>
    <w:rsid w:val="00531E04"/>
    <w:rPr>
      <w:rFonts w:asciiTheme="minorHAnsi" w:eastAsiaTheme="minorEastAsia" w:hAnsiTheme="minorHAnsi" w:cstheme="minorBidi"/>
      <w:lang w:val="en-GB" w:eastAsia="en-US"/>
    </w:rPr>
  </w:style>
  <w:style w:type="character" w:styleId="Appelnotedebasdep">
    <w:name w:val="footnote reference"/>
    <w:rsid w:val="001C075F"/>
    <w:rPr>
      <w:vertAlign w:val="superscript"/>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1C075F"/>
    <w:pPr>
      <w:jc w:val="both"/>
    </w:pPr>
    <w:rPr>
      <w:sz w:val="20"/>
      <w:szCs w:val="20"/>
      <w:lang w:val="es-ES_tradnl" w:eastAsia="fr-FR"/>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1C075F"/>
    <w:rPr>
      <w:lang w:val="es-ES_tradnl"/>
    </w:rPr>
  </w:style>
  <w:style w:type="character" w:customStyle="1" w:styleId="Titre7Car">
    <w:name w:val="Titre 7 Car"/>
    <w:basedOn w:val="Policepardfaut"/>
    <w:link w:val="Titre7"/>
    <w:rsid w:val="00F0738A"/>
    <w:rPr>
      <w:rFonts w:ascii="CG Times" w:hAnsi="CG Times"/>
      <w:b/>
      <w:bCs/>
      <w:sz w:val="24"/>
      <w:szCs w:val="24"/>
    </w:rPr>
  </w:style>
  <w:style w:type="table" w:styleId="Grilledutableau">
    <w:name w:val="Table Grid"/>
    <w:basedOn w:val="TableauNormal"/>
    <w:rsid w:val="00F07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463E5C"/>
    <w:rPr>
      <w:color w:val="0000FF"/>
      <w:u w:val="single"/>
    </w:rPr>
  </w:style>
  <w:style w:type="paragraph" w:customStyle="1" w:styleId="Coordonnes">
    <w:name w:val="Coordonnées"/>
    <w:basedOn w:val="Normal"/>
    <w:uiPriority w:val="2"/>
    <w:qFormat/>
    <w:rsid w:val="00DE5F77"/>
    <w:pPr>
      <w:spacing w:before="40"/>
      <w:jc w:val="right"/>
    </w:pPr>
    <w:rPr>
      <w:rFonts w:asciiTheme="minorHAnsi" w:eastAsiaTheme="minorHAnsi" w:hAnsiTheme="minorHAnsi" w:cstheme="minorBidi"/>
      <w:color w:val="595959" w:themeColor="text1" w:themeTint="A6"/>
      <w:kern w:val="20"/>
      <w:sz w:val="18"/>
      <w:szCs w:val="20"/>
      <w:lang w:val="fr-FR" w:eastAsia="fr-FR"/>
    </w:rPr>
  </w:style>
  <w:style w:type="paragraph" w:styleId="NormalWeb">
    <w:name w:val="Normal (Web)"/>
    <w:basedOn w:val="Normal"/>
    <w:uiPriority w:val="99"/>
    <w:unhideWhenUsed/>
    <w:rsid w:val="00587638"/>
    <w:pPr>
      <w:spacing w:before="100" w:beforeAutospacing="1" w:after="100" w:afterAutospacing="1"/>
    </w:pPr>
    <w:rPr>
      <w:rFonts w:eastAsiaTheme="minorEastAsia"/>
      <w:lang w:val="fr-FR" w:eastAsia="fr-FR"/>
    </w:rPr>
  </w:style>
  <w:style w:type="character" w:customStyle="1" w:styleId="PieddepageCar">
    <w:name w:val="Pied de page Car"/>
    <w:basedOn w:val="Policepardfaut"/>
    <w:link w:val="Pieddepage"/>
    <w:uiPriority w:val="99"/>
    <w:rsid w:val="003E4E7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idiersolitoki@hotmail.fr" TargetMode="External"/><Relationship Id="rId4" Type="http://schemas.openxmlformats.org/officeDocument/2006/relationships/settings" Target="settings.xml"/><Relationship Id="rId9" Type="http://schemas.openxmlformats.org/officeDocument/2006/relationships/hyperlink" Target="mailto:prmpmehv@hay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AED76-5750-4690-954C-4CFDE1FD7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927</Words>
  <Characters>5102</Characters>
  <Application>Microsoft Office Word</Application>
  <DocSecurity>0</DocSecurity>
  <Lines>42</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Examplaire de modèle de</vt:lpstr>
      <vt:lpstr>Examplaire de modèle de</vt:lpstr>
    </vt:vector>
  </TitlesOfParts>
  <Company>World Bank Group</Company>
  <LinksUpToDate>false</LinksUpToDate>
  <CharactersWithSpaces>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Examplaire de modèle de</dc:title>
  <dc:creator>Jean-Jacques</dc:creator>
  <cp:lastModifiedBy>HP</cp:lastModifiedBy>
  <cp:revision>12</cp:revision>
  <cp:lastPrinted>2003-07-29T07:59:00Z</cp:lastPrinted>
  <dcterms:created xsi:type="dcterms:W3CDTF">2022-12-11T12:13:00Z</dcterms:created>
  <dcterms:modified xsi:type="dcterms:W3CDTF">2023-02-06T09:27:00Z</dcterms:modified>
</cp:coreProperties>
</file>