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7B" w:rsidRPr="007A19AE" w:rsidRDefault="00C2507B" w:rsidP="00C2507B">
      <w:pPr>
        <w:tabs>
          <w:tab w:val="left" w:pos="-720"/>
          <w:tab w:val="left" w:pos="708"/>
        </w:tabs>
        <w:jc w:val="center"/>
        <w:rPr>
          <w:rFonts w:asciiTheme="majorBidi" w:eastAsia="Calibri" w:hAnsiTheme="majorBidi" w:cstheme="majorBidi"/>
          <w:b/>
          <w:bCs/>
          <w:caps w:val="0"/>
          <w:smallCaps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bCs/>
          <w:caps w:val="0"/>
          <w:smallCaps/>
          <w:sz w:val="24"/>
          <w:szCs w:val="24"/>
          <w:lang w:eastAsia="en-US"/>
        </w:rPr>
        <w:t>GENERAL PROCUREMENT NOTICE</w:t>
      </w:r>
    </w:p>
    <w:p w:rsidR="00C2507B" w:rsidRPr="007A19AE" w:rsidRDefault="00C2507B" w:rsidP="00C2507B">
      <w:pPr>
        <w:suppressAutoHyphens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</w:p>
    <w:p w:rsidR="00C2507B" w:rsidRPr="007A19AE" w:rsidRDefault="00C2507B" w:rsidP="00C2507B">
      <w:pPr>
        <w:suppressAutoHyphens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Country: Kyrgyz Republic</w:t>
      </w:r>
    </w:p>
    <w:p w:rsidR="00C2507B" w:rsidRPr="007A19AE" w:rsidRDefault="00C2507B" w:rsidP="00C2507B">
      <w:pPr>
        <w:suppressAutoHyphens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Sector: Infrastructure/Transport </w:t>
      </w:r>
    </w:p>
    <w:p w:rsidR="00C2507B" w:rsidRPr="007A19AE" w:rsidRDefault="00C2507B" w:rsidP="00C55E21">
      <w:pPr>
        <w:suppressAutoHyphens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Project: Reconstruction of the </w:t>
      </w:r>
      <w:proofErr w:type="spellStart"/>
      <w:r w:rsidR="003B35B0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Suusamyr-Talas-Taraz</w:t>
      </w:r>
      <w:proofErr w:type="spellEnd"/>
      <w:r w:rsidR="003B35B0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Road, Phase IV (km 104</w:t>
      </w:r>
      <w:proofErr w:type="gramStart"/>
      <w:r w:rsidR="003B35B0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,6</w:t>
      </w:r>
      <w:proofErr w:type="gramEnd"/>
      <w:r w:rsidR="003B35B0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-197,6)</w:t>
      </w:r>
    </w:p>
    <w:p w:rsidR="00A86A5D" w:rsidRDefault="00C2507B" w:rsidP="003B35B0">
      <w:pPr>
        <w:suppressAutoHyphens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Mode of Financing: </w:t>
      </w:r>
      <w:proofErr w:type="spellStart"/>
      <w:r w:rsidR="00A86A5D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="00A86A5D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Loan and Grant, OPEC Fund and SFD loan, </w:t>
      </w:r>
      <w:r w:rsid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Government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of Kyrgyz Republic </w:t>
      </w:r>
      <w:r w:rsidR="00A86A5D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financing</w:t>
      </w:r>
    </w:p>
    <w:p w:rsidR="00C2507B" w:rsidRPr="007A19AE" w:rsidRDefault="00A86A5D" w:rsidP="003B35B0">
      <w:pPr>
        <w:suppressAutoHyphens/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Financing</w:t>
      </w:r>
      <w:r w:rsidR="003B35B0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 nos.: </w:t>
      </w:r>
      <w:r w:rsidR="003B35B0" w:rsidRPr="007A19AE">
        <w:rPr>
          <w:rFonts w:asciiTheme="majorBidi" w:hAnsiTheme="majorBidi" w:cstheme="majorBidi"/>
          <w:caps w:val="0"/>
          <w:color w:val="000000"/>
          <w:sz w:val="24"/>
          <w:szCs w:val="24"/>
          <w:lang w:bidi="en-US"/>
        </w:rPr>
        <w:t>KGZ-</w:t>
      </w:r>
      <w:r>
        <w:rPr>
          <w:rFonts w:asciiTheme="majorBidi" w:hAnsiTheme="majorBidi" w:cstheme="majorBidi"/>
          <w:caps w:val="0"/>
          <w:color w:val="000000"/>
          <w:sz w:val="24"/>
          <w:szCs w:val="24"/>
          <w:lang w:bidi="en-US"/>
        </w:rPr>
        <w:t>1027 (</w:t>
      </w:r>
      <w:proofErr w:type="spellStart"/>
      <w:r>
        <w:rPr>
          <w:rFonts w:asciiTheme="majorBidi" w:hAnsiTheme="majorBidi" w:cstheme="majorBidi"/>
          <w:caps w:val="0"/>
          <w:color w:val="000000"/>
          <w:sz w:val="24"/>
          <w:szCs w:val="24"/>
          <w:lang w:bidi="en-US"/>
        </w:rPr>
        <w:t>IsDB</w:t>
      </w:r>
      <w:proofErr w:type="spellEnd"/>
      <w:r>
        <w:rPr>
          <w:rFonts w:asciiTheme="majorBidi" w:hAnsiTheme="majorBidi" w:cstheme="majorBidi"/>
          <w:caps w:val="0"/>
          <w:color w:val="000000"/>
          <w:sz w:val="24"/>
          <w:szCs w:val="24"/>
          <w:lang w:bidi="en-US"/>
        </w:rPr>
        <w:t>)</w:t>
      </w:r>
    </w:p>
    <w:p w:rsidR="00C2507B" w:rsidRPr="007A19AE" w:rsidRDefault="00C2507B" w:rsidP="00C2507B">
      <w:pPr>
        <w:jc w:val="both"/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</w:pPr>
    </w:p>
    <w:p w:rsidR="00C2507B" w:rsidRPr="007A19AE" w:rsidRDefault="00C2507B" w:rsidP="007A19AE">
      <w:pPr>
        <w:suppressAutoHyphens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proofErr w:type="gram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The </w:t>
      </w:r>
      <w:r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Government of the Kyrgyz Republic </w:t>
      </w:r>
      <w:r w:rsidRPr="007A19AE">
        <w:rPr>
          <w:rFonts w:asciiTheme="majorBidi" w:eastAsia="Calibri" w:hAnsiTheme="majorBidi" w:cstheme="majorBidi"/>
          <w:iCs/>
          <w:caps w:val="0"/>
          <w:spacing w:val="-2"/>
          <w:sz w:val="24"/>
          <w:szCs w:val="24"/>
          <w:lang w:eastAsia="en-US"/>
        </w:rPr>
        <w:t xml:space="preserve">has </w:t>
      </w:r>
      <w:r w:rsidR="00A86A5D">
        <w:rPr>
          <w:rFonts w:asciiTheme="majorBidi" w:eastAsia="Calibri" w:hAnsiTheme="majorBidi" w:cstheme="majorBidi"/>
          <w:iCs/>
          <w:caps w:val="0"/>
          <w:spacing w:val="-2"/>
          <w:sz w:val="24"/>
          <w:szCs w:val="24"/>
          <w:lang w:eastAsia="en-US"/>
        </w:rPr>
        <w:t>applied for</w:t>
      </w:r>
      <w:r w:rsidRPr="007A19AE">
        <w:rPr>
          <w:rFonts w:asciiTheme="majorBidi" w:eastAsia="Calibri" w:hAnsiTheme="majorBidi" w:cstheme="majorBidi"/>
          <w:iCs/>
          <w:caps w:val="0"/>
          <w:spacing w:val="-2"/>
          <w:sz w:val="24"/>
          <w:szCs w:val="24"/>
          <w:lang w:eastAsia="en-US"/>
        </w:rPr>
        <w:t xml:space="preserve"> </w:t>
      </w:r>
      <w:r w:rsidR="00774A91" w:rsidRPr="007A19AE">
        <w:rPr>
          <w:rFonts w:asciiTheme="majorBidi" w:eastAsia="Calibri" w:hAnsiTheme="majorBidi" w:cstheme="majorBidi"/>
          <w:iCs/>
          <w:caps w:val="0"/>
          <w:spacing w:val="-2"/>
          <w:sz w:val="24"/>
          <w:szCs w:val="24"/>
          <w:lang w:eastAsia="en-US"/>
        </w:rPr>
        <w:t xml:space="preserve">a </w:t>
      </w:r>
      <w:r w:rsidRPr="007A19AE">
        <w:rPr>
          <w:rFonts w:asciiTheme="majorBidi" w:eastAsia="Calibri" w:hAnsiTheme="majorBidi" w:cstheme="majorBidi"/>
          <w:iCs/>
          <w:caps w:val="0"/>
          <w:spacing w:val="-2"/>
          <w:sz w:val="24"/>
          <w:szCs w:val="24"/>
          <w:lang w:eastAsia="en-US"/>
        </w:rPr>
        <w:t xml:space="preserve">financing 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from 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the Islamic Development Bank (</w:t>
      </w:r>
      <w:proofErr w:type="spell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), Saudi Fund for Development (SFD)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and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OPEC Fund for International Development (O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PEC Fund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) </w:t>
      </w:r>
      <w:r w:rsidR="00A86A5D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in the total amount of 105.2 million US Dollars 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and </w:t>
      </w:r>
      <w:r w:rsid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it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intend</w:t>
      </w:r>
      <w:r w:rsid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s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to apply </w:t>
      </w:r>
      <w:r w:rsidR="00774A91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 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part of the proceeds to payments for goods, works, related services and consulting services to be procured under this Project.</w:t>
      </w:r>
      <w:proofErr w:type="gramEnd"/>
    </w:p>
    <w:p w:rsidR="00C2507B" w:rsidRPr="007A19AE" w:rsidRDefault="00C2507B" w:rsidP="00C2507B">
      <w:pPr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</w:p>
    <w:p w:rsidR="00C2507B" w:rsidRPr="007A19AE" w:rsidRDefault="00C2507B" w:rsidP="00C2507B">
      <w:pPr>
        <w:suppressAutoHyphens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The Project will include the following components: </w:t>
      </w:r>
    </w:p>
    <w:p w:rsidR="00C2507B" w:rsidRPr="007A19AE" w:rsidRDefault="00C2507B" w:rsidP="00C2507B">
      <w:pPr>
        <w:suppressAutoHyphens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</w:p>
    <w:p w:rsidR="00C2507B" w:rsidRPr="007A19AE" w:rsidRDefault="00C2507B" w:rsidP="00A86A5D">
      <w:pPr>
        <w:numPr>
          <w:ilvl w:val="0"/>
          <w:numId w:val="1"/>
        </w:numPr>
        <w:suppressAutoHyphens/>
        <w:spacing w:after="120"/>
        <w:ind w:left="284" w:hanging="284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Consultancy services:</w:t>
      </w:r>
    </w:p>
    <w:p w:rsidR="005F5CBC" w:rsidRPr="005F5CBC" w:rsidRDefault="00336C8B" w:rsidP="00A86A5D">
      <w:pPr>
        <w:pStyle w:val="a3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Design Review and Construction S</w:t>
      </w:r>
      <w:r w:rsidR="00C2507B" w:rsidRPr="007A19AE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upervision</w:t>
      </w:r>
      <w:r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:</w:t>
      </w:r>
      <w:r w:rsidR="00C2507B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for review and finalization of detailed engineering design, preparation of prequalification and tender documents, conduct tendering process, construction supervision and undertake quarterly progress reports of the Project. </w:t>
      </w:r>
      <w:r w:rsidR="00C2507B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The consultant will </w:t>
      </w:r>
      <w:r w:rsid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prepare an </w:t>
      </w:r>
      <w:r w:rsidR="007A19AE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>Environmental and Social Management Plan (ESMP)</w:t>
      </w:r>
      <w:r w:rsid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 for its further </w:t>
      </w:r>
      <w:r w:rsidR="005F5CBC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implementation. It will also </w:t>
      </w:r>
      <w:r w:rsidR="00C2507B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carry out road safety audit along the road section to ensure </w:t>
      </w:r>
      <w:r w:rsidR="005F5CBC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that </w:t>
      </w:r>
      <w:r w:rsidR="00C2507B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proper road safety measures </w:t>
      </w:r>
      <w:proofErr w:type="gramStart"/>
      <w:r w:rsidR="00C2507B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>are incorporated</w:t>
      </w:r>
      <w:proofErr w:type="gramEnd"/>
      <w:r w:rsidR="00C2507B" w:rsidRPr="007A19AE"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  <w:t xml:space="preserve"> into the design. </w:t>
      </w:r>
      <w:bookmarkStart w:id="0" w:name="_GoBack"/>
      <w:bookmarkEnd w:id="0"/>
    </w:p>
    <w:p w:rsidR="00C2507B" w:rsidRPr="007A19AE" w:rsidRDefault="00C2507B" w:rsidP="00A86A5D">
      <w:pPr>
        <w:pStyle w:val="a3"/>
        <w:suppressAutoHyphens/>
        <w:spacing w:after="120"/>
        <w:ind w:left="284"/>
        <w:contextualSpacing w:val="0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The consultant </w:t>
      </w:r>
      <w:proofErr w:type="gram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 selected</w:t>
      </w:r>
      <w:proofErr w:type="gramEnd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from a short-list of </w:t>
      </w:r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consultancy firms from </w:t>
      </w:r>
      <w:proofErr w:type="spellStart"/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Member Countries. T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he short-listed firms </w:t>
      </w:r>
      <w:proofErr w:type="gram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 allowed</w:t>
      </w:r>
      <w:proofErr w:type="gramEnd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to submit offers on sole basis or through a consortium between any two of them. The selection </w:t>
      </w:r>
      <w:proofErr w:type="gram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 based on the QCBS method</w:t>
      </w:r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and financed by </w:t>
      </w:r>
      <w:proofErr w:type="spellStart"/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proofErr w:type="gramEnd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. </w:t>
      </w:r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 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Consult</w:t>
      </w:r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ant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proofErr w:type="gram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 selected</w:t>
      </w:r>
      <w:proofErr w:type="gramEnd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in accordance with the “Guidelines for the </w:t>
      </w:r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Procurement of the Consultant Services under </w:t>
      </w:r>
      <w:proofErr w:type="spellStart"/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="005F5CBC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Project Financing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” (</w:t>
      </w:r>
      <w:r w:rsidR="00126956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April 2019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edition).</w:t>
      </w:r>
    </w:p>
    <w:p w:rsidR="00C2507B" w:rsidRPr="007A19AE" w:rsidRDefault="00C2507B" w:rsidP="00A86A5D">
      <w:pPr>
        <w:pStyle w:val="a3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Project Financial Audit</w:t>
      </w:r>
      <w:r w:rsidR="00336C8B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:</w:t>
      </w:r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local auditing firm will be selected from a short list of local firms </w:t>
      </w:r>
      <w:r w:rsidR="00126956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by a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method of Least Cost Selection in accordance with the “Guidelines for the Procurement of Consultant Services under </w:t>
      </w:r>
      <w:proofErr w:type="spellStart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Project Financing” (April 2019 edition), to undertake semi-annual and annual financial audit reports of the project. </w:t>
      </w:r>
    </w:p>
    <w:p w:rsidR="00E948FE" w:rsidRDefault="00126956" w:rsidP="00A86A5D">
      <w:pPr>
        <w:numPr>
          <w:ilvl w:val="0"/>
          <w:numId w:val="1"/>
        </w:numPr>
        <w:suppressAutoHyphens/>
        <w:ind w:left="284" w:hanging="284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C55E21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Civil W</w:t>
      </w:r>
      <w:r w:rsidR="00C2507B" w:rsidRPr="00C55E21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orks</w:t>
      </w:r>
      <w:r w:rsidR="00336C8B">
        <w:rPr>
          <w:rFonts w:asciiTheme="majorBidi" w:eastAsia="Calibri" w:hAnsiTheme="majorBidi" w:cstheme="majorBidi"/>
          <w:b/>
          <w:caps w:val="0"/>
          <w:spacing w:val="-2"/>
          <w:sz w:val="24"/>
          <w:szCs w:val="24"/>
          <w:lang w:eastAsia="en-US"/>
        </w:rPr>
        <w:t>: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the prop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osed section of the road is 93 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km long</w:t>
      </w:r>
      <w:r w:rsidR="005C12DF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(48,4 km – in </w:t>
      </w:r>
      <w:r w:rsidR="005C12DF"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populated areas</w:t>
      </w:r>
      <w:r w:rsidR="005C12DF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and 44,5 km in non-populated areas)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and is 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located </w:t>
      </w:r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within 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Talas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region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and takes its beginning at km 104,6 at the west border of 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Talas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city, there the road goes westward up to the state border of Kazakhstan (check point 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Kichi-Kapka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). The road section covers Kara-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Buura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, 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Manas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and 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Bakai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-Ata districts of </w:t>
      </w:r>
      <w:proofErr w:type="spellStart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Talas</w:t>
      </w:r>
      <w:proofErr w:type="spellEnd"/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region.</w:t>
      </w:r>
      <w:r w:rsid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It</w:t>
      </w:r>
      <w:r w:rsidR="00C55E21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will be upgraded up to Category II </w:t>
      </w:r>
      <w:r w:rsid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international importance </w:t>
      </w:r>
      <w:r w:rsid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two and four lanes </w:t>
      </w:r>
      <w:r w:rsidR="00C2507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road </w:t>
      </w:r>
      <w:r w:rsid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with the following geometrical parameters: </w:t>
      </w:r>
    </w:p>
    <w:p w:rsidR="00E948FE" w:rsidRDefault="00E948FE" w:rsidP="00A86A5D">
      <w:pPr>
        <w:suppressAutoHyphens/>
        <w:ind w:left="284" w:hanging="284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</w:p>
    <w:p w:rsidR="00E948FE" w:rsidRDefault="00E948FE" w:rsidP="00A86A5D">
      <w:p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proofErr w:type="gramStart"/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in</w:t>
      </w:r>
      <w:proofErr w:type="gramEnd"/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populated areas</w:t>
      </w:r>
      <w:r w:rsidR="005C12DF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:</w:t>
      </w:r>
    </w:p>
    <w:p w:rsidR="00E948FE" w:rsidRPr="00E948FE" w:rsidRDefault="00E948FE" w:rsidP="00A86A5D">
      <w:pPr>
        <w:pStyle w:val="a3"/>
        <w:numPr>
          <w:ilvl w:val="0"/>
          <w:numId w:val="3"/>
        </w:num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subgrade width - 24,0 – 30</w:t>
      </w:r>
      <w:r w:rsidR="005C12DF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,0</w:t>
      </w: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m</w:t>
      </w:r>
    </w:p>
    <w:p w:rsidR="00E948FE" w:rsidRPr="00E948FE" w:rsidRDefault="00E948FE" w:rsidP="00A86A5D">
      <w:pPr>
        <w:pStyle w:val="a3"/>
        <w:numPr>
          <w:ilvl w:val="0"/>
          <w:numId w:val="3"/>
        </w:num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carriageway width – 14.0</w:t>
      </w:r>
      <w:r w:rsidR="005C12DF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m</w:t>
      </w:r>
    </w:p>
    <w:p w:rsidR="00E948FE" w:rsidRDefault="00E948FE" w:rsidP="00A86A5D">
      <w:pPr>
        <w:pStyle w:val="a3"/>
        <w:numPr>
          <w:ilvl w:val="0"/>
          <w:numId w:val="3"/>
        </w:num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shoulders </w:t>
      </w:r>
      <w:r w:rsidR="00C2507B"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</w:t>
      </w: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d</w:t>
      </w:r>
      <w:r w:rsidR="00C2507B"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th </w:t>
      </w: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– 1,</w:t>
      </w:r>
      <w:r w:rsidR="005C12DF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5-2.0 m</w:t>
      </w:r>
    </w:p>
    <w:p w:rsidR="00E948FE" w:rsidRDefault="00E948FE" w:rsidP="00A86A5D">
      <w:p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</w:p>
    <w:p w:rsidR="00E948FE" w:rsidRDefault="005C12DF" w:rsidP="00A86A5D">
      <w:p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proofErr w:type="gramStart"/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in</w:t>
      </w:r>
      <w:proofErr w:type="gramEnd"/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non-populated areas:</w:t>
      </w:r>
    </w:p>
    <w:p w:rsidR="005C12DF" w:rsidRPr="00E948FE" w:rsidRDefault="005C12DF" w:rsidP="00A86A5D">
      <w:pPr>
        <w:pStyle w:val="a3"/>
        <w:numPr>
          <w:ilvl w:val="0"/>
          <w:numId w:val="3"/>
        </w:num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subgrade width - </w:t>
      </w:r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15</w:t>
      </w: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m</w:t>
      </w:r>
    </w:p>
    <w:p w:rsidR="005C12DF" w:rsidRPr="00E948FE" w:rsidRDefault="005C12DF" w:rsidP="00A86A5D">
      <w:pPr>
        <w:pStyle w:val="a3"/>
        <w:numPr>
          <w:ilvl w:val="0"/>
          <w:numId w:val="3"/>
        </w:num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carriageway width – </w:t>
      </w:r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7,5 m</w:t>
      </w:r>
    </w:p>
    <w:p w:rsidR="005C12DF" w:rsidRDefault="005C12DF" w:rsidP="00A86A5D">
      <w:pPr>
        <w:pStyle w:val="a3"/>
        <w:numPr>
          <w:ilvl w:val="0"/>
          <w:numId w:val="3"/>
        </w:numPr>
        <w:suppressAutoHyphens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E948F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shoulders width – </w:t>
      </w:r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3,0 m</w:t>
      </w:r>
    </w:p>
    <w:p w:rsidR="00E948FE" w:rsidRDefault="005C12DF" w:rsidP="00A86A5D">
      <w:pPr>
        <w:pStyle w:val="a3"/>
        <w:numPr>
          <w:ilvl w:val="0"/>
          <w:numId w:val="3"/>
        </w:numPr>
        <w:suppressAutoHyphens/>
        <w:spacing w:after="120"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bridges – 7 units</w:t>
      </w:r>
    </w:p>
    <w:p w:rsidR="005C12DF" w:rsidRDefault="005C12DF" w:rsidP="00A86A5D">
      <w:pPr>
        <w:pStyle w:val="a3"/>
        <w:numPr>
          <w:ilvl w:val="0"/>
          <w:numId w:val="3"/>
        </w:numPr>
        <w:suppressAutoHyphens/>
        <w:spacing w:after="120"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underpass – 1</w:t>
      </w:r>
    </w:p>
    <w:p w:rsidR="005C12DF" w:rsidRPr="00A86A5D" w:rsidRDefault="005C12DF" w:rsidP="005C12DF">
      <w:pPr>
        <w:pStyle w:val="a3"/>
        <w:numPr>
          <w:ilvl w:val="0"/>
          <w:numId w:val="3"/>
        </w:numPr>
        <w:suppressAutoHyphens/>
        <w:spacing w:after="120"/>
        <w:ind w:left="709" w:hanging="425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proofErr w:type="gramStart"/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culverts</w:t>
      </w:r>
      <w:proofErr w:type="gramEnd"/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– 170 pieces, 93 out of them are on junctions and 29 on sidewalks.</w:t>
      </w:r>
    </w:p>
    <w:p w:rsidR="003562FA" w:rsidRDefault="003562FA" w:rsidP="003562FA">
      <w:pPr>
        <w:suppressAutoHyphens/>
        <w:spacing w:after="120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</w:p>
    <w:p w:rsidR="00E948FE" w:rsidRDefault="00E9359D" w:rsidP="003562FA">
      <w:pPr>
        <w:suppressAutoHyphens/>
        <w:spacing w:after="120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Sidewalks </w:t>
      </w:r>
      <w:proofErr w:type="gramStart"/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 constructed</w:t>
      </w:r>
      <w:proofErr w:type="gramEnd"/>
      <w:r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and illuminating lamps will be installed in populated areas to ensure road users safety.</w:t>
      </w:r>
    </w:p>
    <w:p w:rsidR="00C2507B" w:rsidRPr="00C55E21" w:rsidRDefault="00C2507B" w:rsidP="003562FA">
      <w:pPr>
        <w:suppressAutoHyphens/>
        <w:spacing w:after="120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proofErr w:type="gramStart"/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Procurement of civil works will be </w:t>
      </w:r>
      <w:r w:rsidR="00336C8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financed by the</w:t>
      </w:r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three above </w:t>
      </w:r>
      <w:r w:rsidR="00336C8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mentioned </w:t>
      </w:r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Financiers and</w:t>
      </w:r>
      <w:r w:rsidR="00336C8B"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based on </w:t>
      </w:r>
      <w:r w:rsidR="00E9359D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the 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Open International Competitive Bidding (Open ICB) with prequalification of bidders, i.e. in two steps: contractors’ prequalification and then bidding among prequalified contractors</w:t>
      </w:r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,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as specified in the “Guidelines for Procurement of Goods, Works and Related Services</w:t>
      </w:r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u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nder </w:t>
      </w:r>
      <w:proofErr w:type="spellStart"/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Project Financing” (April 2019 edition), and </w:t>
      </w:r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</w:t>
      </w:r>
      <w:r w:rsidRPr="00C55E21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open to all eligible bidders as defined in the Guidelines.</w:t>
      </w:r>
      <w:proofErr w:type="gramEnd"/>
      <w:r w:rsidR="00336C8B" w:rsidRP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</w:p>
    <w:p w:rsidR="00C2507B" w:rsidRPr="007A19AE" w:rsidRDefault="00C2507B" w:rsidP="00336C8B">
      <w:pPr>
        <w:suppressAutoHyphens/>
        <w:spacing w:after="120"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 Specific Procurement Notice for the civil works contract </w:t>
      </w:r>
      <w:proofErr w:type="gramStart"/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will be published</w:t>
      </w:r>
      <w:proofErr w:type="gramEnd"/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at </w:t>
      </w:r>
      <w:proofErr w:type="spellStart"/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IsDB</w:t>
      </w:r>
      <w:proofErr w:type="spellEnd"/>
      <w:r w:rsid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, SFD, OPEC Fund, 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UNDB Online and DG Market</w:t>
      </w:r>
      <w:r w:rsidR="00336C8B" w:rsidRPr="00336C8B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</w:t>
      </w:r>
      <w:r w:rsidR="00336C8B"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websites,</w:t>
      </w: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 xml:space="preserve"> and in local newspapers and website of the Beneficiary.</w:t>
      </w:r>
    </w:p>
    <w:p w:rsidR="00C2507B" w:rsidRPr="007A19AE" w:rsidRDefault="00C2507B" w:rsidP="00AD5C38">
      <w:pPr>
        <w:suppressAutoHyphens/>
        <w:jc w:val="both"/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caps w:val="0"/>
          <w:spacing w:val="-2"/>
          <w:sz w:val="24"/>
          <w:szCs w:val="24"/>
          <w:lang w:eastAsia="en-US"/>
        </w:rPr>
        <w:t>Interested eligible bidders who wish to be included on the mailing list to receive invitations for prequalification/bid under ICB procedures and interested consultants who wish to receive a copy of advertisement requesting expression of interest for consultancy contract, or those requiring additional information, should contact the address below: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Islamic Development Bank Investment Project Implementation Group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Ministry of Transport and Communications of the Kyrgyz Republic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proofErr w:type="gramStart"/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6</w:t>
      </w:r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vertAlign w:val="superscript"/>
          <w:lang w:eastAsia="en-US"/>
        </w:rPr>
        <w:t>th</w:t>
      </w:r>
      <w:proofErr w:type="gramEnd"/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 xml:space="preserve"> floor, room 611, 42 </w:t>
      </w:r>
      <w:proofErr w:type="spellStart"/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Isanov</w:t>
      </w:r>
      <w:proofErr w:type="spellEnd"/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 xml:space="preserve"> Str.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proofErr w:type="gramStart"/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720017</w:t>
      </w:r>
      <w:proofErr w:type="gramEnd"/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 xml:space="preserve"> Bishkek, Kyrgyz Republic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 xml:space="preserve">Telephone: 996-312 31-43-88, + </w:t>
      </w:r>
      <w:r w:rsidRPr="007A19AE">
        <w:rPr>
          <w:rFonts w:asciiTheme="majorBidi" w:eastAsia="Calibri" w:hAnsiTheme="majorBidi" w:cstheme="majorBidi"/>
          <w:b/>
          <w:iCs/>
          <w:caps w:val="0"/>
          <w:spacing w:val="-6"/>
          <w:sz w:val="24"/>
          <w:szCs w:val="24"/>
          <w:lang w:eastAsia="en-US"/>
        </w:rPr>
        <w:t>996 312, 31-47-22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Fax: +996-312 31-43-88</w:t>
      </w:r>
    </w:p>
    <w:p w:rsidR="00C2507B" w:rsidRPr="007A19AE" w:rsidRDefault="00C2507B" w:rsidP="00C2507B">
      <w:pPr>
        <w:tabs>
          <w:tab w:val="left" w:pos="720"/>
          <w:tab w:val="left" w:pos="1440"/>
          <w:tab w:val="right" w:leader="dot" w:pos="8640"/>
        </w:tabs>
        <w:ind w:left="360"/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b/>
          <w:caps w:val="0"/>
          <w:sz w:val="24"/>
          <w:szCs w:val="24"/>
          <w:lang w:eastAsia="en-US"/>
        </w:rPr>
        <w:t>E-mail: piumotckr@gmail.com</w:t>
      </w:r>
    </w:p>
    <w:p w:rsidR="00C2507B" w:rsidRPr="007A19AE" w:rsidRDefault="00C2507B" w:rsidP="00C2507B">
      <w:pPr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</w:pPr>
    </w:p>
    <w:p w:rsidR="00C2507B" w:rsidRPr="007A19AE" w:rsidRDefault="00C2507B" w:rsidP="00AD5C38">
      <w:pPr>
        <w:jc w:val="both"/>
        <w:rPr>
          <w:rFonts w:asciiTheme="majorBidi" w:eastAsia="Calibri" w:hAnsiTheme="majorBidi" w:cstheme="majorBidi"/>
          <w:caps w:val="0"/>
          <w:sz w:val="24"/>
          <w:szCs w:val="24"/>
          <w:lang w:eastAsia="en-US"/>
        </w:rPr>
      </w:pPr>
      <w:r w:rsidRPr="007A19AE">
        <w:rPr>
          <w:rFonts w:asciiTheme="majorBidi" w:eastAsia="Calibri" w:hAnsiTheme="majorBidi" w:cstheme="majorBidi"/>
          <w:i/>
          <w:iCs/>
          <w:caps w:val="0"/>
          <w:color w:val="FF0000"/>
          <w:sz w:val="24"/>
          <w:szCs w:val="24"/>
          <w:lang w:eastAsia="en-US"/>
        </w:rPr>
        <w:t xml:space="preserve">Note: Potential bidders desiring additional information on the procurement in question or the project in general should, unless indicated otherwise, contact the project agency and not the </w:t>
      </w:r>
      <w:r w:rsidR="00AD5C38">
        <w:rPr>
          <w:rFonts w:asciiTheme="majorBidi" w:eastAsia="Calibri" w:hAnsiTheme="majorBidi" w:cstheme="majorBidi"/>
          <w:i/>
          <w:iCs/>
          <w:caps w:val="0"/>
          <w:color w:val="FF0000"/>
          <w:sz w:val="24"/>
          <w:szCs w:val="24"/>
          <w:lang w:eastAsia="en-US"/>
        </w:rPr>
        <w:t>f</w:t>
      </w:r>
      <w:r w:rsidRPr="007A19AE">
        <w:rPr>
          <w:rFonts w:asciiTheme="majorBidi" w:eastAsia="Calibri" w:hAnsiTheme="majorBidi" w:cstheme="majorBidi"/>
          <w:i/>
          <w:iCs/>
          <w:caps w:val="0"/>
          <w:color w:val="FF0000"/>
          <w:sz w:val="24"/>
          <w:szCs w:val="24"/>
          <w:lang w:eastAsia="en-US"/>
        </w:rPr>
        <w:t>inancing organizations.</w:t>
      </w:r>
    </w:p>
    <w:p w:rsidR="00C2507B" w:rsidRPr="007A19AE" w:rsidRDefault="00C2507B" w:rsidP="00C2507B">
      <w:pPr>
        <w:rPr>
          <w:rFonts w:asciiTheme="majorBidi" w:hAnsiTheme="majorBidi" w:cstheme="majorBidi"/>
          <w:sz w:val="24"/>
          <w:szCs w:val="24"/>
        </w:rPr>
      </w:pPr>
    </w:p>
    <w:p w:rsidR="00C2507B" w:rsidRPr="007A19AE" w:rsidRDefault="00C2507B" w:rsidP="00C2507B">
      <w:pPr>
        <w:rPr>
          <w:rFonts w:asciiTheme="majorBidi" w:hAnsiTheme="majorBidi" w:cstheme="majorBidi"/>
          <w:sz w:val="24"/>
          <w:szCs w:val="24"/>
        </w:rPr>
      </w:pPr>
    </w:p>
    <w:p w:rsidR="004C42BE" w:rsidRPr="007A19AE" w:rsidRDefault="004C42BE">
      <w:pPr>
        <w:rPr>
          <w:rFonts w:asciiTheme="majorBidi" w:hAnsiTheme="majorBidi" w:cstheme="majorBidi"/>
          <w:sz w:val="24"/>
          <w:szCs w:val="24"/>
        </w:rPr>
      </w:pPr>
    </w:p>
    <w:sectPr w:rsidR="004C42BE" w:rsidRPr="007A19AE" w:rsidSect="00A86A5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47B37"/>
    <w:multiLevelType w:val="hybridMultilevel"/>
    <w:tmpl w:val="099E6ABA"/>
    <w:lvl w:ilvl="0" w:tplc="EFAC2F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35D3272"/>
    <w:multiLevelType w:val="hybridMultilevel"/>
    <w:tmpl w:val="53F419B8"/>
    <w:lvl w:ilvl="0" w:tplc="274E2978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789F4FB2"/>
    <w:multiLevelType w:val="hybridMultilevel"/>
    <w:tmpl w:val="76A8A0C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7B"/>
    <w:rsid w:val="00126956"/>
    <w:rsid w:val="003051DA"/>
    <w:rsid w:val="00336C8B"/>
    <w:rsid w:val="003562FA"/>
    <w:rsid w:val="003B35B0"/>
    <w:rsid w:val="004C42BE"/>
    <w:rsid w:val="005C12DF"/>
    <w:rsid w:val="005F5CBC"/>
    <w:rsid w:val="006001AA"/>
    <w:rsid w:val="00774A91"/>
    <w:rsid w:val="007A19AE"/>
    <w:rsid w:val="008D4BF4"/>
    <w:rsid w:val="00A86A5D"/>
    <w:rsid w:val="00AD5C38"/>
    <w:rsid w:val="00C2507B"/>
    <w:rsid w:val="00C55E21"/>
    <w:rsid w:val="00E9359D"/>
    <w:rsid w:val="00E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BF65-2725-4813-BB9A-54889B9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7B"/>
    <w:rPr>
      <w:rFonts w:ascii="Arial" w:eastAsia="Times New Roman" w:hAnsi="Arial" w:cs="Times New Roman"/>
      <w:caps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user04</cp:lastModifiedBy>
  <cp:revision>11</cp:revision>
  <dcterms:created xsi:type="dcterms:W3CDTF">2022-12-08T07:57:00Z</dcterms:created>
  <dcterms:modified xsi:type="dcterms:W3CDTF">2023-01-11T04:15:00Z</dcterms:modified>
</cp:coreProperties>
</file>