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E7694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4A81209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6EC8D04A" w14:textId="2BEBF69A" w:rsidR="005F40FB" w:rsidRPr="008B4B3A" w:rsidRDefault="005F40FB" w:rsidP="003818BD">
      <w:pPr>
        <w:suppressAutoHyphens/>
        <w:rPr>
          <w:rFonts w:ascii="Times New Roman" w:hAnsi="Times New Roman"/>
          <w:b/>
          <w:iCs/>
          <w:spacing w:val="-2"/>
          <w:sz w:val="24"/>
          <w:szCs w:val="24"/>
        </w:rPr>
      </w:pPr>
      <w:r w:rsidRPr="008B4B3A">
        <w:rPr>
          <w:rFonts w:ascii="Times New Roman" w:hAnsi="Times New Roman"/>
          <w:b/>
          <w:spacing w:val="-2"/>
        </w:rPr>
        <w:t>COUNTRY</w:t>
      </w:r>
      <w:r w:rsidR="00207F57" w:rsidRPr="008B4B3A">
        <w:rPr>
          <w:rFonts w:ascii="Times New Roman" w:hAnsi="Times New Roman"/>
          <w:b/>
          <w:spacing w:val="-2"/>
        </w:rPr>
        <w:t xml:space="preserve">: </w:t>
      </w:r>
      <w:r w:rsidR="00207F57" w:rsidRPr="008B4B3A">
        <w:rPr>
          <w:rFonts w:ascii="Times New Roman" w:hAnsi="Times New Roman"/>
          <w:b/>
          <w:iCs/>
          <w:spacing w:val="-2"/>
          <w:sz w:val="24"/>
          <w:szCs w:val="24"/>
        </w:rPr>
        <w:t>Republic of Uzbekistan</w:t>
      </w:r>
    </w:p>
    <w:p w14:paraId="28EB8BD0" w14:textId="4D652285" w:rsidR="005F40FB" w:rsidRPr="008B4B3A" w:rsidRDefault="005F40FB" w:rsidP="00207F57">
      <w:pPr>
        <w:suppressAutoHyphens/>
        <w:rPr>
          <w:rFonts w:ascii="Times New Roman" w:hAnsi="Times New Roman"/>
          <w:b/>
          <w:spacing w:val="-2"/>
        </w:rPr>
      </w:pPr>
      <w:r w:rsidRPr="008B4B3A">
        <w:rPr>
          <w:rFonts w:ascii="Times New Roman" w:hAnsi="Times New Roman"/>
          <w:b/>
          <w:spacing w:val="-2"/>
        </w:rPr>
        <w:t>NAME OF PROJECT</w:t>
      </w:r>
      <w:r w:rsidR="00207F57" w:rsidRPr="008B4B3A">
        <w:rPr>
          <w:rFonts w:ascii="Times New Roman" w:hAnsi="Times New Roman"/>
          <w:b/>
          <w:spacing w:val="-2"/>
        </w:rPr>
        <w:t>:</w:t>
      </w:r>
      <w:r w:rsidR="00207F57" w:rsidRPr="008B4B3A">
        <w:rPr>
          <w:b/>
        </w:rPr>
        <w:t xml:space="preserve"> </w:t>
      </w:r>
      <w:r w:rsidR="00207F57" w:rsidRPr="008B4B3A">
        <w:rPr>
          <w:rFonts w:ascii="Times New Roman" w:hAnsi="Times New Roman"/>
          <w:b/>
          <w:spacing w:val="-2"/>
        </w:rPr>
        <w:t>Reconstruction and Upgrading of M39 Road 1255-1315 km</w:t>
      </w:r>
    </w:p>
    <w:p w14:paraId="6F5F77D0" w14:textId="1E2D813A" w:rsidR="005F40FB" w:rsidRPr="008B4B3A" w:rsidRDefault="005F40FB" w:rsidP="003818BD">
      <w:pPr>
        <w:suppressAutoHyphens/>
        <w:rPr>
          <w:rFonts w:ascii="Times New Roman" w:hAnsi="Times New Roman"/>
          <w:b/>
          <w:iCs/>
          <w:spacing w:val="-2"/>
        </w:rPr>
      </w:pPr>
      <w:r w:rsidRPr="008B4B3A">
        <w:rPr>
          <w:rFonts w:ascii="Times New Roman" w:hAnsi="Times New Roman"/>
          <w:b/>
          <w:iCs/>
          <w:spacing w:val="-2"/>
        </w:rPr>
        <w:t>SECTOR</w:t>
      </w:r>
      <w:r w:rsidR="00207F57" w:rsidRPr="008B4B3A">
        <w:rPr>
          <w:rFonts w:ascii="Times New Roman" w:hAnsi="Times New Roman"/>
          <w:b/>
          <w:spacing w:val="-2"/>
        </w:rPr>
        <w:t>: Transport</w:t>
      </w:r>
    </w:p>
    <w:p w14:paraId="3C844AD1" w14:textId="77777777" w:rsidR="005F40FB" w:rsidRPr="008B4B3A" w:rsidRDefault="005F40FB" w:rsidP="003818BD">
      <w:pPr>
        <w:suppressAutoHyphens/>
        <w:rPr>
          <w:rFonts w:ascii="Times New Roman" w:hAnsi="Times New Roman"/>
          <w:b/>
          <w:spacing w:val="-2"/>
          <w:sz w:val="24"/>
        </w:rPr>
      </w:pPr>
      <w:r w:rsidRPr="008B4B3A">
        <w:rPr>
          <w:rFonts w:ascii="Times New Roman" w:hAnsi="Times New Roman"/>
          <w:b/>
          <w:spacing w:val="-2"/>
          <w:sz w:val="24"/>
        </w:rPr>
        <w:t>GENERAL PROCUREMENT NOTICE</w:t>
      </w:r>
    </w:p>
    <w:p w14:paraId="3A370F44" w14:textId="63169461" w:rsidR="005F40FB" w:rsidRPr="008B4B3A" w:rsidRDefault="005F40FB" w:rsidP="003818BD">
      <w:pPr>
        <w:pStyle w:val="ac"/>
        <w:rPr>
          <w:rFonts w:ascii="Times New Roman" w:hAnsi="Times New Roman"/>
          <w:b/>
          <w:szCs w:val="24"/>
        </w:rPr>
      </w:pPr>
      <w:r w:rsidRPr="008B4B3A">
        <w:rPr>
          <w:rFonts w:ascii="Times New Roman" w:hAnsi="Times New Roman"/>
          <w:b/>
          <w:szCs w:val="24"/>
        </w:rPr>
        <w:t xml:space="preserve">Mode of Financing: </w:t>
      </w:r>
      <w:r w:rsidR="00207F57" w:rsidRPr="008B4B3A">
        <w:rPr>
          <w:rFonts w:ascii="Times New Roman" w:hAnsi="Times New Roman"/>
          <w:b/>
          <w:iCs/>
          <w:szCs w:val="24"/>
        </w:rPr>
        <w:t>Instalment Sale</w:t>
      </w:r>
    </w:p>
    <w:p w14:paraId="6D516749" w14:textId="4534520B" w:rsidR="005F40FB" w:rsidRPr="008B4B3A" w:rsidRDefault="005F40FB" w:rsidP="003818BD">
      <w:pPr>
        <w:pStyle w:val="ac"/>
        <w:rPr>
          <w:rFonts w:ascii="Times New Roman" w:hAnsi="Times New Roman"/>
          <w:b/>
          <w:szCs w:val="24"/>
        </w:rPr>
      </w:pPr>
      <w:r w:rsidRPr="008B4B3A">
        <w:rPr>
          <w:rFonts w:ascii="Times New Roman" w:hAnsi="Times New Roman"/>
          <w:b/>
          <w:szCs w:val="24"/>
        </w:rPr>
        <w:t xml:space="preserve">Financing No. </w:t>
      </w:r>
      <w:r w:rsidR="00207F57" w:rsidRPr="008B4B3A">
        <w:rPr>
          <w:rFonts w:ascii="Times New Roman" w:hAnsi="Times New Roman"/>
          <w:b/>
          <w:iCs/>
          <w:szCs w:val="24"/>
        </w:rPr>
        <w:t>UZB-0086</w:t>
      </w:r>
    </w:p>
    <w:p w14:paraId="66F45593" w14:textId="77777777" w:rsidR="005130C3" w:rsidRPr="00B96F14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683E48F" w14:textId="27847593" w:rsidR="005130C3" w:rsidRPr="00B96F14" w:rsidRDefault="005130C3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The </w:t>
      </w:r>
      <w:r w:rsidR="00207F57">
        <w:rPr>
          <w:rFonts w:ascii="Times New Roman" w:hAnsi="Times New Roman"/>
          <w:spacing w:val="-2"/>
          <w:sz w:val="24"/>
        </w:rPr>
        <w:t>Republic of Uzbekistan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r w:rsidRPr="00B96F14">
        <w:rPr>
          <w:rFonts w:ascii="Times New Roman" w:hAnsi="Times New Roman"/>
          <w:i/>
          <w:spacing w:val="-2"/>
          <w:sz w:val="24"/>
        </w:rPr>
        <w:t>has applied for</w:t>
      </w:r>
      <w:r w:rsidR="00207F57">
        <w:rPr>
          <w:rFonts w:ascii="Times New Roman" w:hAnsi="Times New Roman"/>
          <w:i/>
          <w:spacing w:val="-2"/>
          <w:sz w:val="24"/>
        </w:rPr>
        <w:t xml:space="preserve"> </w:t>
      </w:r>
      <w:r w:rsidRPr="00B96F14">
        <w:rPr>
          <w:rFonts w:ascii="Times New Roman" w:hAnsi="Times New Roman"/>
          <w:iCs/>
          <w:spacing w:val="-2"/>
          <w:sz w:val="24"/>
        </w:rPr>
        <w:t xml:space="preserve">financing </w:t>
      </w:r>
      <w:r w:rsidRPr="00B96F14">
        <w:rPr>
          <w:rFonts w:ascii="Times New Roman" w:hAnsi="Times New Roman"/>
          <w:spacing w:val="-2"/>
          <w:sz w:val="24"/>
        </w:rPr>
        <w:t xml:space="preserve">in the amount of </w:t>
      </w:r>
      <w:r w:rsidR="008B4B3A">
        <w:rPr>
          <w:rFonts w:ascii="Times New Roman" w:hAnsi="Times New Roman"/>
          <w:iCs/>
          <w:spacing w:val="-2"/>
          <w:sz w:val="24"/>
        </w:rPr>
        <w:t xml:space="preserve">USD 106.7 mln </w:t>
      </w:r>
      <w:r w:rsidRPr="00B96F14">
        <w:rPr>
          <w:rFonts w:ascii="Times New Roman" w:hAnsi="Times New Roman"/>
          <w:spacing w:val="-2"/>
          <w:sz w:val="24"/>
        </w:rPr>
        <w:t xml:space="preserve">equivalent from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toward the cost of the </w:t>
      </w:r>
      <w:r w:rsidR="00207F57" w:rsidRPr="00207F57">
        <w:rPr>
          <w:rFonts w:ascii="Times New Roman" w:hAnsi="Times New Roman"/>
          <w:spacing w:val="-2"/>
          <w:sz w:val="24"/>
        </w:rPr>
        <w:t>Reconstruction and Upgrading of M39 Road Project, 1255 - 1315 km</w:t>
      </w:r>
      <w:r w:rsidRPr="00B96F14">
        <w:rPr>
          <w:rFonts w:ascii="Times New Roman" w:hAnsi="Times New Roman"/>
          <w:spacing w:val="-2"/>
          <w:sz w:val="24"/>
        </w:rPr>
        <w:t xml:space="preserve">, and it intends to apply part of the proceeds to payments for goods, works, related services and consulting services to be procured under this project. </w:t>
      </w:r>
      <w:r w:rsidRPr="00B96F14">
        <w:rPr>
          <w:rFonts w:ascii="Times New Roman" w:hAnsi="Times New Roman"/>
          <w:i/>
          <w:iCs/>
          <w:sz w:val="24"/>
        </w:rPr>
        <w:t xml:space="preserve">This project will be jointly financed by the </w:t>
      </w:r>
      <w:r w:rsidR="00207F57">
        <w:rPr>
          <w:rFonts w:ascii="Times New Roman" w:hAnsi="Times New Roman"/>
          <w:i/>
          <w:iCs/>
          <w:sz w:val="24"/>
        </w:rPr>
        <w:t>Islamic Development Bank and OPEC Fund for International Development</w:t>
      </w:r>
      <w:r w:rsidRPr="00B96F14">
        <w:rPr>
          <w:rFonts w:ascii="Times New Roman" w:hAnsi="Times New Roman"/>
          <w:i/>
          <w:iCs/>
          <w:sz w:val="24"/>
        </w:rPr>
        <w:t>.</w:t>
      </w:r>
    </w:p>
    <w:p w14:paraId="4CE41AF7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3B0EB66" w14:textId="77777777" w:rsidR="009F392F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The project will include the following components</w:t>
      </w:r>
      <w:r w:rsidR="009F392F">
        <w:rPr>
          <w:rFonts w:ascii="Times New Roman" w:hAnsi="Times New Roman"/>
          <w:spacing w:val="-2"/>
          <w:sz w:val="24"/>
        </w:rPr>
        <w:t>:</w:t>
      </w:r>
    </w:p>
    <w:p w14:paraId="4AD7F47B" w14:textId="77777777" w:rsidR="009F392F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BF43EEA" w14:textId="40861428" w:rsidR="009F392F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Component 1. Civil Works for the Construction of Roads</w:t>
      </w:r>
      <w:r w:rsidR="00127A3F">
        <w:rPr>
          <w:rFonts w:ascii="Times New Roman" w:hAnsi="Times New Roman"/>
          <w:spacing w:val="-2"/>
          <w:sz w:val="24"/>
        </w:rPr>
        <w:t xml:space="preserve"> </w:t>
      </w:r>
      <w:r w:rsidR="00127A3F" w:rsidRPr="007A1A63">
        <w:rPr>
          <w:rFonts w:ascii="Times New Roman" w:hAnsi="Times New Roman"/>
          <w:i/>
          <w:sz w:val="24"/>
          <w:szCs w:val="24"/>
        </w:rPr>
        <w:t xml:space="preserve">to be procured through </w:t>
      </w:r>
      <w:r w:rsidR="00127A3F">
        <w:rPr>
          <w:rFonts w:ascii="Times New Roman" w:hAnsi="Times New Roman"/>
          <w:i/>
          <w:sz w:val="24"/>
          <w:szCs w:val="24"/>
        </w:rPr>
        <w:t>ICB following pre-qualification</w:t>
      </w:r>
      <w:r>
        <w:rPr>
          <w:rFonts w:ascii="Times New Roman" w:hAnsi="Times New Roman"/>
          <w:spacing w:val="-2"/>
          <w:sz w:val="24"/>
        </w:rPr>
        <w:t>.</w:t>
      </w:r>
    </w:p>
    <w:p w14:paraId="7FB96B52" w14:textId="767A4DBD" w:rsidR="009F392F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Component 2. </w:t>
      </w:r>
      <w:r w:rsidRPr="009F392F">
        <w:rPr>
          <w:rFonts w:ascii="Times New Roman" w:hAnsi="Times New Roman"/>
          <w:spacing w:val="-2"/>
          <w:sz w:val="24"/>
        </w:rPr>
        <w:t>Detailed Design Review and Supervision</w:t>
      </w:r>
      <w:r w:rsidR="00127A3F" w:rsidRPr="00127A3F">
        <w:rPr>
          <w:rFonts w:ascii="Times New Roman" w:hAnsi="Times New Roman"/>
          <w:i/>
          <w:sz w:val="24"/>
          <w:szCs w:val="24"/>
        </w:rPr>
        <w:t xml:space="preserve"> </w:t>
      </w:r>
      <w:r w:rsidR="00127A3F" w:rsidRPr="007A1A63">
        <w:rPr>
          <w:rFonts w:ascii="Times New Roman" w:hAnsi="Times New Roman"/>
          <w:i/>
          <w:sz w:val="24"/>
          <w:szCs w:val="24"/>
        </w:rPr>
        <w:t xml:space="preserve">to be selected through the Quality and Cost-Based Selection (QCBS) method among the </w:t>
      </w:r>
      <w:r w:rsidR="00127A3F">
        <w:rPr>
          <w:rFonts w:ascii="Times New Roman" w:hAnsi="Times New Roman"/>
          <w:i/>
          <w:sz w:val="24"/>
          <w:szCs w:val="24"/>
        </w:rPr>
        <w:t>IsDB member countries</w:t>
      </w:r>
      <w:r w:rsidR="00127A3F" w:rsidRPr="007A1A63">
        <w:rPr>
          <w:rFonts w:ascii="Times New Roman" w:hAnsi="Times New Roman"/>
          <w:i/>
          <w:sz w:val="24"/>
          <w:szCs w:val="24"/>
        </w:rPr>
        <w:t xml:space="preserve"> short-listed consultancy firms</w:t>
      </w:r>
    </w:p>
    <w:p w14:paraId="777B982B" w14:textId="63C7164D" w:rsidR="009F392F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Component 3. </w:t>
      </w:r>
      <w:r w:rsidRPr="009F392F">
        <w:rPr>
          <w:rFonts w:ascii="Times New Roman" w:hAnsi="Times New Roman"/>
          <w:spacing w:val="-2"/>
          <w:sz w:val="24"/>
        </w:rPr>
        <w:t>Project Management Support</w:t>
      </w:r>
      <w:r w:rsidR="00AE50E5">
        <w:rPr>
          <w:rFonts w:ascii="Times New Roman" w:hAnsi="Times New Roman"/>
          <w:spacing w:val="-2"/>
          <w:sz w:val="24"/>
        </w:rPr>
        <w:t xml:space="preserve">. The Project expenses to be procured through the Shopping and the key staff to be selected through the Individual Consultant selection method.  </w:t>
      </w:r>
    </w:p>
    <w:p w14:paraId="593E79E4" w14:textId="30CDD73D" w:rsidR="009F392F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Component 4. </w:t>
      </w:r>
      <w:r w:rsidRPr="009F392F">
        <w:rPr>
          <w:rFonts w:ascii="Times New Roman" w:hAnsi="Times New Roman"/>
          <w:spacing w:val="-2"/>
          <w:sz w:val="24"/>
        </w:rPr>
        <w:t>Capacity Development</w:t>
      </w:r>
      <w:r w:rsidR="00127A3F" w:rsidRPr="00127A3F">
        <w:rPr>
          <w:rFonts w:ascii="Times New Roman" w:hAnsi="Times New Roman"/>
          <w:i/>
          <w:sz w:val="24"/>
          <w:szCs w:val="24"/>
        </w:rPr>
        <w:t xml:space="preserve"> </w:t>
      </w:r>
      <w:r w:rsidR="00127A3F" w:rsidRPr="007A1A63">
        <w:rPr>
          <w:rFonts w:ascii="Times New Roman" w:hAnsi="Times New Roman"/>
          <w:i/>
          <w:sz w:val="24"/>
          <w:szCs w:val="24"/>
        </w:rPr>
        <w:t xml:space="preserve">to be selected through the Quality and Cost-Based Selection (QCBS) method among the </w:t>
      </w:r>
      <w:r w:rsidR="00127A3F">
        <w:rPr>
          <w:rFonts w:ascii="Times New Roman" w:hAnsi="Times New Roman"/>
          <w:i/>
          <w:sz w:val="24"/>
          <w:szCs w:val="24"/>
        </w:rPr>
        <w:t>IsDB member countries</w:t>
      </w:r>
      <w:r w:rsidR="00127A3F" w:rsidRPr="007A1A63">
        <w:rPr>
          <w:rFonts w:ascii="Times New Roman" w:hAnsi="Times New Roman"/>
          <w:i/>
          <w:sz w:val="24"/>
          <w:szCs w:val="24"/>
        </w:rPr>
        <w:t xml:space="preserve"> short-listed consultancy firms</w:t>
      </w:r>
      <w:r w:rsidR="00127A3F">
        <w:rPr>
          <w:rFonts w:ascii="Times New Roman" w:hAnsi="Times New Roman"/>
          <w:i/>
          <w:sz w:val="24"/>
          <w:szCs w:val="24"/>
        </w:rPr>
        <w:t xml:space="preserve">, as well as </w:t>
      </w:r>
      <w:r w:rsidR="00AE50E5">
        <w:rPr>
          <w:rFonts w:ascii="Times New Roman" w:hAnsi="Times New Roman"/>
          <w:i/>
          <w:sz w:val="24"/>
          <w:szCs w:val="24"/>
        </w:rPr>
        <w:t xml:space="preserve">International Individual Consultant selection method. </w:t>
      </w:r>
    </w:p>
    <w:p w14:paraId="42BFB28B" w14:textId="67AF6B53" w:rsidR="009F392F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9F392F">
        <w:rPr>
          <w:rFonts w:ascii="Times New Roman" w:hAnsi="Times New Roman"/>
          <w:spacing w:val="-2"/>
          <w:sz w:val="24"/>
        </w:rPr>
        <w:t>Component 5. Weigh in Motion System</w:t>
      </w:r>
      <w:r w:rsidR="00AE50E5" w:rsidRPr="00AE50E5">
        <w:rPr>
          <w:rFonts w:ascii="Times New Roman" w:hAnsi="Times New Roman"/>
          <w:i/>
          <w:sz w:val="24"/>
          <w:szCs w:val="24"/>
        </w:rPr>
        <w:t xml:space="preserve"> </w:t>
      </w:r>
      <w:r w:rsidR="00AE50E5" w:rsidRPr="007A1A63">
        <w:rPr>
          <w:rFonts w:ascii="Times New Roman" w:hAnsi="Times New Roman"/>
          <w:i/>
          <w:sz w:val="24"/>
          <w:szCs w:val="24"/>
        </w:rPr>
        <w:t xml:space="preserve">to be procured through </w:t>
      </w:r>
      <w:r w:rsidR="00AE50E5">
        <w:rPr>
          <w:rFonts w:ascii="Times New Roman" w:hAnsi="Times New Roman"/>
          <w:i/>
          <w:sz w:val="24"/>
          <w:szCs w:val="24"/>
        </w:rPr>
        <w:t>ICB.</w:t>
      </w:r>
    </w:p>
    <w:p w14:paraId="65844B3B" w14:textId="4FB549CF" w:rsidR="009F392F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9F392F">
        <w:rPr>
          <w:rFonts w:ascii="Times New Roman" w:hAnsi="Times New Roman"/>
          <w:spacing w:val="-2"/>
          <w:sz w:val="24"/>
        </w:rPr>
        <w:t>Component 6. Project Financial Audit</w:t>
      </w:r>
      <w:r w:rsidR="00127A3F" w:rsidRPr="00127A3F">
        <w:rPr>
          <w:rFonts w:ascii="Times New Roman" w:hAnsi="Times New Roman"/>
          <w:i/>
          <w:sz w:val="24"/>
          <w:szCs w:val="24"/>
        </w:rPr>
        <w:t xml:space="preserve"> </w:t>
      </w:r>
      <w:r w:rsidR="00127A3F" w:rsidRPr="007A1A63">
        <w:rPr>
          <w:rFonts w:ascii="Times New Roman" w:hAnsi="Times New Roman"/>
          <w:i/>
          <w:sz w:val="24"/>
          <w:szCs w:val="24"/>
        </w:rPr>
        <w:t>will be selected through the Least-Cost Selection (LCS) method among the local short-listed consultancy firms</w:t>
      </w:r>
      <w:r w:rsidR="00AE50E5">
        <w:rPr>
          <w:rFonts w:ascii="Times New Roman" w:hAnsi="Times New Roman"/>
          <w:i/>
          <w:sz w:val="24"/>
          <w:szCs w:val="24"/>
        </w:rPr>
        <w:t>.</w:t>
      </w:r>
    </w:p>
    <w:p w14:paraId="0E21F3AE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8E2451" w14:textId="3519A385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 w:rsidRPr="00B96F14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,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Works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</w:rPr>
        <w:t xml:space="preserve"> (</w:t>
      </w:r>
      <w:r w:rsidR="007A5E00" w:rsidRPr="007A5E00">
        <w:rPr>
          <w:rFonts w:ascii="Times New Roman" w:hAnsi="Times New Roman"/>
          <w:spacing w:val="-2"/>
          <w:sz w:val="24"/>
        </w:rPr>
        <w:t>April 2019</w:t>
      </w:r>
      <w:r w:rsidRPr="00B96F14">
        <w:rPr>
          <w:rFonts w:ascii="Times New Roman" w:hAnsi="Times New Roman"/>
          <w:spacing w:val="-2"/>
          <w:sz w:val="24"/>
        </w:rPr>
        <w:t>), and is open to all eligible bidders as defined in the guidelines.</w:t>
      </w:r>
      <w:r w:rsidRPr="00B96F14">
        <w:rPr>
          <w:rFonts w:ascii="Times New Roman" w:hAnsi="Times New Roman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Procurement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>(</w:t>
      </w:r>
      <w:r w:rsidR="007A5E00" w:rsidRPr="007A5E00">
        <w:rPr>
          <w:rFonts w:ascii="Times New Roman" w:hAnsi="Times New Roman"/>
          <w:spacing w:val="-2"/>
          <w:sz w:val="24"/>
        </w:rPr>
        <w:t>April 2019</w:t>
      </w:r>
      <w:r w:rsidRPr="00B96F14">
        <w:rPr>
          <w:rFonts w:ascii="Times New Roman" w:hAnsi="Times New Roman"/>
          <w:spacing w:val="-2"/>
          <w:sz w:val="24"/>
        </w:rPr>
        <w:t>).</w:t>
      </w:r>
    </w:p>
    <w:p w14:paraId="33A2E89A" w14:textId="0BC23A22" w:rsidR="008244D0" w:rsidRDefault="008244D0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1D9270B" w14:textId="495165FD" w:rsidR="005130C3" w:rsidRPr="00B96F14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Bank’s international competitive bidding (ICB) procedures and for contracts for consultancy services will be announced, as they become available, in </w:t>
      </w:r>
      <w:hyperlink r:id="rId11" w:history="1">
        <w:r w:rsidR="00DF62EB" w:rsidRPr="003F2048">
          <w:rPr>
            <w:rStyle w:val="ae"/>
            <w:rFonts w:ascii="Times New Roman" w:hAnsi="Times New Roman"/>
            <w:color w:val="auto"/>
            <w:spacing w:val="-2"/>
            <w:sz w:val="24"/>
            <w:u w:val="none"/>
          </w:rPr>
          <w:t>I</w:t>
        </w:r>
        <w:r w:rsidR="00073C60" w:rsidRPr="003F2048">
          <w:rPr>
            <w:rStyle w:val="ae"/>
            <w:rFonts w:ascii="Times New Roman" w:hAnsi="Times New Roman"/>
            <w:color w:val="auto"/>
            <w:spacing w:val="-2"/>
            <w:sz w:val="24"/>
            <w:u w:val="none"/>
          </w:rPr>
          <w:t>s</w:t>
        </w:r>
        <w:r w:rsidR="00DF62EB" w:rsidRPr="003F2048">
          <w:rPr>
            <w:rStyle w:val="ae"/>
            <w:rFonts w:ascii="Times New Roman" w:hAnsi="Times New Roman"/>
            <w:color w:val="auto"/>
            <w:spacing w:val="-2"/>
            <w:sz w:val="24"/>
            <w:u w:val="none"/>
          </w:rPr>
          <w:t>DB Website</w:t>
        </w:r>
      </w:hyperlink>
      <w:r w:rsidR="007A5E00" w:rsidRPr="003F2048">
        <w:rPr>
          <w:rStyle w:val="ae"/>
          <w:rFonts w:ascii="Times New Roman" w:hAnsi="Times New Roman"/>
          <w:color w:val="auto"/>
          <w:spacing w:val="-2"/>
          <w:sz w:val="24"/>
          <w:u w:val="none"/>
        </w:rPr>
        <w:t xml:space="preserve">, </w:t>
      </w:r>
      <w:r w:rsidR="003F2048" w:rsidRPr="003F2048">
        <w:rPr>
          <w:rStyle w:val="ae"/>
          <w:rFonts w:ascii="Times New Roman" w:hAnsi="Times New Roman"/>
          <w:color w:val="auto"/>
          <w:spacing w:val="-2"/>
          <w:sz w:val="24"/>
          <w:u w:val="none"/>
        </w:rPr>
        <w:t>DgMarket, web-site of the Executing Agency, and local newspapers.</w:t>
      </w:r>
      <w:r w:rsidR="00DF62EB" w:rsidRPr="003F2048">
        <w:rPr>
          <w:rFonts w:ascii="Times New Roman" w:hAnsi="Times New Roman"/>
          <w:spacing w:val="-2"/>
          <w:sz w:val="24"/>
        </w:rPr>
        <w:t xml:space="preserve"> </w:t>
      </w:r>
    </w:p>
    <w:p w14:paraId="22BB9D46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7E99139" w14:textId="77777777" w:rsidR="008437C9" w:rsidRDefault="008437C9" w:rsidP="008437C9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42ECEB0" w14:textId="459A3C2E" w:rsidR="00DB5377" w:rsidRPr="00B96F14" w:rsidRDefault="00DB5377" w:rsidP="008437C9">
      <w:pPr>
        <w:suppressAutoHyphens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Interested eligible firms and individuals who would wish to be considered for the provision of goods, works and consulting services for the </w:t>
      </w:r>
      <w:r w:rsidR="008437C9" w:rsidRPr="00B96F14">
        <w:rPr>
          <w:rFonts w:ascii="Times New Roman" w:hAnsi="Times New Roman"/>
          <w:spacing w:val="-2"/>
          <w:sz w:val="24"/>
        </w:rPr>
        <w:t>above-mentioned</w:t>
      </w:r>
      <w:r w:rsidRPr="00B96F14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 address below:</w:t>
      </w:r>
    </w:p>
    <w:p w14:paraId="65853A1A" w14:textId="53972F3E" w:rsidR="008437C9" w:rsidRDefault="008437C9" w:rsidP="00DB5377">
      <w:pPr>
        <w:rPr>
          <w:i/>
        </w:rPr>
      </w:pPr>
    </w:p>
    <w:p w14:paraId="17073DAF" w14:textId="07D644E0" w:rsidR="00841DAC" w:rsidRPr="00841DAC" w:rsidRDefault="008B4B3A" w:rsidP="00841DAC">
      <w:pPr>
        <w:spacing w:before="80" w:after="80"/>
        <w:jc w:val="both"/>
      </w:pPr>
      <w:r w:rsidRPr="008B4B3A">
        <w:t>Name of office</w:t>
      </w:r>
      <w:r>
        <w:rPr>
          <w:rFonts w:asciiTheme="minorHAnsi" w:hAnsiTheme="minorHAnsi"/>
          <w:lang w:val="uz-Cyrl-UZ"/>
        </w:rPr>
        <w:t>:</w:t>
      </w:r>
      <w:r>
        <w:t xml:space="preserve"> </w:t>
      </w:r>
      <w:r w:rsidR="00841DAC">
        <w:t>“Avtoyulinvest” Agency under the Committee for Roads under Ministry of Transport of the Republic of Uzbekistan</w:t>
      </w:r>
    </w:p>
    <w:p w14:paraId="0BD61A40" w14:textId="2D93C5DF" w:rsidR="00841DAC" w:rsidRDefault="008B4B3A" w:rsidP="00841DAC">
      <w:pPr>
        <w:spacing w:before="80" w:after="80"/>
        <w:jc w:val="both"/>
      </w:pPr>
      <w:r w:rsidRPr="008B4B3A">
        <w:t>Name of officer and title</w:t>
      </w:r>
      <w:r w:rsidRPr="008B4B3A">
        <w:rPr>
          <w:rFonts w:asciiTheme="minorHAnsi" w:hAnsiTheme="minorHAnsi"/>
        </w:rPr>
        <w:t>:</w:t>
      </w:r>
      <w:r>
        <w:t xml:space="preserve"> </w:t>
      </w:r>
      <w:r w:rsidR="00841DAC">
        <w:t>Zufar Ismatullaev</w:t>
      </w:r>
      <w:r w:rsidR="00841DAC" w:rsidRPr="00841DAC">
        <w:t xml:space="preserve">, </w:t>
      </w:r>
      <w:r w:rsidR="00841DAC">
        <w:t>Director of “Avtoyulinvest” Agency under the Committee for Roads</w:t>
      </w:r>
    </w:p>
    <w:p w14:paraId="1AC48754" w14:textId="2D605E75" w:rsidR="00841DAC" w:rsidRPr="00841DAC" w:rsidRDefault="008B4B3A" w:rsidP="00841DAC">
      <w:pPr>
        <w:spacing w:before="80" w:after="80"/>
        <w:jc w:val="both"/>
      </w:pPr>
      <w:r>
        <w:lastRenderedPageBreak/>
        <w:t>Address</w:t>
      </w:r>
      <w:r w:rsidRPr="008B4B3A">
        <w:t xml:space="preserve">: </w:t>
      </w:r>
      <w:r w:rsidR="00841DAC" w:rsidRPr="00841DAC">
        <w:t>Mustakillik avenue 68A, 100000, Tashkent, Republic of Uzbekistan</w:t>
      </w:r>
    </w:p>
    <w:p w14:paraId="2FB9BB27" w14:textId="6D445347" w:rsidR="00841DAC" w:rsidRDefault="00841DAC" w:rsidP="00841DAC">
      <w:pPr>
        <w:spacing w:before="80" w:after="80"/>
        <w:jc w:val="both"/>
      </w:pPr>
      <w:r>
        <w:t>Tel</w:t>
      </w:r>
      <w:r w:rsidR="008B4B3A" w:rsidRPr="008B4B3A">
        <w:t>ephone</w:t>
      </w:r>
      <w:r>
        <w:t>:</w:t>
      </w:r>
      <w:r>
        <w:tab/>
        <w:t>+(99871) 237-03-94; +(99871) 237-03-96</w:t>
      </w:r>
    </w:p>
    <w:p w14:paraId="034D9FF6" w14:textId="25E10037" w:rsidR="00841DAC" w:rsidRDefault="00841DAC" w:rsidP="00841DAC">
      <w:pPr>
        <w:spacing w:before="80" w:after="80"/>
        <w:jc w:val="both"/>
      </w:pPr>
      <w:r>
        <w:t>E-mail:</w:t>
      </w:r>
      <w:r>
        <w:tab/>
      </w:r>
      <w:hyperlink r:id="rId12" w:history="1">
        <w:r w:rsidRPr="00841DAC">
          <w:t>piuisdb60km@gmail.com</w:t>
        </w:r>
      </w:hyperlink>
      <w:r w:rsidRPr="00841DAC">
        <w:t xml:space="preserve">; </w:t>
      </w:r>
      <w:hyperlink r:id="rId13" w:history="1">
        <w:r w:rsidRPr="00841DAC">
          <w:t>info@uzavtoyul.uz</w:t>
        </w:r>
      </w:hyperlink>
    </w:p>
    <w:p w14:paraId="21A0449A" w14:textId="531DFE4E" w:rsidR="00841DAC" w:rsidRPr="00841DAC" w:rsidRDefault="00841DAC" w:rsidP="00841DAC">
      <w:pPr>
        <w:spacing w:before="80" w:after="80"/>
        <w:jc w:val="both"/>
      </w:pPr>
      <w:r>
        <w:t>W</w:t>
      </w:r>
      <w:r w:rsidRPr="00841DAC">
        <w:t>eb site: www.uzavtoyul.uz</w:t>
      </w:r>
    </w:p>
    <w:p w14:paraId="43D1FF35" w14:textId="11AA3222" w:rsidR="00841DAC" w:rsidRPr="00841DAC" w:rsidRDefault="00841DAC" w:rsidP="00841DAC">
      <w:pPr>
        <w:tabs>
          <w:tab w:val="left" w:pos="1311"/>
          <w:tab w:val="left" w:pos="6480"/>
        </w:tabs>
        <w:spacing w:before="80" w:after="80"/>
        <w:jc w:val="both"/>
        <w:rPr>
          <w:rFonts w:asciiTheme="minorHAnsi" w:hAnsiTheme="minorHAnsi"/>
        </w:rPr>
      </w:pPr>
    </w:p>
    <w:p w14:paraId="53FE5D35" w14:textId="77777777" w:rsidR="00841DAC" w:rsidRPr="00841DAC" w:rsidRDefault="00841DAC" w:rsidP="00841DAC">
      <w:pPr>
        <w:tabs>
          <w:tab w:val="left" w:pos="1311"/>
        </w:tabs>
        <w:spacing w:before="80" w:after="80"/>
        <w:jc w:val="both"/>
      </w:pPr>
    </w:p>
    <w:p w14:paraId="69FC33B0" w14:textId="77777777" w:rsidR="00841DAC" w:rsidRPr="00841DAC" w:rsidRDefault="00841DAC" w:rsidP="00DB5377">
      <w:pPr>
        <w:rPr>
          <w:i/>
        </w:rPr>
      </w:pPr>
    </w:p>
    <w:p w14:paraId="7087907F" w14:textId="77777777" w:rsidR="00DB5377" w:rsidRPr="00DF62EB" w:rsidRDefault="00DB5377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sectPr w:rsidR="00DB5377" w:rsidRPr="00DF62EB" w:rsidSect="00F62BE8">
      <w:endnotePr>
        <w:numFmt w:val="decimal"/>
      </w:endnotePr>
      <w:pgSz w:w="11907" w:h="16839" w:code="9"/>
      <w:pgMar w:top="1104" w:right="1017" w:bottom="1440" w:left="144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64D8" w14:textId="77777777" w:rsidR="00971837" w:rsidRDefault="00971837">
      <w:r>
        <w:separator/>
      </w:r>
    </w:p>
  </w:endnote>
  <w:endnote w:type="continuationSeparator" w:id="0">
    <w:p w14:paraId="5A3E8EB7" w14:textId="77777777" w:rsidR="00971837" w:rsidRDefault="00971837">
      <w:r>
        <w:rPr>
          <w:sz w:val="24"/>
        </w:rPr>
        <w:t xml:space="preserve"> </w:t>
      </w:r>
    </w:p>
  </w:endnote>
  <w:endnote w:type="continuationNotice" w:id="1">
    <w:p w14:paraId="726AA0EB" w14:textId="77777777" w:rsidR="00971837" w:rsidRDefault="0097183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19E93" w14:textId="77777777" w:rsidR="00971837" w:rsidRDefault="00971837">
      <w:r>
        <w:rPr>
          <w:sz w:val="24"/>
        </w:rPr>
        <w:separator/>
      </w:r>
    </w:p>
  </w:footnote>
  <w:footnote w:type="continuationSeparator" w:id="0">
    <w:p w14:paraId="16349866" w14:textId="77777777" w:rsidR="00971837" w:rsidRDefault="0097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C3"/>
    <w:rsid w:val="00043AC5"/>
    <w:rsid w:val="00073C60"/>
    <w:rsid w:val="000F4D9A"/>
    <w:rsid w:val="0010171D"/>
    <w:rsid w:val="00127A3F"/>
    <w:rsid w:val="00190C88"/>
    <w:rsid w:val="001942C9"/>
    <w:rsid w:val="001F65C4"/>
    <w:rsid w:val="00207F57"/>
    <w:rsid w:val="00236BEE"/>
    <w:rsid w:val="0025696A"/>
    <w:rsid w:val="002C5423"/>
    <w:rsid w:val="00343FB8"/>
    <w:rsid w:val="003818BD"/>
    <w:rsid w:val="003F2048"/>
    <w:rsid w:val="00456400"/>
    <w:rsid w:val="00457B5D"/>
    <w:rsid w:val="00472074"/>
    <w:rsid w:val="005130C3"/>
    <w:rsid w:val="00557532"/>
    <w:rsid w:val="00567F2E"/>
    <w:rsid w:val="005E0060"/>
    <w:rsid w:val="005F40FB"/>
    <w:rsid w:val="00633BF6"/>
    <w:rsid w:val="0065085F"/>
    <w:rsid w:val="00677A84"/>
    <w:rsid w:val="00731A41"/>
    <w:rsid w:val="007A5E00"/>
    <w:rsid w:val="007D23F5"/>
    <w:rsid w:val="008244D0"/>
    <w:rsid w:val="008268E8"/>
    <w:rsid w:val="00841DAC"/>
    <w:rsid w:val="008437C9"/>
    <w:rsid w:val="00846B37"/>
    <w:rsid w:val="008B1890"/>
    <w:rsid w:val="008B4B3A"/>
    <w:rsid w:val="00924F5F"/>
    <w:rsid w:val="00971837"/>
    <w:rsid w:val="009865B1"/>
    <w:rsid w:val="009E4E88"/>
    <w:rsid w:val="009F392F"/>
    <w:rsid w:val="00A54B9D"/>
    <w:rsid w:val="00A903DD"/>
    <w:rsid w:val="00A94FE4"/>
    <w:rsid w:val="00AE50E5"/>
    <w:rsid w:val="00B77922"/>
    <w:rsid w:val="00B96F14"/>
    <w:rsid w:val="00B97633"/>
    <w:rsid w:val="00C12FE6"/>
    <w:rsid w:val="00D40631"/>
    <w:rsid w:val="00D9176D"/>
    <w:rsid w:val="00DB5377"/>
    <w:rsid w:val="00DB62EA"/>
    <w:rsid w:val="00DB78F4"/>
    <w:rsid w:val="00DF62EB"/>
    <w:rsid w:val="00E327FB"/>
    <w:rsid w:val="00E706F3"/>
    <w:rsid w:val="00EC4BD3"/>
    <w:rsid w:val="00EE0DE2"/>
    <w:rsid w:val="00F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76ADD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G Times" w:hAnsi="CG Times"/>
      <w:sz w:val="22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link w:val="ad"/>
    <w:pPr>
      <w:suppressAutoHyphens/>
    </w:pPr>
    <w:rPr>
      <w:spacing w:val="-2"/>
      <w:sz w:val="24"/>
    </w:rPr>
  </w:style>
  <w:style w:type="character" w:styleId="ae">
    <w:name w:val="Hyperlink"/>
    <w:rPr>
      <w:color w:val="0000FF"/>
      <w:u w:val="single"/>
    </w:rPr>
  </w:style>
  <w:style w:type="paragraph" w:styleId="af">
    <w:name w:val="Balloon Text"/>
    <w:basedOn w:val="a"/>
    <w:semiHidden/>
    <w:rsid w:val="005130C3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link w:val="ac"/>
    <w:rsid w:val="005F40FB"/>
    <w:rPr>
      <w:rFonts w:ascii="CG Times" w:hAnsi="CG Times"/>
      <w:spacing w:val="-2"/>
      <w:sz w:val="24"/>
    </w:rPr>
  </w:style>
  <w:style w:type="paragraph" w:styleId="af0">
    <w:name w:val="List Paragraph"/>
    <w:aliases w:val="Citation List,본문(내용),List Paragraph (numbered (a))"/>
    <w:basedOn w:val="a"/>
    <w:link w:val="af1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af1">
    <w:name w:val="Абзац списка Знак"/>
    <w:aliases w:val="Citation List Знак,본문(내용) Знак,List Paragraph (numbered (a)) Знак"/>
    <w:basedOn w:val="a0"/>
    <w:link w:val="af0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styleId="HTML">
    <w:name w:val="HTML Cite"/>
    <w:basedOn w:val="a0"/>
    <w:uiPriority w:val="99"/>
    <w:semiHidden/>
    <w:unhideWhenUsed/>
    <w:rsid w:val="00841DAC"/>
    <w:rPr>
      <w:i/>
      <w:iCs/>
    </w:rPr>
  </w:style>
  <w:style w:type="character" w:customStyle="1" w:styleId="dyjrff">
    <w:name w:val="dyjrff"/>
    <w:basedOn w:val="a0"/>
    <w:rsid w:val="0084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uzavtoyul.u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uisdb60km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db.org/irj/portal/anonymous?NavigationTarget=navurl://76e1dfd61777849cc88228c9bfe818e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1e25c9-e65c-47ed-8b5f-45a3717ce8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6" ma:contentTypeDescription="Create a new document." ma:contentTypeScope="" ma:versionID="93d2946fd64612c9169186c3fcfc0b7b">
  <xsd:schema xmlns:xsd="http://www.w3.org/2001/XMLSchema" xmlns:xs="http://www.w3.org/2001/XMLSchema" xmlns:p="http://schemas.microsoft.com/office/2006/metadata/properties" xmlns:ns3="411e25c9-e65c-47ed-8b5f-45a3717ce8f1" xmlns:ns4="7454d625-768b-4c30-ae29-9f1c97607c4e" targetNamespace="http://schemas.microsoft.com/office/2006/metadata/properties" ma:root="true" ma:fieldsID="8421418238f597edd38fc068ac2b9c8e" ns3:_="" ns4:_="">
    <xsd:import namespace="411e25c9-e65c-47ed-8b5f-45a3717ce8f1"/>
    <xsd:import namespace="7454d625-768b-4c30-ae29-9f1c97607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d625-768b-4c30-ae29-9f1c97607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F62C8A-3429-4449-A19B-1F2FB8C52CE8}">
  <ds:schemaRefs>
    <ds:schemaRef ds:uri="http://schemas.microsoft.com/office/2006/metadata/properties"/>
    <ds:schemaRef ds:uri="http://schemas.microsoft.com/office/infopath/2007/PartnerControls"/>
    <ds:schemaRef ds:uri="411e25c9-e65c-47ed-8b5f-45a3717ce8f1"/>
  </ds:schemaRefs>
</ds:datastoreItem>
</file>

<file path=customXml/itemProps2.xml><?xml version="1.0" encoding="utf-8"?>
<ds:datastoreItem xmlns:ds="http://schemas.openxmlformats.org/officeDocument/2006/customXml" ds:itemID="{A7CC2494-E661-4351-8C6B-C2ED5B9D6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C727-247B-421C-8287-48AE44A0E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7454d625-768b-4c30-ae29-9f1c97607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89990-FBD0-4878-B149-9CD78DD9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3421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user</cp:lastModifiedBy>
  <cp:revision>4</cp:revision>
  <cp:lastPrinted>2009-03-05T06:40:00Z</cp:lastPrinted>
  <dcterms:created xsi:type="dcterms:W3CDTF">2022-11-30T07:59:00Z</dcterms:created>
  <dcterms:modified xsi:type="dcterms:W3CDTF">2022-12-01T05:34:00Z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</Properties>
</file>