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127" w:type="pct"/>
        <w:tblBorders>
          <w:insideH w:val="none" w:sz="0" w:space="0" w:color="auto"/>
          <w:insideV w:val="none" w:sz="0" w:space="0" w:color="auto"/>
        </w:tblBorders>
        <w:tblLook w:val="04A0" w:firstRow="1" w:lastRow="0" w:firstColumn="1" w:lastColumn="0" w:noHBand="0" w:noVBand="1"/>
      </w:tblPr>
      <w:tblGrid>
        <w:gridCol w:w="2910"/>
        <w:gridCol w:w="2505"/>
        <w:gridCol w:w="3876"/>
      </w:tblGrid>
      <w:tr w:rsidR="00BD7983" w:rsidRPr="00EC7024" w14:paraId="04A0171F" w14:textId="77777777" w:rsidTr="00E0607F">
        <w:trPr>
          <w:trHeight w:val="590"/>
        </w:trPr>
        <w:tc>
          <w:tcPr>
            <w:tcW w:w="5000" w:type="pct"/>
            <w:gridSpan w:val="3"/>
            <w:vAlign w:val="center"/>
          </w:tcPr>
          <w:p w14:paraId="3C4209D5" w14:textId="77777777" w:rsidR="00BD7983" w:rsidRPr="00EC7024" w:rsidRDefault="00BD7983" w:rsidP="00E0607F">
            <w:pPr>
              <w:jc w:val="center"/>
              <w:rPr>
                <w:rFonts w:asciiTheme="minorHAnsi" w:hAnsiTheme="minorHAnsi" w:cstheme="minorHAnsi"/>
                <w:sz w:val="24"/>
                <w:szCs w:val="24"/>
              </w:rPr>
            </w:pPr>
            <w:r w:rsidRPr="00EC7024">
              <w:rPr>
                <w:rFonts w:asciiTheme="minorHAnsi" w:hAnsiTheme="minorHAnsi" w:cstheme="minorHAnsi"/>
                <w:noProof/>
                <w:sz w:val="24"/>
                <w:szCs w:val="24"/>
                <w:lang w:val="en-US" w:eastAsia="en-US"/>
              </w:rPr>
              <w:drawing>
                <wp:inline distT="0" distB="0" distL="0" distR="0" wp14:anchorId="70E6F102" wp14:editId="66B8D163">
                  <wp:extent cx="622800" cy="360000"/>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au S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800" cy="360000"/>
                          </a:xfrm>
                          <a:prstGeom prst="rect">
                            <a:avLst/>
                          </a:prstGeom>
                        </pic:spPr>
                      </pic:pic>
                    </a:graphicData>
                  </a:graphic>
                </wp:inline>
              </w:drawing>
            </w:r>
          </w:p>
          <w:p w14:paraId="4C7FF995" w14:textId="77777777" w:rsidR="00BD7983" w:rsidRPr="00EC7024" w:rsidRDefault="00BD7983" w:rsidP="00E0607F">
            <w:pPr>
              <w:jc w:val="center"/>
              <w:rPr>
                <w:rFonts w:asciiTheme="minorHAnsi" w:hAnsiTheme="minorHAnsi" w:cstheme="minorHAnsi"/>
                <w:sz w:val="24"/>
                <w:szCs w:val="24"/>
              </w:rPr>
            </w:pPr>
            <w:r w:rsidRPr="00EC7024">
              <w:rPr>
                <w:rFonts w:asciiTheme="minorHAnsi" w:hAnsiTheme="minorHAnsi" w:cstheme="minorHAnsi"/>
                <w:sz w:val="24"/>
                <w:szCs w:val="24"/>
              </w:rPr>
              <w:t>République du SENEGAL</w:t>
            </w:r>
          </w:p>
          <w:p w14:paraId="6496B4B9" w14:textId="77777777" w:rsidR="00BD7983" w:rsidRPr="00EC7024" w:rsidRDefault="00BD7983" w:rsidP="00E0607F">
            <w:pPr>
              <w:jc w:val="center"/>
              <w:rPr>
                <w:rFonts w:asciiTheme="minorHAnsi" w:hAnsiTheme="minorHAnsi" w:cstheme="minorHAnsi"/>
                <w:noProof/>
                <w:sz w:val="24"/>
                <w:szCs w:val="24"/>
                <w:lang w:eastAsia="en-US"/>
              </w:rPr>
            </w:pPr>
            <w:r w:rsidRPr="00EC7024">
              <w:rPr>
                <w:rFonts w:asciiTheme="minorHAnsi" w:hAnsiTheme="minorHAnsi" w:cstheme="minorHAnsi"/>
                <w:b/>
                <w:sz w:val="24"/>
                <w:szCs w:val="24"/>
              </w:rPr>
              <w:t>MINISTERE DE L’EAU ET DE L’ASSAINISSEMENT</w:t>
            </w:r>
          </w:p>
        </w:tc>
      </w:tr>
      <w:tr w:rsidR="00BD7983" w:rsidRPr="00EC7024" w14:paraId="20005713" w14:textId="77777777" w:rsidTr="00E0607F">
        <w:trPr>
          <w:trHeight w:val="1228"/>
        </w:trPr>
        <w:tc>
          <w:tcPr>
            <w:tcW w:w="1616" w:type="pct"/>
            <w:vAlign w:val="center"/>
          </w:tcPr>
          <w:p w14:paraId="0CA3A1AF" w14:textId="77777777" w:rsidR="00BD7983" w:rsidRPr="00EC7024" w:rsidRDefault="00BD7983" w:rsidP="00E0607F">
            <w:pPr>
              <w:jc w:val="center"/>
              <w:rPr>
                <w:rFonts w:asciiTheme="minorHAnsi" w:hAnsiTheme="minorHAnsi" w:cstheme="minorHAnsi"/>
                <w:color w:val="000099"/>
                <w:sz w:val="24"/>
                <w:szCs w:val="24"/>
              </w:rPr>
            </w:pPr>
            <w:r w:rsidRPr="00EC7024">
              <w:rPr>
                <w:rFonts w:asciiTheme="minorHAnsi" w:hAnsiTheme="minorHAnsi" w:cstheme="minorHAnsi"/>
                <w:noProof/>
                <w:color w:val="000099"/>
                <w:sz w:val="24"/>
                <w:szCs w:val="24"/>
                <w:lang w:val="en-US" w:eastAsia="en-US"/>
              </w:rPr>
              <w:drawing>
                <wp:inline distT="0" distB="0" distL="0" distR="0" wp14:anchorId="5B459FF3" wp14:editId="19161714">
                  <wp:extent cx="1080000" cy="432000"/>
                  <wp:effectExtent l="0" t="0" r="6350" b="6350"/>
                  <wp:docPr id="5" name="Image 5" descr="C:\Users\HP\AppData\Local\Microsoft\Windows\INetCache\Content.Outlook\UFFNFE89\Logo OLA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Outlook\UFFNFE89\Logo OLAC.jpg"/>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t="14824" b="11754"/>
                          <a:stretch/>
                        </pic:blipFill>
                        <pic:spPr bwMode="auto">
                          <a:xfrm>
                            <a:off x="0" y="0"/>
                            <a:ext cx="1080000" cy="432000"/>
                          </a:xfrm>
                          <a:prstGeom prst="rect">
                            <a:avLst/>
                          </a:prstGeom>
                          <a:noFill/>
                          <a:ln>
                            <a:noFill/>
                          </a:ln>
                          <a:extLst>
                            <a:ext uri="{53640926-AAD7-44D8-BBD7-CCE9431645EC}">
                              <a14:shadowObscured xmlns:a14="http://schemas.microsoft.com/office/drawing/2010/main"/>
                            </a:ext>
                          </a:extLst>
                        </pic:spPr>
                      </pic:pic>
                    </a:graphicData>
                  </a:graphic>
                </wp:inline>
              </w:drawing>
            </w:r>
          </w:p>
          <w:p w14:paraId="7C7E6A7F" w14:textId="77777777" w:rsidR="00BD7983" w:rsidRPr="00EC7024" w:rsidRDefault="00BD7983" w:rsidP="00E0607F">
            <w:pPr>
              <w:jc w:val="center"/>
              <w:rPr>
                <w:rFonts w:asciiTheme="minorHAnsi" w:hAnsiTheme="minorHAnsi" w:cstheme="minorHAnsi"/>
                <w:b/>
                <w:color w:val="000099"/>
                <w:sz w:val="24"/>
                <w:szCs w:val="24"/>
              </w:rPr>
            </w:pPr>
            <w:r w:rsidRPr="00EC7024">
              <w:rPr>
                <w:rFonts w:asciiTheme="minorHAnsi" w:hAnsiTheme="minorHAnsi" w:cstheme="minorHAnsi"/>
                <w:b/>
                <w:color w:val="000099"/>
                <w:sz w:val="24"/>
                <w:szCs w:val="24"/>
              </w:rPr>
              <w:t>OFFICE DES LACS ET COURS D’EAU</w:t>
            </w:r>
          </w:p>
        </w:tc>
        <w:tc>
          <w:tcPr>
            <w:tcW w:w="1398" w:type="pct"/>
            <w:vAlign w:val="center"/>
          </w:tcPr>
          <w:p w14:paraId="18C8859F" w14:textId="77777777" w:rsidR="00BD7983" w:rsidRPr="00BD7983" w:rsidRDefault="00BD7983" w:rsidP="00E0607F">
            <w:pPr>
              <w:jc w:val="center"/>
              <w:rPr>
                <w:rFonts w:asciiTheme="minorHAnsi" w:hAnsiTheme="minorHAnsi" w:cstheme="minorHAnsi"/>
                <w:noProof/>
                <w:color w:val="000099"/>
                <w:sz w:val="24"/>
                <w:szCs w:val="24"/>
                <w:lang w:eastAsia="en-US"/>
              </w:rPr>
            </w:pPr>
          </w:p>
        </w:tc>
        <w:tc>
          <w:tcPr>
            <w:tcW w:w="1987" w:type="pct"/>
            <w:vAlign w:val="center"/>
          </w:tcPr>
          <w:p w14:paraId="5FBAE56C" w14:textId="77777777" w:rsidR="00BD7983" w:rsidRPr="00EC7024" w:rsidRDefault="00BD7983" w:rsidP="00E0607F">
            <w:pPr>
              <w:jc w:val="center"/>
              <w:rPr>
                <w:rFonts w:asciiTheme="minorHAnsi" w:hAnsiTheme="minorHAnsi" w:cstheme="minorHAnsi"/>
                <w:noProof/>
                <w:color w:val="000099"/>
                <w:sz w:val="24"/>
                <w:szCs w:val="24"/>
                <w:lang w:val="en-US" w:eastAsia="en-US"/>
              </w:rPr>
            </w:pPr>
            <w:r w:rsidRPr="00EC7024">
              <w:rPr>
                <w:rFonts w:asciiTheme="minorHAnsi" w:hAnsiTheme="minorHAnsi" w:cstheme="minorHAnsi"/>
                <w:noProof/>
                <w:sz w:val="24"/>
                <w:szCs w:val="24"/>
                <w:lang w:val="en-US" w:eastAsia="en-US"/>
              </w:rPr>
              <w:drawing>
                <wp:inline distT="0" distB="0" distL="0" distR="0" wp14:anchorId="7F802005" wp14:editId="71596423">
                  <wp:extent cx="2323224" cy="612000"/>
                  <wp:effectExtent l="0" t="0" r="127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3224" cy="612000"/>
                          </a:xfrm>
                          <a:prstGeom prst="rect">
                            <a:avLst/>
                          </a:prstGeom>
                          <a:noFill/>
                        </pic:spPr>
                      </pic:pic>
                    </a:graphicData>
                  </a:graphic>
                </wp:inline>
              </w:drawing>
            </w:r>
          </w:p>
        </w:tc>
      </w:tr>
    </w:tbl>
    <w:p w14:paraId="48192A86" w14:textId="77777777" w:rsidR="00BD7983" w:rsidRPr="00EC7024" w:rsidRDefault="00BD7983" w:rsidP="00BD7983">
      <w:pPr>
        <w:spacing w:before="120" w:after="120"/>
        <w:jc w:val="center"/>
        <w:rPr>
          <w:b/>
          <w:bCs/>
        </w:rPr>
      </w:pPr>
    </w:p>
    <w:p w14:paraId="0881407B" w14:textId="56FDD0C5" w:rsidR="00BD7983" w:rsidRPr="003D19AA" w:rsidRDefault="00BD7983" w:rsidP="00BD7983">
      <w:pPr>
        <w:shd w:val="clear" w:color="auto" w:fill="D6E3BC" w:themeFill="accent3" w:themeFillTint="66"/>
        <w:spacing w:line="276" w:lineRule="auto"/>
        <w:jc w:val="center"/>
        <w:rPr>
          <w:rFonts w:asciiTheme="minorHAnsi" w:hAnsiTheme="minorHAnsi" w:cstheme="minorHAnsi"/>
          <w:b/>
          <w:bCs/>
          <w:caps/>
          <w:color w:val="4F6228" w:themeColor="accent3" w:themeShade="80"/>
          <w:sz w:val="28"/>
          <w:szCs w:val="28"/>
        </w:rPr>
      </w:pPr>
      <w:r w:rsidRPr="003D19AA">
        <w:rPr>
          <w:rFonts w:asciiTheme="minorHAnsi" w:hAnsiTheme="minorHAnsi" w:cstheme="minorHAnsi"/>
          <w:b/>
          <w:bCs/>
          <w:caps/>
          <w:color w:val="4F6228" w:themeColor="accent3" w:themeShade="80"/>
          <w:sz w:val="28"/>
          <w:szCs w:val="28"/>
        </w:rPr>
        <w:t>SEN1045 - Projet de mobilisation des eaux du Bassin versant de N</w:t>
      </w:r>
      <w:r w:rsidR="0053773D" w:rsidRPr="003D19AA">
        <w:rPr>
          <w:rFonts w:asciiTheme="minorHAnsi" w:hAnsiTheme="minorHAnsi" w:cstheme="minorHAnsi"/>
          <w:b/>
          <w:bCs/>
          <w:caps/>
          <w:color w:val="4F6228" w:themeColor="accent3" w:themeShade="80"/>
          <w:sz w:val="28"/>
          <w:szCs w:val="28"/>
        </w:rPr>
        <w:t>IA</w:t>
      </w:r>
      <w:r w:rsidRPr="003D19AA">
        <w:rPr>
          <w:rFonts w:asciiTheme="minorHAnsi" w:hAnsiTheme="minorHAnsi" w:cstheme="minorHAnsi"/>
          <w:b/>
          <w:bCs/>
          <w:caps/>
          <w:color w:val="4F6228" w:themeColor="accent3" w:themeShade="80"/>
          <w:sz w:val="28"/>
          <w:szCs w:val="28"/>
        </w:rPr>
        <w:t>nija-Bolong</w:t>
      </w:r>
    </w:p>
    <w:p w14:paraId="61937471" w14:textId="77777777" w:rsidR="00BD7983" w:rsidRPr="00BD7983" w:rsidRDefault="00BD7983" w:rsidP="00BD7983">
      <w:pPr>
        <w:spacing w:before="120" w:after="120" w:line="276" w:lineRule="auto"/>
        <w:jc w:val="center"/>
        <w:rPr>
          <w:rFonts w:asciiTheme="minorHAnsi" w:hAnsiTheme="minorHAnsi" w:cstheme="minorHAnsi"/>
          <w:b/>
          <w:bCs/>
          <w:sz w:val="24"/>
          <w:szCs w:val="24"/>
        </w:rPr>
      </w:pPr>
    </w:p>
    <w:p w14:paraId="2EC42332" w14:textId="3C6A6B98" w:rsidR="00DE7747" w:rsidRPr="00BD7983" w:rsidRDefault="002B2B95" w:rsidP="00BD7983">
      <w:pPr>
        <w:spacing w:before="120" w:after="120" w:line="276" w:lineRule="auto"/>
        <w:jc w:val="center"/>
        <w:rPr>
          <w:rFonts w:asciiTheme="minorHAnsi" w:hAnsiTheme="minorHAnsi" w:cstheme="minorHAnsi"/>
          <w:i/>
          <w:iCs/>
          <w:sz w:val="28"/>
          <w:szCs w:val="28"/>
        </w:rPr>
      </w:pPr>
      <w:r w:rsidRPr="00BD7983">
        <w:rPr>
          <w:rFonts w:asciiTheme="minorHAnsi" w:hAnsiTheme="minorHAnsi" w:cstheme="minorHAnsi"/>
          <w:b/>
          <w:sz w:val="28"/>
          <w:szCs w:val="28"/>
        </w:rPr>
        <w:t xml:space="preserve">Avis de </w:t>
      </w:r>
      <w:r w:rsidR="003D19AA" w:rsidRPr="00BD7983">
        <w:rPr>
          <w:rFonts w:asciiTheme="minorHAnsi" w:hAnsiTheme="minorHAnsi" w:cstheme="minorHAnsi"/>
          <w:b/>
          <w:sz w:val="28"/>
          <w:szCs w:val="28"/>
        </w:rPr>
        <w:t>Préqualification</w:t>
      </w:r>
      <w:r w:rsidR="00DE5AFF" w:rsidRPr="00BD7983">
        <w:rPr>
          <w:rFonts w:asciiTheme="minorHAnsi" w:hAnsiTheme="minorHAnsi" w:cstheme="minorHAnsi"/>
          <w:b/>
          <w:sz w:val="28"/>
          <w:szCs w:val="28"/>
        </w:rPr>
        <w:t xml:space="preserve"> Nº</w:t>
      </w:r>
      <w:r w:rsidR="00332380">
        <w:rPr>
          <w:rFonts w:asciiTheme="minorHAnsi" w:hAnsiTheme="minorHAnsi" w:cstheme="minorHAnsi"/>
          <w:b/>
          <w:sz w:val="28"/>
          <w:szCs w:val="28"/>
        </w:rPr>
        <w:t>037/2022/MEA/OLAC/NIANIJA-BOLONG</w:t>
      </w:r>
    </w:p>
    <w:p w14:paraId="6607707C" w14:textId="4AA0AD5A" w:rsidR="002B2B95" w:rsidRPr="00BD7983" w:rsidRDefault="00541646" w:rsidP="008B4287">
      <w:pPr>
        <w:spacing w:before="240" w:after="240" w:line="276" w:lineRule="auto"/>
        <w:jc w:val="both"/>
        <w:rPr>
          <w:rFonts w:asciiTheme="minorHAnsi" w:hAnsiTheme="minorHAnsi" w:cstheme="minorHAnsi"/>
          <w:color w:val="000000"/>
          <w:sz w:val="24"/>
          <w:szCs w:val="24"/>
        </w:rPr>
      </w:pPr>
      <w:r w:rsidRPr="00BD7983">
        <w:rPr>
          <w:rFonts w:asciiTheme="minorHAnsi" w:hAnsiTheme="minorHAnsi" w:cstheme="minorHAnsi"/>
          <w:b/>
          <w:sz w:val="24"/>
          <w:szCs w:val="24"/>
        </w:rPr>
        <w:t>Pays :</w:t>
      </w:r>
      <w:r w:rsidRPr="00BD7983">
        <w:rPr>
          <w:rFonts w:asciiTheme="minorHAnsi" w:hAnsiTheme="minorHAnsi" w:cstheme="minorHAnsi"/>
          <w:sz w:val="24"/>
          <w:szCs w:val="24"/>
        </w:rPr>
        <w:t xml:space="preserve"> </w:t>
      </w:r>
      <w:r w:rsidR="00BD7983">
        <w:rPr>
          <w:rFonts w:asciiTheme="minorHAnsi" w:hAnsiTheme="minorHAnsi" w:cstheme="minorHAnsi"/>
          <w:sz w:val="24"/>
          <w:szCs w:val="24"/>
        </w:rPr>
        <w:tab/>
      </w:r>
      <w:r w:rsidR="00BD7983">
        <w:rPr>
          <w:rFonts w:asciiTheme="minorHAnsi" w:hAnsiTheme="minorHAnsi" w:cstheme="minorHAnsi"/>
          <w:sz w:val="24"/>
          <w:szCs w:val="24"/>
        </w:rPr>
        <w:tab/>
      </w:r>
      <w:r w:rsidRPr="00BD7983">
        <w:rPr>
          <w:rFonts w:asciiTheme="minorHAnsi" w:hAnsiTheme="minorHAnsi" w:cstheme="minorHAnsi"/>
          <w:color w:val="000000"/>
          <w:sz w:val="24"/>
          <w:szCs w:val="24"/>
        </w:rPr>
        <w:t>Sénégal</w:t>
      </w:r>
    </w:p>
    <w:p w14:paraId="189F7351" w14:textId="5711523E" w:rsidR="00541646" w:rsidRPr="00BD7983" w:rsidRDefault="00541646" w:rsidP="008B4287">
      <w:pPr>
        <w:spacing w:before="240" w:after="240" w:line="276" w:lineRule="auto"/>
        <w:jc w:val="both"/>
        <w:rPr>
          <w:rFonts w:asciiTheme="minorHAnsi" w:hAnsiTheme="minorHAnsi" w:cstheme="minorHAnsi"/>
          <w:color w:val="000000"/>
          <w:sz w:val="24"/>
          <w:szCs w:val="24"/>
        </w:rPr>
      </w:pPr>
      <w:r w:rsidRPr="00BD7983">
        <w:rPr>
          <w:rFonts w:asciiTheme="minorHAnsi" w:hAnsiTheme="minorHAnsi" w:cstheme="minorHAnsi"/>
          <w:b/>
          <w:sz w:val="24"/>
          <w:szCs w:val="24"/>
        </w:rPr>
        <w:t>Projet :</w:t>
      </w:r>
      <w:r w:rsidRPr="00BD7983">
        <w:rPr>
          <w:rFonts w:asciiTheme="minorHAnsi" w:hAnsiTheme="minorHAnsi" w:cstheme="minorHAnsi"/>
          <w:sz w:val="24"/>
          <w:szCs w:val="24"/>
        </w:rPr>
        <w:t xml:space="preserve"> </w:t>
      </w:r>
      <w:r w:rsidR="00BD7983">
        <w:rPr>
          <w:rFonts w:asciiTheme="minorHAnsi" w:hAnsiTheme="minorHAnsi" w:cstheme="minorHAnsi"/>
          <w:sz w:val="24"/>
          <w:szCs w:val="24"/>
        </w:rPr>
        <w:tab/>
      </w:r>
      <w:r w:rsidR="00BD7983">
        <w:rPr>
          <w:rFonts w:asciiTheme="minorHAnsi" w:hAnsiTheme="minorHAnsi" w:cstheme="minorHAnsi"/>
          <w:sz w:val="24"/>
          <w:szCs w:val="24"/>
        </w:rPr>
        <w:tab/>
        <w:t>SN1045 -</w:t>
      </w:r>
      <w:r w:rsidRPr="00BD7983">
        <w:rPr>
          <w:rFonts w:asciiTheme="minorHAnsi" w:hAnsiTheme="minorHAnsi" w:cstheme="minorHAnsi"/>
          <w:color w:val="000000"/>
          <w:sz w:val="24"/>
          <w:szCs w:val="24"/>
        </w:rPr>
        <w:t>Projet d</w:t>
      </w:r>
      <w:r w:rsidR="002B2B95" w:rsidRPr="00BD7983">
        <w:rPr>
          <w:rFonts w:asciiTheme="minorHAnsi" w:hAnsiTheme="minorHAnsi" w:cstheme="minorHAnsi"/>
          <w:color w:val="000000"/>
          <w:sz w:val="24"/>
          <w:szCs w:val="24"/>
        </w:rPr>
        <w:t>e mobilisation des ressources en eau</w:t>
      </w:r>
      <w:r w:rsidRPr="00BD7983">
        <w:rPr>
          <w:rFonts w:asciiTheme="minorHAnsi" w:hAnsiTheme="minorHAnsi" w:cstheme="minorHAnsi"/>
          <w:color w:val="000000"/>
          <w:sz w:val="24"/>
          <w:szCs w:val="24"/>
        </w:rPr>
        <w:t xml:space="preserve"> du N</w:t>
      </w:r>
      <w:r w:rsidR="0053773D">
        <w:rPr>
          <w:rFonts w:asciiTheme="minorHAnsi" w:hAnsiTheme="minorHAnsi" w:cstheme="minorHAnsi"/>
          <w:color w:val="000000"/>
          <w:sz w:val="24"/>
          <w:szCs w:val="24"/>
        </w:rPr>
        <w:t>i</w:t>
      </w:r>
      <w:r w:rsidRPr="00BD7983">
        <w:rPr>
          <w:rFonts w:asciiTheme="minorHAnsi" w:hAnsiTheme="minorHAnsi" w:cstheme="minorHAnsi"/>
          <w:color w:val="000000"/>
          <w:sz w:val="24"/>
          <w:szCs w:val="24"/>
        </w:rPr>
        <w:t>anija Bolong</w:t>
      </w:r>
    </w:p>
    <w:p w14:paraId="7C4841A4" w14:textId="293496FA" w:rsidR="00DE7747" w:rsidRPr="00BD7983" w:rsidRDefault="002B2B95" w:rsidP="008B4287">
      <w:pPr>
        <w:spacing w:before="240" w:after="240" w:line="276" w:lineRule="auto"/>
        <w:ind w:right="72"/>
        <w:jc w:val="both"/>
        <w:rPr>
          <w:rFonts w:asciiTheme="minorHAnsi" w:hAnsiTheme="minorHAnsi" w:cstheme="minorHAnsi"/>
          <w:color w:val="000000"/>
          <w:sz w:val="24"/>
          <w:szCs w:val="24"/>
        </w:rPr>
      </w:pPr>
      <w:r w:rsidRPr="00BD7983">
        <w:rPr>
          <w:rFonts w:asciiTheme="minorHAnsi" w:hAnsiTheme="minorHAnsi" w:cstheme="minorHAnsi"/>
          <w:b/>
          <w:sz w:val="24"/>
          <w:szCs w:val="24"/>
        </w:rPr>
        <w:t>Secteur :</w:t>
      </w:r>
      <w:r w:rsidRPr="00BD7983">
        <w:rPr>
          <w:rFonts w:asciiTheme="minorHAnsi" w:hAnsiTheme="minorHAnsi" w:cstheme="minorHAnsi"/>
          <w:sz w:val="24"/>
          <w:szCs w:val="24"/>
        </w:rPr>
        <w:t xml:space="preserve"> </w:t>
      </w:r>
      <w:r w:rsidR="00BD7983">
        <w:rPr>
          <w:rFonts w:asciiTheme="minorHAnsi" w:hAnsiTheme="minorHAnsi" w:cstheme="minorHAnsi"/>
          <w:sz w:val="24"/>
          <w:szCs w:val="24"/>
        </w:rPr>
        <w:tab/>
      </w:r>
      <w:r w:rsidRPr="00BD7983">
        <w:rPr>
          <w:rFonts w:asciiTheme="minorHAnsi" w:hAnsiTheme="minorHAnsi" w:cstheme="minorHAnsi"/>
          <w:sz w:val="24"/>
          <w:szCs w:val="24"/>
        </w:rPr>
        <w:t>E</w:t>
      </w:r>
      <w:r w:rsidRPr="00BD7983">
        <w:rPr>
          <w:rFonts w:asciiTheme="minorHAnsi" w:hAnsiTheme="minorHAnsi" w:cstheme="minorHAnsi"/>
          <w:color w:val="000000"/>
          <w:sz w:val="24"/>
          <w:szCs w:val="24"/>
        </w:rPr>
        <w:t xml:space="preserve">au </w:t>
      </w:r>
    </w:p>
    <w:p w14:paraId="2B95A2E6" w14:textId="796FADB9" w:rsidR="002B2B95" w:rsidRPr="00BD7983" w:rsidRDefault="002B2B95" w:rsidP="008B4287">
      <w:pPr>
        <w:spacing w:before="240" w:after="240" w:line="276" w:lineRule="auto"/>
        <w:ind w:right="72"/>
        <w:jc w:val="both"/>
        <w:rPr>
          <w:rFonts w:asciiTheme="minorHAnsi" w:hAnsiTheme="minorHAnsi" w:cstheme="minorHAnsi"/>
          <w:bCs/>
          <w:sz w:val="24"/>
          <w:szCs w:val="24"/>
        </w:rPr>
      </w:pPr>
      <w:r w:rsidRPr="00BD7983">
        <w:rPr>
          <w:rFonts w:asciiTheme="minorHAnsi" w:hAnsiTheme="minorHAnsi" w:cstheme="minorHAnsi"/>
          <w:b/>
          <w:sz w:val="24"/>
          <w:szCs w:val="24"/>
        </w:rPr>
        <w:t xml:space="preserve">Brève description des Travaux : </w:t>
      </w:r>
      <w:r w:rsidRPr="00BD7983">
        <w:rPr>
          <w:rFonts w:asciiTheme="minorHAnsi" w:hAnsiTheme="minorHAnsi" w:cstheme="minorHAnsi"/>
          <w:bCs/>
          <w:sz w:val="24"/>
          <w:szCs w:val="24"/>
        </w:rPr>
        <w:t>Les travaux portent sur la réhabilitation des ouvrages de retenue existants, la réalisation de nouveaux ouvrages hydrauliques ainsi que des travaux de terrassement</w:t>
      </w:r>
    </w:p>
    <w:p w14:paraId="7486DAFE" w14:textId="48871BB8" w:rsidR="00DE7747" w:rsidRPr="00BD7983" w:rsidRDefault="00DE7747" w:rsidP="008B4287">
      <w:pPr>
        <w:spacing w:before="240" w:after="240" w:line="276" w:lineRule="auto"/>
        <w:ind w:right="72"/>
        <w:jc w:val="both"/>
        <w:rPr>
          <w:rFonts w:asciiTheme="minorHAnsi" w:hAnsiTheme="minorHAnsi" w:cstheme="minorHAnsi"/>
          <w:bCs/>
          <w:sz w:val="24"/>
          <w:szCs w:val="24"/>
        </w:rPr>
      </w:pPr>
      <w:r w:rsidRPr="00BD7983">
        <w:rPr>
          <w:rFonts w:asciiTheme="minorHAnsi" w:hAnsiTheme="minorHAnsi" w:cstheme="minorHAnsi"/>
          <w:b/>
          <w:bCs/>
          <w:color w:val="000000"/>
          <w:sz w:val="24"/>
          <w:szCs w:val="24"/>
        </w:rPr>
        <w:t>No du Financement</w:t>
      </w:r>
      <w:r w:rsidR="002B2B95" w:rsidRPr="00BD7983">
        <w:rPr>
          <w:rFonts w:asciiTheme="minorHAnsi" w:hAnsiTheme="minorHAnsi" w:cstheme="minorHAnsi"/>
          <w:bCs/>
          <w:sz w:val="24"/>
          <w:szCs w:val="24"/>
        </w:rPr>
        <w:t> </w:t>
      </w:r>
      <w:r w:rsidR="002B2B95" w:rsidRPr="00332380">
        <w:rPr>
          <w:rFonts w:asciiTheme="minorHAnsi" w:hAnsiTheme="minorHAnsi" w:cstheme="minorHAnsi"/>
          <w:bCs/>
          <w:sz w:val="24"/>
          <w:szCs w:val="24"/>
        </w:rPr>
        <w:t>:</w:t>
      </w:r>
      <w:r w:rsidR="00332380" w:rsidRPr="00332380">
        <w:t xml:space="preserve"> </w:t>
      </w:r>
      <w:r w:rsidR="00332380" w:rsidRPr="00332380">
        <w:rPr>
          <w:rFonts w:asciiTheme="minorHAnsi" w:hAnsiTheme="minorHAnsi" w:cstheme="minorHAnsi"/>
          <w:bCs/>
          <w:sz w:val="24"/>
          <w:szCs w:val="24"/>
        </w:rPr>
        <w:t>SN 1045</w:t>
      </w:r>
    </w:p>
    <w:p w14:paraId="0D84FBEF" w14:textId="211BA2DF" w:rsidR="002B2B95" w:rsidRPr="00BD7983" w:rsidRDefault="00DE7747" w:rsidP="008B4287">
      <w:pPr>
        <w:spacing w:before="240" w:after="240" w:line="276" w:lineRule="auto"/>
        <w:jc w:val="both"/>
        <w:rPr>
          <w:rFonts w:asciiTheme="minorHAnsi" w:hAnsiTheme="minorHAnsi" w:cstheme="minorHAnsi"/>
          <w:bCs/>
          <w:sz w:val="24"/>
          <w:szCs w:val="24"/>
        </w:rPr>
      </w:pPr>
      <w:r w:rsidRPr="00BD7983">
        <w:rPr>
          <w:rFonts w:asciiTheme="minorHAnsi" w:hAnsiTheme="minorHAnsi" w:cstheme="minorHAnsi"/>
          <w:b/>
          <w:bCs/>
          <w:sz w:val="24"/>
          <w:szCs w:val="24"/>
        </w:rPr>
        <w:t>Intitulé du Marché :</w:t>
      </w:r>
      <w:r w:rsidRPr="00BD7983">
        <w:rPr>
          <w:rFonts w:asciiTheme="minorHAnsi" w:hAnsiTheme="minorHAnsi" w:cstheme="minorHAnsi"/>
          <w:bCs/>
          <w:sz w:val="24"/>
          <w:szCs w:val="24"/>
        </w:rPr>
        <w:t xml:space="preserve"> </w:t>
      </w:r>
      <w:bookmarkStart w:id="0" w:name="_Hlk101857338"/>
      <w:bookmarkStart w:id="1" w:name="_Hlk101867894"/>
      <w:r w:rsidR="002B2B95" w:rsidRPr="00BD7983">
        <w:rPr>
          <w:rFonts w:asciiTheme="minorHAnsi" w:hAnsiTheme="minorHAnsi" w:cstheme="minorHAnsi"/>
          <w:bCs/>
          <w:sz w:val="24"/>
          <w:szCs w:val="24"/>
          <w:lang w:eastAsia="zh-CN"/>
        </w:rPr>
        <w:t>Travaux de mobilisation des ressources en eau du bassin versant du   N</w:t>
      </w:r>
      <w:r w:rsidR="0053773D">
        <w:rPr>
          <w:rFonts w:asciiTheme="minorHAnsi" w:hAnsiTheme="minorHAnsi" w:cstheme="minorHAnsi"/>
          <w:bCs/>
          <w:sz w:val="24"/>
          <w:szCs w:val="24"/>
          <w:lang w:eastAsia="zh-CN"/>
        </w:rPr>
        <w:t>i</w:t>
      </w:r>
      <w:r w:rsidR="002B2B95" w:rsidRPr="00BD7983">
        <w:rPr>
          <w:rFonts w:asciiTheme="minorHAnsi" w:hAnsiTheme="minorHAnsi" w:cstheme="minorHAnsi"/>
          <w:bCs/>
          <w:sz w:val="24"/>
          <w:szCs w:val="24"/>
          <w:lang w:eastAsia="zh-CN"/>
        </w:rPr>
        <w:t>anija Bolong</w:t>
      </w:r>
      <w:bookmarkEnd w:id="0"/>
      <w:r w:rsidR="002B2B95" w:rsidRPr="00BD7983">
        <w:rPr>
          <w:rFonts w:asciiTheme="minorHAnsi" w:hAnsiTheme="minorHAnsi" w:cstheme="minorHAnsi"/>
          <w:bCs/>
          <w:sz w:val="24"/>
          <w:szCs w:val="24"/>
          <w:lang w:eastAsia="zh-CN"/>
        </w:rPr>
        <w:t> :</w:t>
      </w:r>
    </w:p>
    <w:p w14:paraId="39E96408" w14:textId="3312854A" w:rsidR="002B2B95" w:rsidRPr="00332380" w:rsidRDefault="002B2B95" w:rsidP="008B4287">
      <w:pPr>
        <w:pStyle w:val="Paragraphedeliste"/>
        <w:numPr>
          <w:ilvl w:val="0"/>
          <w:numId w:val="8"/>
        </w:numPr>
        <w:spacing w:before="240" w:after="240" w:line="276" w:lineRule="auto"/>
        <w:jc w:val="both"/>
        <w:rPr>
          <w:rFonts w:asciiTheme="minorHAnsi" w:hAnsiTheme="minorHAnsi" w:cstheme="minorHAnsi"/>
          <w:bCs/>
          <w:sz w:val="24"/>
          <w:szCs w:val="24"/>
        </w:rPr>
      </w:pPr>
      <w:bookmarkStart w:id="2" w:name="_Hlk101867952"/>
      <w:bookmarkEnd w:id="1"/>
      <w:r w:rsidRPr="00332380">
        <w:rPr>
          <w:rFonts w:asciiTheme="minorHAnsi" w:hAnsiTheme="minorHAnsi" w:cstheme="minorHAnsi"/>
          <w:bCs/>
          <w:sz w:val="24"/>
          <w:szCs w:val="24"/>
        </w:rPr>
        <w:t>Lot 1 : Travaux d’aménagement du Bassin versant du Nanija Bolong Bas de Koungheul à Sam Pathé Wilane ;</w:t>
      </w:r>
    </w:p>
    <w:p w14:paraId="4ED8B5C8" w14:textId="38819E90" w:rsidR="002B2B95" w:rsidRPr="00332380" w:rsidRDefault="002B2B95" w:rsidP="008B4287">
      <w:pPr>
        <w:pStyle w:val="Paragraphedeliste"/>
        <w:numPr>
          <w:ilvl w:val="0"/>
          <w:numId w:val="8"/>
        </w:numPr>
        <w:spacing w:before="240" w:after="240" w:line="276" w:lineRule="auto"/>
        <w:jc w:val="both"/>
        <w:rPr>
          <w:rFonts w:asciiTheme="minorHAnsi" w:hAnsiTheme="minorHAnsi" w:cstheme="minorHAnsi"/>
          <w:bCs/>
          <w:sz w:val="24"/>
          <w:szCs w:val="24"/>
        </w:rPr>
      </w:pPr>
      <w:r w:rsidRPr="00332380">
        <w:rPr>
          <w:rFonts w:asciiTheme="minorHAnsi" w:hAnsiTheme="minorHAnsi" w:cstheme="minorHAnsi"/>
          <w:bCs/>
          <w:sz w:val="24"/>
          <w:szCs w:val="24"/>
        </w:rPr>
        <w:t>Lot 2 : Travaux d’aménagement du Bassin versant du Nanija Bolong haut - en amont de Koungheul.</w:t>
      </w:r>
    </w:p>
    <w:bookmarkEnd w:id="2"/>
    <w:p w14:paraId="3D593308" w14:textId="126144E4" w:rsidR="00346326" w:rsidRPr="003D19AA" w:rsidRDefault="00DE7747" w:rsidP="008B4287">
      <w:pPr>
        <w:spacing w:before="240" w:after="240" w:line="276" w:lineRule="auto"/>
        <w:jc w:val="both"/>
        <w:rPr>
          <w:rFonts w:asciiTheme="minorHAnsi" w:hAnsiTheme="minorHAnsi" w:cstheme="minorHAnsi"/>
          <w:bCs/>
          <w:sz w:val="24"/>
          <w:szCs w:val="24"/>
          <w:lang w:val="en-US"/>
        </w:rPr>
      </w:pPr>
      <w:r w:rsidRPr="003D19AA">
        <w:rPr>
          <w:rFonts w:asciiTheme="minorHAnsi" w:hAnsiTheme="minorHAnsi" w:cstheme="minorHAnsi"/>
          <w:b/>
          <w:bCs/>
          <w:sz w:val="24"/>
          <w:szCs w:val="24"/>
          <w:lang w:val="en-US"/>
        </w:rPr>
        <w:t xml:space="preserve">AOI/PM </w:t>
      </w:r>
      <w:proofErr w:type="gramStart"/>
      <w:r w:rsidRPr="003D19AA">
        <w:rPr>
          <w:rFonts w:asciiTheme="minorHAnsi" w:hAnsiTheme="minorHAnsi" w:cstheme="minorHAnsi"/>
          <w:b/>
          <w:bCs/>
          <w:sz w:val="24"/>
          <w:szCs w:val="24"/>
          <w:lang w:val="en-US"/>
        </w:rPr>
        <w:t>No. :</w:t>
      </w:r>
      <w:proofErr w:type="gramEnd"/>
      <w:r w:rsidRPr="003D19AA">
        <w:rPr>
          <w:rFonts w:asciiTheme="minorHAnsi" w:hAnsiTheme="minorHAnsi" w:cstheme="minorHAnsi"/>
          <w:bCs/>
          <w:sz w:val="24"/>
          <w:szCs w:val="24"/>
          <w:lang w:val="en-US"/>
        </w:rPr>
        <w:t xml:space="preserve"> </w:t>
      </w:r>
      <w:r w:rsidR="00332380" w:rsidRPr="003D19AA">
        <w:rPr>
          <w:rFonts w:asciiTheme="minorHAnsi" w:hAnsiTheme="minorHAnsi" w:cstheme="minorHAnsi"/>
          <w:bCs/>
          <w:sz w:val="24"/>
          <w:szCs w:val="24"/>
          <w:lang w:val="en-US"/>
        </w:rPr>
        <w:t>Nº037/2022/MEA/OLAC/NIANIJA-BOLONG</w:t>
      </w:r>
    </w:p>
    <w:p w14:paraId="6E3F2607" w14:textId="07A2BE93" w:rsidR="0056235F" w:rsidRPr="003D19AA" w:rsidRDefault="0056235F" w:rsidP="008B4287">
      <w:pPr>
        <w:spacing w:before="240" w:after="240" w:line="276" w:lineRule="auto"/>
        <w:rPr>
          <w:rFonts w:asciiTheme="minorHAnsi" w:hAnsiTheme="minorHAnsi" w:cstheme="minorHAnsi"/>
          <w:bCs/>
          <w:sz w:val="24"/>
          <w:szCs w:val="24"/>
          <w:highlight w:val="yellow"/>
          <w:lang w:val="en-US"/>
        </w:rPr>
      </w:pPr>
      <w:r w:rsidRPr="003D19AA">
        <w:rPr>
          <w:rFonts w:asciiTheme="minorHAnsi" w:hAnsiTheme="minorHAnsi" w:cstheme="minorHAnsi"/>
          <w:bCs/>
          <w:sz w:val="24"/>
          <w:szCs w:val="24"/>
          <w:highlight w:val="yellow"/>
          <w:lang w:val="en-US"/>
        </w:rPr>
        <w:br w:type="page"/>
      </w:r>
    </w:p>
    <w:p w14:paraId="732E1D33" w14:textId="0B6C7CCE" w:rsidR="002B2B95" w:rsidRPr="00BD7983" w:rsidRDefault="00346326" w:rsidP="00BD7983">
      <w:pPr>
        <w:numPr>
          <w:ilvl w:val="0"/>
          <w:numId w:val="1"/>
        </w:numPr>
        <w:spacing w:before="120" w:after="120" w:line="276" w:lineRule="auto"/>
        <w:jc w:val="both"/>
        <w:rPr>
          <w:rFonts w:asciiTheme="minorHAnsi" w:hAnsiTheme="minorHAnsi" w:cstheme="minorHAnsi"/>
          <w:spacing w:val="-2"/>
          <w:sz w:val="24"/>
          <w:szCs w:val="24"/>
        </w:rPr>
      </w:pPr>
      <w:r w:rsidRPr="00BD7983">
        <w:rPr>
          <w:rFonts w:asciiTheme="minorHAnsi" w:hAnsiTheme="minorHAnsi" w:cstheme="minorHAnsi"/>
          <w:sz w:val="24"/>
          <w:szCs w:val="24"/>
        </w:rPr>
        <w:lastRenderedPageBreak/>
        <w:t>L</w:t>
      </w:r>
      <w:r w:rsidR="002B2B95" w:rsidRPr="00BD7983">
        <w:rPr>
          <w:rFonts w:asciiTheme="minorHAnsi" w:hAnsiTheme="minorHAnsi" w:cstheme="minorHAnsi"/>
          <w:sz w:val="24"/>
          <w:szCs w:val="24"/>
        </w:rPr>
        <w:t>’Etat du</w:t>
      </w:r>
      <w:r w:rsidRPr="00BD7983">
        <w:rPr>
          <w:rFonts w:asciiTheme="minorHAnsi" w:hAnsiTheme="minorHAnsi" w:cstheme="minorHAnsi"/>
          <w:sz w:val="24"/>
          <w:szCs w:val="24"/>
        </w:rPr>
        <w:t xml:space="preserve"> </w:t>
      </w:r>
      <w:r w:rsidR="006C22D0" w:rsidRPr="00BD7983">
        <w:rPr>
          <w:rFonts w:asciiTheme="minorHAnsi" w:hAnsiTheme="minorHAnsi" w:cstheme="minorHAnsi"/>
          <w:sz w:val="24"/>
          <w:szCs w:val="24"/>
        </w:rPr>
        <w:t>Sénégal</w:t>
      </w:r>
      <w:r w:rsidRPr="00BD7983">
        <w:rPr>
          <w:rFonts w:asciiTheme="minorHAnsi" w:hAnsiTheme="minorHAnsi" w:cstheme="minorHAnsi"/>
          <w:sz w:val="24"/>
          <w:szCs w:val="24"/>
        </w:rPr>
        <w:t xml:space="preserve"> </w:t>
      </w:r>
      <w:r w:rsidR="006C22D0" w:rsidRPr="00BD7983">
        <w:rPr>
          <w:rFonts w:asciiTheme="minorHAnsi" w:hAnsiTheme="minorHAnsi" w:cstheme="minorHAnsi"/>
          <w:sz w:val="24"/>
          <w:szCs w:val="24"/>
        </w:rPr>
        <w:t>a reçu</w:t>
      </w:r>
      <w:r w:rsidRPr="00BD7983">
        <w:rPr>
          <w:rFonts w:asciiTheme="minorHAnsi" w:hAnsiTheme="minorHAnsi" w:cstheme="minorHAnsi"/>
          <w:sz w:val="24"/>
          <w:szCs w:val="24"/>
        </w:rPr>
        <w:t xml:space="preserve"> un financement </w:t>
      </w:r>
      <w:r w:rsidR="00332380" w:rsidRPr="00BD7983">
        <w:rPr>
          <w:rFonts w:asciiTheme="minorHAnsi" w:hAnsiTheme="minorHAnsi" w:cstheme="minorHAnsi"/>
          <w:sz w:val="24"/>
          <w:szCs w:val="24"/>
        </w:rPr>
        <w:t>au</w:t>
      </w:r>
      <w:r w:rsidR="00332380">
        <w:rPr>
          <w:rFonts w:asciiTheme="minorHAnsi" w:hAnsiTheme="minorHAnsi" w:cstheme="minorHAnsi"/>
          <w:sz w:val="24"/>
          <w:szCs w:val="24"/>
        </w:rPr>
        <w:t>p</w:t>
      </w:r>
      <w:r w:rsidR="00332380" w:rsidRPr="00BD7983">
        <w:rPr>
          <w:rFonts w:asciiTheme="minorHAnsi" w:hAnsiTheme="minorHAnsi" w:cstheme="minorHAnsi"/>
          <w:sz w:val="24"/>
          <w:szCs w:val="24"/>
        </w:rPr>
        <w:t>rès</w:t>
      </w:r>
      <w:r w:rsidR="002B2B95" w:rsidRPr="00BD7983">
        <w:rPr>
          <w:rFonts w:asciiTheme="minorHAnsi" w:hAnsiTheme="minorHAnsi" w:cstheme="minorHAnsi"/>
          <w:sz w:val="24"/>
          <w:szCs w:val="24"/>
        </w:rPr>
        <w:t xml:space="preserve"> d</w:t>
      </w:r>
      <w:r w:rsidRPr="00BD7983">
        <w:rPr>
          <w:rFonts w:asciiTheme="minorHAnsi" w:hAnsiTheme="minorHAnsi" w:cstheme="minorHAnsi"/>
          <w:sz w:val="24"/>
          <w:szCs w:val="24"/>
        </w:rPr>
        <w:t>e la Banque Islamique de Développement (BIsD) pour financer</w:t>
      </w:r>
      <w:r w:rsidR="000134F1" w:rsidRPr="00BD7983">
        <w:rPr>
          <w:rFonts w:asciiTheme="minorHAnsi" w:hAnsiTheme="minorHAnsi" w:cstheme="minorHAnsi"/>
          <w:sz w:val="24"/>
          <w:szCs w:val="24"/>
        </w:rPr>
        <w:t xml:space="preserve"> </w:t>
      </w:r>
      <w:r w:rsidR="002B2B95" w:rsidRPr="00BD7983">
        <w:rPr>
          <w:rFonts w:asciiTheme="minorHAnsi" w:hAnsiTheme="minorHAnsi" w:cstheme="minorHAnsi"/>
          <w:sz w:val="24"/>
          <w:szCs w:val="24"/>
        </w:rPr>
        <w:t>le coût du</w:t>
      </w:r>
      <w:r w:rsidR="000134F1" w:rsidRPr="00BD7983">
        <w:rPr>
          <w:rFonts w:asciiTheme="minorHAnsi" w:hAnsiTheme="minorHAnsi" w:cstheme="minorHAnsi"/>
          <w:sz w:val="24"/>
          <w:szCs w:val="24"/>
        </w:rPr>
        <w:t xml:space="preserve"> </w:t>
      </w:r>
      <w:r w:rsidR="002B2B95" w:rsidRPr="00BD7983">
        <w:rPr>
          <w:rFonts w:asciiTheme="minorHAnsi" w:hAnsiTheme="minorHAnsi" w:cstheme="minorHAnsi"/>
          <w:color w:val="000000"/>
          <w:sz w:val="24"/>
          <w:szCs w:val="24"/>
        </w:rPr>
        <w:t>Projet de mobilisation des ressources en eau du Nanija Bolong</w:t>
      </w:r>
      <w:r w:rsidRPr="00BD7983">
        <w:rPr>
          <w:rFonts w:asciiTheme="minorHAnsi" w:hAnsiTheme="minorHAnsi" w:cstheme="minorHAnsi"/>
          <w:sz w:val="24"/>
          <w:szCs w:val="24"/>
        </w:rPr>
        <w:t xml:space="preserve">, et </w:t>
      </w:r>
      <w:r w:rsidR="002B2B95" w:rsidRPr="00BD7983">
        <w:rPr>
          <w:rFonts w:asciiTheme="minorHAnsi" w:hAnsiTheme="minorHAnsi" w:cstheme="minorHAnsi"/>
          <w:sz w:val="24"/>
          <w:szCs w:val="24"/>
        </w:rPr>
        <w:t>entend affecter</w:t>
      </w:r>
      <w:r w:rsidRPr="00BD7983">
        <w:rPr>
          <w:rFonts w:asciiTheme="minorHAnsi" w:hAnsiTheme="minorHAnsi" w:cstheme="minorHAnsi"/>
          <w:sz w:val="24"/>
          <w:szCs w:val="24"/>
        </w:rPr>
        <w:t xml:space="preserve"> une partie </w:t>
      </w:r>
      <w:r w:rsidR="002B2B95" w:rsidRPr="00BD7983">
        <w:rPr>
          <w:rFonts w:asciiTheme="minorHAnsi" w:hAnsiTheme="minorHAnsi" w:cstheme="minorHAnsi"/>
          <w:sz w:val="24"/>
          <w:szCs w:val="24"/>
        </w:rPr>
        <w:t xml:space="preserve">du produit </w:t>
      </w:r>
      <w:r w:rsidRPr="00BD7983">
        <w:rPr>
          <w:rFonts w:asciiTheme="minorHAnsi" w:hAnsiTheme="minorHAnsi" w:cstheme="minorHAnsi"/>
          <w:sz w:val="24"/>
          <w:szCs w:val="24"/>
        </w:rPr>
        <w:t xml:space="preserve">de ce financement </w:t>
      </w:r>
      <w:r w:rsidR="002B2B95" w:rsidRPr="00BD7983">
        <w:rPr>
          <w:rFonts w:asciiTheme="minorHAnsi" w:hAnsiTheme="minorHAnsi" w:cstheme="minorHAnsi"/>
          <w:spacing w:val="-2"/>
          <w:sz w:val="24"/>
          <w:szCs w:val="24"/>
        </w:rPr>
        <w:t>aux paiements relatifs au marché pour les Travaux de mobilisation des ressources en eau du bassin versant du Nanija Bolong.</w:t>
      </w:r>
    </w:p>
    <w:p w14:paraId="3764DBD9" w14:textId="7B05B633" w:rsidR="002B2B95" w:rsidRPr="00BD7983" w:rsidRDefault="002B2B95" w:rsidP="00BD7983">
      <w:pPr>
        <w:spacing w:before="120" w:after="120" w:line="276" w:lineRule="auto"/>
        <w:ind w:left="72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 xml:space="preserve">L’OLAC entend pré-qualifier des entrepreneurs et/ou des sociétés pour réaliser les travaux suivants regroupés en deux (02) lots : </w:t>
      </w:r>
    </w:p>
    <w:p w14:paraId="3352E462" w14:textId="77777777" w:rsidR="002B2B95" w:rsidRPr="00BD7983" w:rsidRDefault="002B2B95" w:rsidP="00BD7983">
      <w:pPr>
        <w:spacing w:before="360" w:after="120" w:line="276" w:lineRule="auto"/>
        <w:ind w:left="72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Lot 1 : Travaux d’aménagement du Bassin versant du Nanija Bolong Bas de Koungheul à Sam Pathé Wilane ;</w:t>
      </w:r>
    </w:p>
    <w:p w14:paraId="0E104132" w14:textId="12DD6AFB"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Etudes et investigations complémentaires ;</w:t>
      </w:r>
    </w:p>
    <w:p w14:paraId="20A1DA7B" w14:textId="2E55EAB6"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Préparation et terrassements généraux ;</w:t>
      </w:r>
    </w:p>
    <w:p w14:paraId="7C4766D0" w14:textId="0CA55F88"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Réhabilitation d'ouvrages (Koumbidia Socé ; Saly Escale ; Pakala ; Sam Pathé Wilane) ;</w:t>
      </w:r>
    </w:p>
    <w:p w14:paraId="5A403A5D" w14:textId="0035FA69"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Construction d’ouvrage hydraulique et de franchissement ;</w:t>
      </w:r>
    </w:p>
    <w:p w14:paraId="6D0BE4EA" w14:textId="48DF2E42"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Aménagement des dépressions (branche de Co Socé et des dépression n° 1,2,3,4) ;</w:t>
      </w:r>
    </w:p>
    <w:p w14:paraId="7C59CAC2" w14:textId="05580BF7"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 xml:space="preserve">Fourniture et pose de matériel d'exploitation et de gestion ; </w:t>
      </w:r>
    </w:p>
    <w:p w14:paraId="1BC46818" w14:textId="77777777" w:rsidR="002B2B95" w:rsidRPr="00BD7983" w:rsidRDefault="002B2B95" w:rsidP="00BD7983">
      <w:pPr>
        <w:spacing w:before="360" w:after="120" w:line="276" w:lineRule="auto"/>
        <w:ind w:left="72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Lot 2 : Travaux d’aménagement du Bassin versant du Nanija Bolong haut - en amont de Koungheul ;</w:t>
      </w:r>
    </w:p>
    <w:p w14:paraId="58DA1EAF" w14:textId="5441C98D"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Etudes et investigations complémentaires ;</w:t>
      </w:r>
    </w:p>
    <w:p w14:paraId="42D801BB" w14:textId="35B03284"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Préparation et terrassements généraux ;</w:t>
      </w:r>
    </w:p>
    <w:p w14:paraId="39573A24" w14:textId="1C1CC94B" w:rsidR="002B2B95" w:rsidRPr="00BD7983" w:rsidRDefault="002B2B95" w:rsidP="00BD7983">
      <w:pPr>
        <w:pStyle w:val="Paragraphedeliste"/>
        <w:numPr>
          <w:ilvl w:val="0"/>
          <w:numId w:val="5"/>
        </w:numPr>
        <w:spacing w:before="120" w:after="120" w:line="276" w:lineRule="auto"/>
        <w:ind w:left="1588" w:hanging="397"/>
        <w:contextualSpacing w:val="0"/>
        <w:jc w:val="both"/>
        <w:rPr>
          <w:rFonts w:asciiTheme="minorHAnsi" w:hAnsiTheme="minorHAnsi" w:cstheme="minorHAnsi"/>
          <w:spacing w:val="-2"/>
          <w:sz w:val="24"/>
          <w:szCs w:val="24"/>
        </w:rPr>
      </w:pPr>
      <w:r w:rsidRPr="00BD7983">
        <w:rPr>
          <w:rFonts w:asciiTheme="minorHAnsi" w:hAnsiTheme="minorHAnsi" w:cstheme="minorHAnsi"/>
          <w:spacing w:val="-2"/>
          <w:sz w:val="24"/>
          <w:szCs w:val="24"/>
        </w:rPr>
        <w:t>Construction d’ouvrage h</w:t>
      </w:r>
      <w:r w:rsidR="00120A46">
        <w:rPr>
          <w:rFonts w:asciiTheme="minorHAnsi" w:hAnsiTheme="minorHAnsi" w:cstheme="minorHAnsi"/>
          <w:spacing w:val="-2"/>
          <w:sz w:val="24"/>
          <w:szCs w:val="24"/>
        </w:rPr>
        <w:t>ydraulique et de franchissement</w:t>
      </w:r>
      <w:r w:rsidRPr="00BD7983">
        <w:rPr>
          <w:rFonts w:asciiTheme="minorHAnsi" w:hAnsiTheme="minorHAnsi" w:cstheme="minorHAnsi"/>
          <w:spacing w:val="-2"/>
          <w:sz w:val="24"/>
          <w:szCs w:val="24"/>
        </w:rPr>
        <w:t>.</w:t>
      </w:r>
    </w:p>
    <w:p w14:paraId="22079313" w14:textId="54D292EA" w:rsidR="00346326" w:rsidRPr="00BD7983" w:rsidRDefault="002B2B95" w:rsidP="00BD7983">
      <w:pPr>
        <w:spacing w:before="360" w:after="120" w:line="276" w:lineRule="auto"/>
        <w:ind w:left="720"/>
        <w:jc w:val="both"/>
        <w:rPr>
          <w:rFonts w:asciiTheme="minorHAnsi" w:hAnsiTheme="minorHAnsi" w:cstheme="minorHAnsi"/>
          <w:sz w:val="24"/>
          <w:szCs w:val="24"/>
        </w:rPr>
      </w:pPr>
      <w:r w:rsidRPr="00BD7983">
        <w:rPr>
          <w:rFonts w:asciiTheme="minorHAnsi" w:hAnsiTheme="minorHAnsi" w:cstheme="minorHAnsi"/>
          <w:spacing w:val="-2"/>
          <w:sz w:val="24"/>
          <w:szCs w:val="24"/>
        </w:rPr>
        <w:t xml:space="preserve">Les invitations à soumissionner devraient être lancées en </w:t>
      </w:r>
      <w:r w:rsidR="00120A46">
        <w:rPr>
          <w:rFonts w:asciiTheme="minorHAnsi" w:hAnsiTheme="minorHAnsi" w:cstheme="minorHAnsi"/>
          <w:spacing w:val="-2"/>
          <w:sz w:val="24"/>
          <w:szCs w:val="24"/>
        </w:rPr>
        <w:t>Novembre 2022.</w:t>
      </w:r>
    </w:p>
    <w:p w14:paraId="19B17659" w14:textId="7DCF4D23" w:rsidR="002B2B95" w:rsidRPr="00BD7983" w:rsidRDefault="002B2B95" w:rsidP="00BD7983">
      <w:pPr>
        <w:pStyle w:val="BankNormal"/>
        <w:numPr>
          <w:ilvl w:val="0"/>
          <w:numId w:val="1"/>
        </w:numPr>
        <w:spacing w:before="360" w:after="120" w:line="276" w:lineRule="auto"/>
        <w:jc w:val="both"/>
        <w:rPr>
          <w:rFonts w:asciiTheme="minorHAnsi" w:hAnsiTheme="minorHAnsi" w:cstheme="minorHAnsi"/>
          <w:spacing w:val="-2"/>
          <w:szCs w:val="24"/>
          <w:lang w:val="fr-FR"/>
        </w:rPr>
      </w:pPr>
      <w:r w:rsidRPr="00BD7983">
        <w:rPr>
          <w:rFonts w:asciiTheme="minorHAnsi" w:hAnsiTheme="minorHAnsi" w:cstheme="minorHAnsi"/>
          <w:spacing w:val="-2"/>
          <w:szCs w:val="24"/>
          <w:lang w:val="fr-FR"/>
        </w:rPr>
        <w:t xml:space="preserve">La </w:t>
      </w:r>
      <w:r w:rsidR="003D19AA" w:rsidRPr="00BD7983">
        <w:rPr>
          <w:rFonts w:asciiTheme="minorHAnsi" w:hAnsiTheme="minorHAnsi" w:cstheme="minorHAnsi"/>
          <w:spacing w:val="-2"/>
          <w:szCs w:val="24"/>
          <w:lang w:val="fr-FR"/>
        </w:rPr>
        <w:t>préqualification</w:t>
      </w:r>
      <w:r w:rsidRPr="00BD7983">
        <w:rPr>
          <w:rFonts w:asciiTheme="minorHAnsi" w:hAnsiTheme="minorHAnsi" w:cstheme="minorHAnsi"/>
          <w:spacing w:val="-2"/>
          <w:szCs w:val="24"/>
          <w:lang w:val="fr-FR"/>
        </w:rPr>
        <w:t xml:space="preserve"> se déroulera conformément aux procédures de </w:t>
      </w:r>
      <w:r w:rsidR="003D19AA" w:rsidRPr="00BD7983">
        <w:rPr>
          <w:rFonts w:asciiTheme="minorHAnsi" w:hAnsiTheme="minorHAnsi" w:cstheme="minorHAnsi"/>
          <w:spacing w:val="-2"/>
          <w:szCs w:val="24"/>
          <w:lang w:val="fr-FR"/>
        </w:rPr>
        <w:t>préqualification</w:t>
      </w:r>
      <w:r w:rsidRPr="00BD7983">
        <w:rPr>
          <w:rFonts w:asciiTheme="minorHAnsi" w:hAnsiTheme="minorHAnsi" w:cstheme="minorHAnsi"/>
          <w:spacing w:val="-2"/>
          <w:szCs w:val="24"/>
          <w:lang w:val="fr-FR"/>
        </w:rPr>
        <w:t xml:space="preserve"> spécifiées dans les </w:t>
      </w:r>
      <w:r w:rsidRPr="00BD7983">
        <w:rPr>
          <w:rFonts w:asciiTheme="minorHAnsi" w:hAnsiTheme="minorHAnsi" w:cstheme="minorHAnsi"/>
          <w:szCs w:val="24"/>
          <w:lang w:val="fr-FR"/>
        </w:rPr>
        <w:t xml:space="preserve">Directives pour l’acquisition de Biens, Travaux et Services connexes dans le cadre de Projets financés par la BIsD, </w:t>
      </w:r>
      <w:r w:rsidR="00120A46">
        <w:rPr>
          <w:rFonts w:asciiTheme="minorHAnsi" w:hAnsiTheme="minorHAnsi" w:cstheme="minorHAnsi"/>
          <w:szCs w:val="24"/>
          <w:lang w:val="fr-FR"/>
        </w:rPr>
        <w:t>Avril 2019</w:t>
      </w:r>
      <w:r w:rsidRPr="00BD7983">
        <w:rPr>
          <w:rFonts w:asciiTheme="minorHAnsi" w:hAnsiTheme="minorHAnsi" w:cstheme="minorHAnsi"/>
          <w:szCs w:val="24"/>
          <w:lang w:val="fr-FR"/>
        </w:rPr>
        <w:t>, (les « Directives »),</w:t>
      </w:r>
      <w:r w:rsidRPr="00BD7983">
        <w:rPr>
          <w:rFonts w:asciiTheme="minorHAnsi" w:hAnsiTheme="minorHAnsi" w:cstheme="minorHAnsi"/>
          <w:spacing w:val="-2"/>
          <w:szCs w:val="24"/>
          <w:lang w:val="fr-FR"/>
        </w:rPr>
        <w:t xml:space="preserve"> elle est ouverte à tous les candidats des pays qui répondent aux critères de provenance, tels que définis dans les Directives.</w:t>
      </w:r>
    </w:p>
    <w:p w14:paraId="4F9F996C" w14:textId="7A30B44B" w:rsidR="002B2B95" w:rsidRPr="00BD7983" w:rsidRDefault="002B2B95" w:rsidP="00BD7983">
      <w:pPr>
        <w:pStyle w:val="BankNormal"/>
        <w:numPr>
          <w:ilvl w:val="0"/>
          <w:numId w:val="1"/>
        </w:numPr>
        <w:spacing w:before="360" w:after="120" w:line="276" w:lineRule="auto"/>
        <w:jc w:val="both"/>
        <w:rPr>
          <w:rFonts w:asciiTheme="minorHAnsi" w:hAnsiTheme="minorHAnsi" w:cstheme="minorHAnsi"/>
          <w:spacing w:val="-2"/>
          <w:szCs w:val="24"/>
          <w:lang w:val="fr-FR"/>
        </w:rPr>
      </w:pPr>
      <w:r w:rsidRPr="00BD7983">
        <w:rPr>
          <w:rFonts w:asciiTheme="minorHAnsi" w:hAnsiTheme="minorHAnsi" w:cstheme="minorHAnsi"/>
          <w:spacing w:val="-2"/>
          <w:szCs w:val="24"/>
          <w:lang w:val="fr-FR"/>
        </w:rPr>
        <w:t xml:space="preserve">Les candidats intéressés admissibles peuvent obtenir de plus amples renseignements et consulter le document de </w:t>
      </w:r>
      <w:r w:rsidR="003D19AA" w:rsidRPr="00BD7983">
        <w:rPr>
          <w:rFonts w:asciiTheme="minorHAnsi" w:hAnsiTheme="minorHAnsi" w:cstheme="minorHAnsi"/>
          <w:spacing w:val="-2"/>
          <w:szCs w:val="24"/>
          <w:lang w:val="fr-FR"/>
        </w:rPr>
        <w:t>préqualification</w:t>
      </w:r>
      <w:r w:rsidRPr="00BD7983">
        <w:rPr>
          <w:rFonts w:asciiTheme="minorHAnsi" w:hAnsiTheme="minorHAnsi" w:cstheme="minorHAnsi"/>
          <w:spacing w:val="-2"/>
          <w:szCs w:val="24"/>
          <w:lang w:val="fr-FR"/>
        </w:rPr>
        <w:t xml:space="preserve"> auprès de l’OLAC (dont l’adresse figure ci-après).</w:t>
      </w:r>
    </w:p>
    <w:p w14:paraId="25BFB620" w14:textId="1FA2312A" w:rsidR="002B2B95" w:rsidRPr="00920636" w:rsidRDefault="002B2B95" w:rsidP="00BD7983">
      <w:pPr>
        <w:pStyle w:val="BankNormal"/>
        <w:numPr>
          <w:ilvl w:val="0"/>
          <w:numId w:val="1"/>
        </w:numPr>
        <w:spacing w:before="360" w:after="120" w:line="276" w:lineRule="auto"/>
        <w:jc w:val="both"/>
        <w:rPr>
          <w:rFonts w:asciiTheme="minorHAnsi" w:hAnsiTheme="minorHAnsi" w:cstheme="minorHAnsi"/>
          <w:spacing w:val="-2"/>
          <w:szCs w:val="24"/>
          <w:lang w:val="fr-FR"/>
        </w:rPr>
      </w:pPr>
      <w:r w:rsidRPr="00BD7983">
        <w:rPr>
          <w:rFonts w:asciiTheme="minorHAnsi" w:hAnsiTheme="minorHAnsi" w:cstheme="minorHAnsi"/>
          <w:spacing w:val="-2"/>
          <w:szCs w:val="24"/>
          <w:lang w:val="fr-FR"/>
        </w:rPr>
        <w:lastRenderedPageBreak/>
        <w:t xml:space="preserve">Les candidats intéressés peuvent acheter un jeu complet du document de </w:t>
      </w:r>
      <w:r w:rsidR="003D19AA" w:rsidRPr="00BD7983">
        <w:rPr>
          <w:rFonts w:asciiTheme="minorHAnsi" w:hAnsiTheme="minorHAnsi" w:cstheme="minorHAnsi"/>
          <w:spacing w:val="-2"/>
          <w:szCs w:val="24"/>
          <w:lang w:val="fr-FR"/>
        </w:rPr>
        <w:t>préqualification</w:t>
      </w:r>
      <w:r w:rsidRPr="00BD7983">
        <w:rPr>
          <w:rFonts w:asciiTheme="minorHAnsi" w:hAnsiTheme="minorHAnsi" w:cstheme="minorHAnsi"/>
          <w:spacing w:val="-2"/>
          <w:szCs w:val="24"/>
          <w:lang w:val="fr-FR"/>
        </w:rPr>
        <w:t xml:space="preserve"> en Français en faisant la demande écrite à l’adresse indiquée ci-après accompagnée du versement non remboursable de 100 000 F CFA</w:t>
      </w:r>
      <w:r w:rsidR="00BD7983">
        <w:rPr>
          <w:rFonts w:asciiTheme="minorHAnsi" w:hAnsiTheme="minorHAnsi" w:cstheme="minorHAnsi"/>
          <w:spacing w:val="-2"/>
          <w:szCs w:val="24"/>
          <w:lang w:val="fr-FR"/>
        </w:rPr>
        <w:t xml:space="preserve"> </w:t>
      </w:r>
      <w:r w:rsidRPr="00BD7983">
        <w:rPr>
          <w:rFonts w:asciiTheme="minorHAnsi" w:hAnsiTheme="minorHAnsi" w:cstheme="minorHAnsi"/>
          <w:spacing w:val="-2"/>
          <w:szCs w:val="24"/>
          <w:lang w:val="fr-FR"/>
        </w:rPr>
        <w:t xml:space="preserve">(cent mille franc CFA). </w:t>
      </w:r>
      <w:r w:rsidRPr="0056235F">
        <w:rPr>
          <w:rFonts w:asciiTheme="minorHAnsi" w:hAnsiTheme="minorHAnsi" w:cstheme="minorHAnsi"/>
          <w:spacing w:val="-2"/>
          <w:szCs w:val="24"/>
          <w:lang w:val="fr-FR"/>
        </w:rPr>
        <w:t xml:space="preserve">La méthode de paiement sera en </w:t>
      </w:r>
      <w:r w:rsidR="00120A46" w:rsidRPr="0056235F">
        <w:rPr>
          <w:rFonts w:asciiTheme="minorHAnsi" w:hAnsiTheme="minorHAnsi" w:cstheme="minorHAnsi"/>
          <w:spacing w:val="-2"/>
          <w:szCs w:val="24"/>
          <w:lang w:val="fr-FR"/>
        </w:rPr>
        <w:t>espèce</w:t>
      </w:r>
      <w:r w:rsidRPr="0056235F">
        <w:rPr>
          <w:rFonts w:asciiTheme="minorHAnsi" w:hAnsiTheme="minorHAnsi" w:cstheme="minorHAnsi"/>
          <w:spacing w:val="-2"/>
          <w:szCs w:val="24"/>
          <w:lang w:val="fr-FR"/>
        </w:rPr>
        <w:t xml:space="preserve">. Le document sera adressé par courrier électronique ou physique avec accusé de réception.  Les documents peuvent également être achetés électroniquement conformément aux procédures décrites dans l’Annexe au présent Avis de </w:t>
      </w:r>
      <w:r w:rsidR="003D19AA" w:rsidRPr="0056235F">
        <w:rPr>
          <w:rFonts w:asciiTheme="minorHAnsi" w:hAnsiTheme="minorHAnsi" w:cstheme="minorHAnsi"/>
          <w:spacing w:val="-2"/>
          <w:szCs w:val="24"/>
          <w:lang w:val="fr-FR"/>
        </w:rPr>
        <w:t>préqualification</w:t>
      </w:r>
      <w:r w:rsidR="00920636" w:rsidRPr="0056235F">
        <w:rPr>
          <w:rFonts w:asciiTheme="minorHAnsi" w:hAnsiTheme="minorHAnsi" w:cstheme="minorHAnsi"/>
          <w:spacing w:val="-2"/>
          <w:szCs w:val="24"/>
          <w:lang w:val="fr-FR"/>
        </w:rPr>
        <w:t xml:space="preserve"> »</w:t>
      </w:r>
      <w:r w:rsidR="00CC14AE">
        <w:rPr>
          <w:rFonts w:asciiTheme="minorHAnsi" w:hAnsiTheme="minorHAnsi" w:cstheme="minorHAnsi"/>
          <w:spacing w:val="-2"/>
          <w:szCs w:val="24"/>
          <w:lang w:val="fr-FR"/>
        </w:rPr>
        <w:t>,</w:t>
      </w:r>
      <w:r w:rsidRPr="0056235F">
        <w:rPr>
          <w:rFonts w:asciiTheme="minorHAnsi" w:hAnsiTheme="minorHAnsi" w:cstheme="minorHAnsi"/>
          <w:spacing w:val="-2"/>
          <w:szCs w:val="24"/>
          <w:lang w:val="fr-FR"/>
        </w:rPr>
        <w:t xml:space="preserve"> si l’achat et le dépôt électroniques sont des </w:t>
      </w:r>
      <w:r w:rsidRPr="00920636">
        <w:rPr>
          <w:rFonts w:asciiTheme="minorHAnsi" w:hAnsiTheme="minorHAnsi" w:cstheme="minorHAnsi"/>
          <w:spacing w:val="-2"/>
          <w:szCs w:val="24"/>
          <w:lang w:val="fr-FR"/>
        </w:rPr>
        <w:t>options prévues.</w:t>
      </w:r>
    </w:p>
    <w:p w14:paraId="1728D9E4" w14:textId="210EA11F" w:rsidR="002B2B95" w:rsidRPr="00920636" w:rsidRDefault="002B2B95" w:rsidP="00920636">
      <w:pPr>
        <w:pStyle w:val="Paragraphedeliste"/>
        <w:numPr>
          <w:ilvl w:val="0"/>
          <w:numId w:val="1"/>
        </w:numPr>
        <w:spacing w:before="120" w:after="120" w:line="276" w:lineRule="auto"/>
        <w:contextualSpacing w:val="0"/>
        <w:jc w:val="both"/>
        <w:rPr>
          <w:rFonts w:asciiTheme="minorHAnsi" w:hAnsiTheme="minorHAnsi" w:cstheme="minorHAnsi"/>
          <w:sz w:val="24"/>
          <w:szCs w:val="24"/>
        </w:rPr>
      </w:pPr>
      <w:r w:rsidRPr="00920636">
        <w:rPr>
          <w:rFonts w:asciiTheme="minorHAnsi" w:hAnsiTheme="minorHAnsi" w:cstheme="minorHAnsi"/>
          <w:spacing w:val="-2"/>
          <w:sz w:val="24"/>
          <w:szCs w:val="24"/>
        </w:rPr>
        <w:t xml:space="preserve">Les dossiers de candidature pour la </w:t>
      </w:r>
      <w:r w:rsidR="003D19AA" w:rsidRPr="00920636">
        <w:rPr>
          <w:rFonts w:asciiTheme="minorHAnsi" w:hAnsiTheme="minorHAnsi" w:cstheme="minorHAnsi"/>
          <w:spacing w:val="-2"/>
          <w:sz w:val="24"/>
          <w:szCs w:val="24"/>
        </w:rPr>
        <w:t>préqualification</w:t>
      </w:r>
      <w:r w:rsidRPr="00920636">
        <w:rPr>
          <w:rFonts w:asciiTheme="minorHAnsi" w:hAnsiTheme="minorHAnsi" w:cstheme="minorHAnsi"/>
          <w:spacing w:val="-2"/>
          <w:sz w:val="24"/>
          <w:szCs w:val="24"/>
        </w:rPr>
        <w:t xml:space="preserve"> doivent être déposés sous enveloppe cachetée délivrée </w:t>
      </w:r>
      <w:r w:rsidR="00CC14AE" w:rsidRPr="00920636">
        <w:rPr>
          <w:rFonts w:asciiTheme="minorHAnsi" w:hAnsiTheme="minorHAnsi" w:cstheme="minorHAnsi"/>
          <w:spacing w:val="-2"/>
          <w:sz w:val="24"/>
          <w:szCs w:val="24"/>
        </w:rPr>
        <w:t>au plu</w:t>
      </w:r>
      <w:r w:rsidR="00920636">
        <w:rPr>
          <w:rFonts w:asciiTheme="minorHAnsi" w:hAnsiTheme="minorHAnsi" w:cstheme="minorHAnsi"/>
          <w:spacing w:val="-2"/>
          <w:sz w:val="24"/>
          <w:szCs w:val="24"/>
        </w:rPr>
        <w:t xml:space="preserve">s </w:t>
      </w:r>
      <w:r w:rsidR="00CC14AE" w:rsidRPr="00920636">
        <w:rPr>
          <w:rFonts w:asciiTheme="minorHAnsi" w:hAnsiTheme="minorHAnsi" w:cstheme="minorHAnsi"/>
          <w:spacing w:val="-2"/>
          <w:sz w:val="24"/>
          <w:szCs w:val="24"/>
        </w:rPr>
        <w:t>tard le</w:t>
      </w:r>
      <w:r w:rsidRPr="00920636">
        <w:rPr>
          <w:rFonts w:asciiTheme="minorHAnsi" w:hAnsiTheme="minorHAnsi" w:cstheme="minorHAnsi"/>
          <w:spacing w:val="-2"/>
          <w:sz w:val="24"/>
          <w:szCs w:val="24"/>
        </w:rPr>
        <w:t xml:space="preserve"> </w:t>
      </w:r>
      <w:r w:rsidR="00CC14AE" w:rsidRPr="00920636">
        <w:rPr>
          <w:rFonts w:asciiTheme="minorHAnsi" w:hAnsiTheme="minorHAnsi" w:cstheme="minorHAnsi"/>
          <w:b/>
          <w:spacing w:val="-2"/>
          <w:sz w:val="24"/>
          <w:szCs w:val="24"/>
        </w:rPr>
        <w:t>13 octobre 2022 à 10 heures</w:t>
      </w:r>
      <w:r w:rsidR="00CC14AE" w:rsidRPr="00920636">
        <w:rPr>
          <w:rFonts w:asciiTheme="minorHAnsi" w:hAnsiTheme="minorHAnsi" w:cstheme="minorHAnsi"/>
          <w:spacing w:val="-2"/>
          <w:sz w:val="24"/>
          <w:szCs w:val="24"/>
        </w:rPr>
        <w:t xml:space="preserve"> GMT précises</w:t>
      </w:r>
      <w:r w:rsidRPr="00920636">
        <w:rPr>
          <w:rFonts w:asciiTheme="minorHAnsi" w:hAnsiTheme="minorHAnsi" w:cstheme="minorHAnsi"/>
          <w:spacing w:val="-2"/>
          <w:sz w:val="24"/>
          <w:szCs w:val="24"/>
        </w:rPr>
        <w:t xml:space="preserve">, </w:t>
      </w:r>
      <w:r w:rsidR="00CC14AE" w:rsidRPr="00920636">
        <w:rPr>
          <w:rFonts w:asciiTheme="minorHAnsi" w:hAnsiTheme="minorHAnsi" w:cstheme="minorHAnsi"/>
          <w:spacing w:val="-2"/>
          <w:sz w:val="24"/>
          <w:szCs w:val="24"/>
        </w:rPr>
        <w:t xml:space="preserve">à la Cellule de Passation des Marchés de l’Office des Lacs et Cours d’Eau, Km 9, route de l’université Gaston Berger de Saint-Louis- Sénégal </w:t>
      </w:r>
      <w:r w:rsidRPr="00920636">
        <w:rPr>
          <w:rFonts w:asciiTheme="minorHAnsi" w:hAnsiTheme="minorHAnsi" w:cstheme="minorHAnsi"/>
          <w:spacing w:val="-2"/>
          <w:sz w:val="24"/>
          <w:szCs w:val="24"/>
        </w:rPr>
        <w:t xml:space="preserve">et doivent être clairement marquées « Candidature de </w:t>
      </w:r>
      <w:r w:rsidR="003D19AA" w:rsidRPr="00920636">
        <w:rPr>
          <w:rFonts w:asciiTheme="minorHAnsi" w:hAnsiTheme="minorHAnsi" w:cstheme="minorHAnsi"/>
          <w:spacing w:val="-2"/>
          <w:sz w:val="24"/>
          <w:szCs w:val="24"/>
        </w:rPr>
        <w:t>préqualification</w:t>
      </w:r>
      <w:r w:rsidRPr="00920636">
        <w:rPr>
          <w:rFonts w:asciiTheme="minorHAnsi" w:hAnsiTheme="minorHAnsi" w:cstheme="minorHAnsi"/>
          <w:spacing w:val="-2"/>
          <w:sz w:val="24"/>
          <w:szCs w:val="24"/>
        </w:rPr>
        <w:t xml:space="preserve"> pour le </w:t>
      </w:r>
      <w:r w:rsidR="00920636" w:rsidRPr="00920636">
        <w:rPr>
          <w:rFonts w:asciiTheme="minorHAnsi" w:hAnsiTheme="minorHAnsi" w:cstheme="minorHAnsi"/>
          <w:spacing w:val="-2"/>
          <w:sz w:val="24"/>
          <w:szCs w:val="24"/>
        </w:rPr>
        <w:t>-Projet de mobilisation des ressources en eau du Nianija Bolong SN1045_</w:t>
      </w:r>
      <w:r w:rsidR="00920636" w:rsidRPr="00920636">
        <w:t xml:space="preserve"> </w:t>
      </w:r>
      <w:r w:rsidR="003D19AA" w:rsidRPr="00920636">
        <w:rPr>
          <w:rFonts w:asciiTheme="minorHAnsi" w:hAnsiTheme="minorHAnsi" w:cstheme="minorHAnsi"/>
          <w:spacing w:val="-2"/>
          <w:sz w:val="24"/>
          <w:szCs w:val="24"/>
        </w:rPr>
        <w:t>Préqualification</w:t>
      </w:r>
      <w:r w:rsidR="00920636" w:rsidRPr="00920636">
        <w:rPr>
          <w:rFonts w:asciiTheme="minorHAnsi" w:hAnsiTheme="minorHAnsi" w:cstheme="minorHAnsi"/>
          <w:spacing w:val="-2"/>
          <w:sz w:val="24"/>
          <w:szCs w:val="24"/>
        </w:rPr>
        <w:t xml:space="preserve"> Nº037/2022/MEA/OLAC/NIANIJA-BOLONG.</w:t>
      </w:r>
    </w:p>
    <w:p w14:paraId="694D7E7E" w14:textId="77777777" w:rsidR="003D19AA" w:rsidRDefault="003D19AA" w:rsidP="003D19AA">
      <w:pPr>
        <w:jc w:val="right"/>
        <w:rPr>
          <w:rFonts w:ascii="Calibri" w:hAnsi="Calibri" w:cs="Arial"/>
          <w:b/>
          <w:sz w:val="24"/>
          <w:szCs w:val="24"/>
        </w:rPr>
      </w:pPr>
    </w:p>
    <w:p w14:paraId="7E50DC1F" w14:textId="6601ACC2" w:rsidR="00920636" w:rsidRPr="006B5FB4" w:rsidRDefault="00920636" w:rsidP="00015C1E">
      <w:pPr>
        <w:spacing w:line="276" w:lineRule="auto"/>
        <w:jc w:val="right"/>
        <w:rPr>
          <w:rFonts w:ascii="Calibri" w:hAnsi="Calibri" w:cs="Arial"/>
          <w:sz w:val="24"/>
          <w:szCs w:val="24"/>
        </w:rPr>
      </w:pPr>
      <w:r w:rsidRPr="006B5FB4">
        <w:rPr>
          <w:rFonts w:ascii="Calibri" w:hAnsi="Calibri" w:cs="Arial"/>
          <w:b/>
          <w:sz w:val="24"/>
          <w:szCs w:val="24"/>
        </w:rPr>
        <w:t xml:space="preserve">Fait à Saint-Louis, le </w:t>
      </w:r>
      <w:r>
        <w:rPr>
          <w:rFonts w:ascii="Calibri" w:hAnsi="Calibri" w:cs="Arial"/>
          <w:b/>
          <w:sz w:val="24"/>
          <w:szCs w:val="24"/>
        </w:rPr>
        <w:t>09 septembre 2022</w:t>
      </w:r>
    </w:p>
    <w:p w14:paraId="14754264" w14:textId="293B22BF" w:rsidR="00920636" w:rsidRDefault="00920636" w:rsidP="00015C1E">
      <w:pPr>
        <w:spacing w:line="276" w:lineRule="auto"/>
        <w:ind w:left="5955"/>
        <w:rPr>
          <w:rFonts w:ascii="Calibri" w:hAnsi="Calibri" w:cs="Calibri"/>
          <w:b/>
          <w:sz w:val="24"/>
          <w:szCs w:val="24"/>
        </w:rPr>
      </w:pPr>
      <w:r w:rsidRPr="006B5FB4">
        <w:rPr>
          <w:rFonts w:ascii="Calibri" w:hAnsi="Calibri" w:cs="Calibri"/>
          <w:b/>
          <w:sz w:val="24"/>
          <w:szCs w:val="24"/>
        </w:rPr>
        <w:t>Le Directeur Général</w:t>
      </w:r>
    </w:p>
    <w:p w14:paraId="5CB0C8CF" w14:textId="0B2D0690" w:rsidR="003D19AA" w:rsidRPr="00F11259" w:rsidRDefault="003D19AA" w:rsidP="00015C1E">
      <w:pPr>
        <w:spacing w:line="276" w:lineRule="auto"/>
        <w:ind w:left="5955"/>
        <w:rPr>
          <w:rFonts w:asciiTheme="minorHAnsi" w:hAnsiTheme="minorHAnsi" w:cstheme="minorHAnsi"/>
          <w:spacing w:val="-2"/>
          <w:sz w:val="22"/>
          <w:szCs w:val="22"/>
        </w:rPr>
      </w:pPr>
      <w:r>
        <w:rPr>
          <w:rFonts w:ascii="Calibri" w:hAnsi="Calibri" w:cs="Calibri"/>
          <w:b/>
          <w:sz w:val="24"/>
          <w:szCs w:val="24"/>
        </w:rPr>
        <w:t>Alioune Badara DIOP</w:t>
      </w:r>
    </w:p>
    <w:p w14:paraId="4346FFC9" w14:textId="3642A1F6" w:rsidR="00920636" w:rsidRPr="00920636" w:rsidRDefault="00920636" w:rsidP="00920636">
      <w:pPr>
        <w:pStyle w:val="Paragraphedeliste"/>
        <w:spacing w:before="120" w:after="120" w:line="276" w:lineRule="auto"/>
        <w:contextualSpacing w:val="0"/>
        <w:jc w:val="both"/>
        <w:rPr>
          <w:rFonts w:asciiTheme="minorHAnsi" w:hAnsiTheme="minorHAnsi" w:cstheme="minorHAnsi"/>
          <w:sz w:val="24"/>
          <w:szCs w:val="24"/>
          <w:highlight w:val="yellow"/>
        </w:rPr>
      </w:pPr>
    </w:p>
    <w:p w14:paraId="219272CF" w14:textId="08219021" w:rsidR="002B2B95" w:rsidRPr="003D19AA" w:rsidRDefault="002B2B95" w:rsidP="003D19AA">
      <w:pPr>
        <w:spacing w:line="276" w:lineRule="auto"/>
        <w:ind w:left="720"/>
        <w:jc w:val="both"/>
        <w:rPr>
          <w:rFonts w:asciiTheme="minorHAnsi" w:hAnsiTheme="minorHAnsi" w:cstheme="minorHAnsi"/>
          <w:b/>
          <w:bCs/>
          <w:sz w:val="22"/>
          <w:szCs w:val="22"/>
        </w:rPr>
      </w:pPr>
      <w:r w:rsidRPr="003D19AA">
        <w:rPr>
          <w:rFonts w:asciiTheme="minorHAnsi" w:hAnsiTheme="minorHAnsi" w:cstheme="minorHAnsi"/>
          <w:b/>
          <w:bCs/>
          <w:sz w:val="22"/>
          <w:szCs w:val="22"/>
        </w:rPr>
        <w:t xml:space="preserve">Office des Lacs et Cours d’Eau (OLAC) </w:t>
      </w:r>
    </w:p>
    <w:p w14:paraId="0A4B36D6" w14:textId="77777777" w:rsidR="002B2B95" w:rsidRPr="003D19AA" w:rsidRDefault="002B2B95" w:rsidP="003D19AA">
      <w:pPr>
        <w:spacing w:line="276" w:lineRule="auto"/>
        <w:ind w:left="720"/>
        <w:jc w:val="both"/>
        <w:rPr>
          <w:rFonts w:asciiTheme="minorHAnsi" w:hAnsiTheme="minorHAnsi" w:cstheme="minorHAnsi"/>
          <w:sz w:val="22"/>
          <w:szCs w:val="22"/>
        </w:rPr>
      </w:pPr>
      <w:r w:rsidRPr="003D19AA">
        <w:rPr>
          <w:rFonts w:asciiTheme="minorHAnsi" w:hAnsiTheme="minorHAnsi" w:cstheme="minorHAnsi"/>
          <w:sz w:val="22"/>
          <w:szCs w:val="22"/>
        </w:rPr>
        <w:t xml:space="preserve">Km 9, route de l’Université Gaston Berger, Saint Louis </w:t>
      </w:r>
    </w:p>
    <w:p w14:paraId="028355BC" w14:textId="09C3FF1A" w:rsidR="002B2B95" w:rsidRPr="003D19AA" w:rsidRDefault="002B2B95" w:rsidP="003D19AA">
      <w:pPr>
        <w:spacing w:line="276" w:lineRule="auto"/>
        <w:ind w:left="720"/>
        <w:jc w:val="both"/>
        <w:rPr>
          <w:rFonts w:asciiTheme="minorHAnsi" w:hAnsiTheme="minorHAnsi" w:cstheme="minorHAnsi"/>
          <w:sz w:val="22"/>
          <w:szCs w:val="22"/>
        </w:rPr>
      </w:pPr>
      <w:r w:rsidRPr="003D19AA">
        <w:rPr>
          <w:rFonts w:asciiTheme="minorHAnsi" w:hAnsiTheme="minorHAnsi" w:cstheme="minorHAnsi"/>
          <w:sz w:val="22"/>
          <w:szCs w:val="22"/>
        </w:rPr>
        <w:t>3ème étage /Salle de Conférence de l’</w:t>
      </w:r>
      <w:r w:rsidR="00920636" w:rsidRPr="003D19AA">
        <w:rPr>
          <w:rFonts w:asciiTheme="minorHAnsi" w:hAnsiTheme="minorHAnsi" w:cstheme="minorHAnsi"/>
          <w:sz w:val="22"/>
          <w:szCs w:val="22"/>
        </w:rPr>
        <w:t>OLAC</w:t>
      </w:r>
    </w:p>
    <w:p w14:paraId="037CC44C" w14:textId="77777777" w:rsidR="002B2B95" w:rsidRPr="003D19AA" w:rsidRDefault="002B2B95" w:rsidP="003D19AA">
      <w:pPr>
        <w:spacing w:line="276" w:lineRule="auto"/>
        <w:ind w:left="720"/>
        <w:jc w:val="both"/>
        <w:rPr>
          <w:rFonts w:asciiTheme="minorHAnsi" w:hAnsiTheme="minorHAnsi" w:cstheme="minorHAnsi"/>
          <w:spacing w:val="-2"/>
          <w:sz w:val="22"/>
          <w:szCs w:val="22"/>
        </w:rPr>
      </w:pPr>
      <w:r w:rsidRPr="003D19AA">
        <w:rPr>
          <w:rFonts w:asciiTheme="minorHAnsi" w:hAnsiTheme="minorHAnsi" w:cstheme="minorHAnsi"/>
          <w:sz w:val="22"/>
          <w:szCs w:val="22"/>
        </w:rPr>
        <w:t>Code postal : : 490 Saint Louis</w:t>
      </w:r>
    </w:p>
    <w:p w14:paraId="64835786" w14:textId="77777777" w:rsidR="002B2B95" w:rsidRPr="003D19AA" w:rsidRDefault="002B2B95" w:rsidP="003D19AA">
      <w:pPr>
        <w:spacing w:line="276" w:lineRule="auto"/>
        <w:ind w:left="720"/>
        <w:jc w:val="both"/>
        <w:rPr>
          <w:rFonts w:asciiTheme="minorHAnsi" w:hAnsiTheme="minorHAnsi" w:cstheme="minorHAnsi"/>
          <w:sz w:val="22"/>
          <w:szCs w:val="22"/>
        </w:rPr>
      </w:pPr>
      <w:r w:rsidRPr="003D19AA">
        <w:rPr>
          <w:rFonts w:asciiTheme="minorHAnsi" w:hAnsiTheme="minorHAnsi" w:cstheme="minorHAnsi"/>
          <w:sz w:val="22"/>
          <w:szCs w:val="22"/>
        </w:rPr>
        <w:t xml:space="preserve">Numéro de téléphone : +221 33 938 20 11 </w:t>
      </w:r>
    </w:p>
    <w:p w14:paraId="27DE8549" w14:textId="77777777" w:rsidR="002B2B95" w:rsidRPr="003D19AA" w:rsidRDefault="002B2B95" w:rsidP="003D19AA">
      <w:pPr>
        <w:spacing w:line="276" w:lineRule="auto"/>
        <w:ind w:left="720"/>
        <w:jc w:val="both"/>
        <w:rPr>
          <w:rFonts w:asciiTheme="minorHAnsi" w:hAnsiTheme="minorHAnsi" w:cstheme="minorHAnsi"/>
          <w:sz w:val="22"/>
          <w:szCs w:val="22"/>
        </w:rPr>
      </w:pPr>
      <w:r w:rsidRPr="003D19AA">
        <w:rPr>
          <w:rFonts w:asciiTheme="minorHAnsi" w:hAnsiTheme="minorHAnsi" w:cstheme="minorHAnsi"/>
          <w:sz w:val="22"/>
          <w:szCs w:val="22"/>
        </w:rPr>
        <w:t xml:space="preserve">Adresse électronique : </w:t>
      </w:r>
      <w:hyperlink r:id="rId10" w:history="1">
        <w:r w:rsidRPr="003D19AA">
          <w:rPr>
            <w:rStyle w:val="Lienhypertexte"/>
            <w:rFonts w:asciiTheme="minorHAnsi" w:hAnsiTheme="minorHAnsi" w:cstheme="minorHAnsi"/>
            <w:sz w:val="22"/>
            <w:szCs w:val="22"/>
          </w:rPr>
          <w:t>olac@olac.sn</w:t>
        </w:r>
      </w:hyperlink>
      <w:r w:rsidRPr="003D19AA">
        <w:rPr>
          <w:rFonts w:asciiTheme="minorHAnsi" w:hAnsiTheme="minorHAnsi" w:cstheme="minorHAnsi"/>
          <w:sz w:val="22"/>
          <w:szCs w:val="22"/>
        </w:rPr>
        <w:t xml:space="preserve">  </w:t>
      </w:r>
    </w:p>
    <w:p w14:paraId="1EABFFF0" w14:textId="557C17FD" w:rsidR="002B2B95" w:rsidRPr="003D19AA" w:rsidRDefault="00015C1E" w:rsidP="003D19AA">
      <w:pPr>
        <w:spacing w:line="276" w:lineRule="auto"/>
        <w:ind w:left="720"/>
        <w:jc w:val="both"/>
        <w:rPr>
          <w:rFonts w:asciiTheme="minorHAnsi" w:hAnsiTheme="minorHAnsi" w:cstheme="minorHAnsi"/>
          <w:sz w:val="22"/>
          <w:szCs w:val="22"/>
        </w:rPr>
      </w:pPr>
      <w:r w:rsidRPr="003D19AA">
        <w:rPr>
          <w:rFonts w:asciiTheme="minorHAnsi" w:hAnsiTheme="minorHAnsi" w:cstheme="minorHAnsi"/>
          <w:sz w:val="22"/>
          <w:szCs w:val="22"/>
        </w:rPr>
        <w:t>Site</w:t>
      </w:r>
      <w:r w:rsidR="002B2B95" w:rsidRPr="003D19AA">
        <w:rPr>
          <w:rFonts w:asciiTheme="minorHAnsi" w:hAnsiTheme="minorHAnsi" w:cstheme="minorHAnsi"/>
          <w:sz w:val="22"/>
          <w:szCs w:val="22"/>
        </w:rPr>
        <w:t xml:space="preserve"> internet : </w:t>
      </w:r>
      <w:hyperlink r:id="rId11" w:history="1">
        <w:r w:rsidR="002B2B95" w:rsidRPr="003D19AA">
          <w:rPr>
            <w:rStyle w:val="Lienhypertexte"/>
            <w:rFonts w:asciiTheme="minorHAnsi" w:hAnsiTheme="minorHAnsi" w:cstheme="minorHAnsi"/>
            <w:sz w:val="22"/>
            <w:szCs w:val="22"/>
          </w:rPr>
          <w:t>www.olac.sn</w:t>
        </w:r>
      </w:hyperlink>
      <w:r w:rsidR="002B2B95" w:rsidRPr="003D19AA">
        <w:rPr>
          <w:rFonts w:asciiTheme="minorHAnsi" w:hAnsiTheme="minorHAnsi" w:cstheme="minorHAnsi"/>
          <w:sz w:val="22"/>
          <w:szCs w:val="22"/>
        </w:rPr>
        <w:t xml:space="preserve"> </w:t>
      </w:r>
    </w:p>
    <w:p w14:paraId="04168BD3" w14:textId="4786596D" w:rsidR="002B2B95" w:rsidRPr="00BD7983" w:rsidRDefault="002B2B95" w:rsidP="00BD7983">
      <w:pPr>
        <w:spacing w:before="120" w:after="120" w:line="276" w:lineRule="auto"/>
        <w:jc w:val="both"/>
        <w:rPr>
          <w:rFonts w:asciiTheme="minorHAnsi" w:hAnsiTheme="minorHAnsi" w:cstheme="minorHAnsi"/>
          <w:sz w:val="24"/>
          <w:szCs w:val="24"/>
        </w:rPr>
      </w:pPr>
    </w:p>
    <w:sectPr w:rsidR="002B2B95" w:rsidRPr="00BD7983" w:rsidSect="0056235F">
      <w:footerReference w:type="default" r:id="rId1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4994" w14:textId="77777777" w:rsidR="00250A46" w:rsidRDefault="00250A46" w:rsidP="00346326">
      <w:r>
        <w:separator/>
      </w:r>
    </w:p>
  </w:endnote>
  <w:endnote w:type="continuationSeparator" w:id="0">
    <w:p w14:paraId="45A305FC" w14:textId="77777777" w:rsidR="00250A46" w:rsidRDefault="00250A46"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1EFC" w14:textId="302C3C4F" w:rsidR="0056235F" w:rsidRPr="0056235F" w:rsidRDefault="0056235F" w:rsidP="0056235F">
    <w:pPr>
      <w:pStyle w:val="Pieddepage"/>
      <w:pBdr>
        <w:top w:val="single" w:sz="4" w:space="1" w:color="auto"/>
      </w:pBdr>
      <w:jc w:val="right"/>
      <w:rPr>
        <w:rFonts w:asciiTheme="minorHAnsi" w:hAnsiTheme="minorHAnsi" w:cstheme="minorHAnsi"/>
      </w:rPr>
    </w:pPr>
    <w:r>
      <w:rPr>
        <w:rFonts w:asciiTheme="minorHAnsi" w:hAnsiTheme="minorHAnsi" w:cstheme="minorHAnsi"/>
      </w:rPr>
      <w:t xml:space="preserve">Page </w:t>
    </w:r>
    <w:r w:rsidRPr="0056235F">
      <w:rPr>
        <w:rFonts w:asciiTheme="minorHAnsi" w:hAnsiTheme="minorHAnsi" w:cstheme="minorHAnsi"/>
      </w:rPr>
      <w:fldChar w:fldCharType="begin"/>
    </w:r>
    <w:r w:rsidRPr="0056235F">
      <w:rPr>
        <w:rFonts w:asciiTheme="minorHAnsi" w:hAnsiTheme="minorHAnsi" w:cstheme="minorHAnsi"/>
      </w:rPr>
      <w:instrText>PAGE   \* MERGEFORMAT</w:instrText>
    </w:r>
    <w:r w:rsidRPr="0056235F">
      <w:rPr>
        <w:rFonts w:asciiTheme="minorHAnsi" w:hAnsiTheme="minorHAnsi" w:cstheme="minorHAnsi"/>
      </w:rPr>
      <w:fldChar w:fldCharType="separate"/>
    </w:r>
    <w:r w:rsidR="00256681">
      <w:rPr>
        <w:rFonts w:asciiTheme="minorHAnsi" w:hAnsiTheme="minorHAnsi" w:cstheme="minorHAnsi"/>
        <w:noProof/>
      </w:rPr>
      <w:t>1</w:t>
    </w:r>
    <w:r w:rsidRPr="0056235F">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DAA6" w14:textId="77777777" w:rsidR="00250A46" w:rsidRDefault="00250A46" w:rsidP="00346326">
      <w:r>
        <w:separator/>
      </w:r>
    </w:p>
  </w:footnote>
  <w:footnote w:type="continuationSeparator" w:id="0">
    <w:p w14:paraId="64B09483" w14:textId="77777777" w:rsidR="00250A46" w:rsidRDefault="00250A46"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443A0D"/>
    <w:multiLevelType w:val="hybridMultilevel"/>
    <w:tmpl w:val="7A10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B4200"/>
    <w:multiLevelType w:val="hybridMultilevel"/>
    <w:tmpl w:val="5998B55A"/>
    <w:lvl w:ilvl="0" w:tplc="B4A47DFC">
      <w:start w:val="1"/>
      <w:numFmt w:val="bullet"/>
      <w:lvlText w:val="-"/>
      <w:lvlJc w:val="left"/>
      <w:pPr>
        <w:ind w:left="2160" w:hanging="360"/>
      </w:pPr>
      <w:rPr>
        <w:rFonts w:ascii="Arial" w:eastAsia="Franklin Gothic Demi Cond"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3BD6897"/>
    <w:multiLevelType w:val="hybridMultilevel"/>
    <w:tmpl w:val="367E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A7BE2"/>
    <w:multiLevelType w:val="hybridMultilevel"/>
    <w:tmpl w:val="C4324926"/>
    <w:lvl w:ilvl="0" w:tplc="B4A47DFC">
      <w:start w:val="1"/>
      <w:numFmt w:val="bullet"/>
      <w:lvlText w:val="-"/>
      <w:lvlJc w:val="left"/>
      <w:pPr>
        <w:ind w:left="360" w:hanging="360"/>
      </w:pPr>
      <w:rPr>
        <w:rFonts w:ascii="Arial" w:eastAsia="Franklin Gothic Demi Cond"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5521E27"/>
    <w:multiLevelType w:val="hybridMultilevel"/>
    <w:tmpl w:val="9F749F72"/>
    <w:lvl w:ilvl="0" w:tplc="3EC458DE">
      <w:numFmt w:val="bullet"/>
      <w:lvlText w:val="•"/>
      <w:lvlJc w:val="left"/>
      <w:pPr>
        <w:ind w:left="2160" w:hanging="72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16cid:durableId="327948966">
    <w:abstractNumId w:val="5"/>
  </w:num>
  <w:num w:numId="2" w16cid:durableId="419721710">
    <w:abstractNumId w:val="1"/>
  </w:num>
  <w:num w:numId="3" w16cid:durableId="1724022318">
    <w:abstractNumId w:val="0"/>
  </w:num>
  <w:num w:numId="4" w16cid:durableId="2051801605">
    <w:abstractNumId w:val="7"/>
  </w:num>
  <w:num w:numId="5" w16cid:durableId="782575314">
    <w:abstractNumId w:val="2"/>
  </w:num>
  <w:num w:numId="6" w16cid:durableId="1831411691">
    <w:abstractNumId w:val="6"/>
  </w:num>
  <w:num w:numId="7" w16cid:durableId="1918900499">
    <w:abstractNumId w:val="3"/>
  </w:num>
  <w:num w:numId="8" w16cid:durableId="1402829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134F1"/>
    <w:rsid w:val="00015C1E"/>
    <w:rsid w:val="00067A58"/>
    <w:rsid w:val="00102E07"/>
    <w:rsid w:val="00120A46"/>
    <w:rsid w:val="00143300"/>
    <w:rsid w:val="00170D93"/>
    <w:rsid w:val="00233B49"/>
    <w:rsid w:val="00250A46"/>
    <w:rsid w:val="00256681"/>
    <w:rsid w:val="00285F3A"/>
    <w:rsid w:val="002908CC"/>
    <w:rsid w:val="002B2B95"/>
    <w:rsid w:val="00332380"/>
    <w:rsid w:val="00346326"/>
    <w:rsid w:val="003477C7"/>
    <w:rsid w:val="003D19AA"/>
    <w:rsid w:val="00427C9D"/>
    <w:rsid w:val="00455FA1"/>
    <w:rsid w:val="004F2105"/>
    <w:rsid w:val="004F66BC"/>
    <w:rsid w:val="00504302"/>
    <w:rsid w:val="00515DB2"/>
    <w:rsid w:val="0053773D"/>
    <w:rsid w:val="00541646"/>
    <w:rsid w:val="005448D0"/>
    <w:rsid w:val="0056235F"/>
    <w:rsid w:val="005662DD"/>
    <w:rsid w:val="00593DA2"/>
    <w:rsid w:val="005E108E"/>
    <w:rsid w:val="005E5341"/>
    <w:rsid w:val="005F4045"/>
    <w:rsid w:val="00670630"/>
    <w:rsid w:val="006C22D0"/>
    <w:rsid w:val="006D3F2C"/>
    <w:rsid w:val="006E0FCE"/>
    <w:rsid w:val="007458F4"/>
    <w:rsid w:val="00753539"/>
    <w:rsid w:val="00770D1C"/>
    <w:rsid w:val="0078085E"/>
    <w:rsid w:val="00832784"/>
    <w:rsid w:val="00846B41"/>
    <w:rsid w:val="00851126"/>
    <w:rsid w:val="008A6E76"/>
    <w:rsid w:val="008B4287"/>
    <w:rsid w:val="008B582D"/>
    <w:rsid w:val="008D53FB"/>
    <w:rsid w:val="008E7314"/>
    <w:rsid w:val="00920636"/>
    <w:rsid w:val="009A6753"/>
    <w:rsid w:val="009C2B7D"/>
    <w:rsid w:val="00A06EA5"/>
    <w:rsid w:val="00AB53BA"/>
    <w:rsid w:val="00B0325C"/>
    <w:rsid w:val="00B63417"/>
    <w:rsid w:val="00BA5FF0"/>
    <w:rsid w:val="00BD0362"/>
    <w:rsid w:val="00BD7983"/>
    <w:rsid w:val="00C12E41"/>
    <w:rsid w:val="00C3134E"/>
    <w:rsid w:val="00C636BA"/>
    <w:rsid w:val="00C64E61"/>
    <w:rsid w:val="00CC14AE"/>
    <w:rsid w:val="00CF5D2B"/>
    <w:rsid w:val="00DE5AFF"/>
    <w:rsid w:val="00DE5C31"/>
    <w:rsid w:val="00DE7747"/>
    <w:rsid w:val="00E71F7D"/>
    <w:rsid w:val="00E73BF5"/>
    <w:rsid w:val="00EB5AAA"/>
    <w:rsid w:val="00EF14C5"/>
    <w:rsid w:val="00F32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C23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paragraph" w:styleId="Titre4">
    <w:name w:val="heading 4"/>
    <w:aliases w:val="Sub-Clause Sub-paragraph,ClauseSubSub_No&amp;Name, Sub-Clause Sub-paragraph,N4,Heading 4 Char1 Char,Heading 4 Char Char Char,SOUSCHAP,Sous-Section,Sous-InterTitre,H4,h4,34,TITRE 4,T4 Seureca,Heading 4"/>
    <w:basedOn w:val="Normal"/>
    <w:next w:val="Normal"/>
    <w:link w:val="Titre4Car"/>
    <w:qFormat/>
    <w:rsid w:val="009C2B7D"/>
    <w:pPr>
      <w:numPr>
        <w:ilvl w:val="3"/>
        <w:numId w:val="3"/>
      </w:numPr>
      <w:tabs>
        <w:tab w:val="left" w:pos="1512"/>
      </w:tabs>
      <w:overflowPunct w:val="0"/>
      <w:autoSpaceDE w:val="0"/>
      <w:autoSpaceDN w:val="0"/>
      <w:adjustRightInd w:val="0"/>
      <w:spacing w:after="200"/>
      <w:jc w:val="both"/>
      <w:textAlignment w:val="baseline"/>
      <w:outlineLvl w:val="3"/>
    </w:pPr>
    <w:rPr>
      <w:sz w:val="24"/>
      <w:lang w:val="en-US"/>
    </w:rPr>
  </w:style>
  <w:style w:type="paragraph" w:styleId="Titre6">
    <w:name w:val="heading 6"/>
    <w:aliases w:val="T6"/>
    <w:basedOn w:val="Normal"/>
    <w:next w:val="Normal"/>
    <w:link w:val="Titre6Car"/>
    <w:qFormat/>
    <w:rsid w:val="009C2B7D"/>
    <w:pPr>
      <w:numPr>
        <w:ilvl w:val="5"/>
        <w:numId w:val="3"/>
      </w:numPr>
      <w:tabs>
        <w:tab w:val="left" w:pos="1152"/>
      </w:tabs>
      <w:overflowPunct w:val="0"/>
      <w:autoSpaceDE w:val="0"/>
      <w:autoSpaceDN w:val="0"/>
      <w:adjustRightInd w:val="0"/>
      <w:spacing w:before="240" w:after="60"/>
      <w:jc w:val="both"/>
      <w:textAlignment w:val="baseline"/>
      <w:outlineLvl w:val="5"/>
    </w:pPr>
    <w:rPr>
      <w:i/>
      <w:sz w:val="22"/>
      <w:lang w:val="es-ES_tradnl"/>
    </w:rPr>
  </w:style>
  <w:style w:type="paragraph" w:styleId="Titre7">
    <w:name w:val="heading 7"/>
    <w:aliases w:val="T7"/>
    <w:basedOn w:val="Normal"/>
    <w:next w:val="Normal"/>
    <w:link w:val="Titre7Car"/>
    <w:qFormat/>
    <w:rsid w:val="009C2B7D"/>
    <w:pPr>
      <w:numPr>
        <w:ilvl w:val="6"/>
        <w:numId w:val="3"/>
      </w:numPr>
      <w:tabs>
        <w:tab w:val="left" w:pos="1296"/>
      </w:tabs>
      <w:overflowPunct w:val="0"/>
      <w:autoSpaceDE w:val="0"/>
      <w:autoSpaceDN w:val="0"/>
      <w:adjustRightInd w:val="0"/>
      <w:spacing w:before="240" w:after="60"/>
      <w:jc w:val="both"/>
      <w:textAlignment w:val="baseline"/>
      <w:outlineLvl w:val="6"/>
    </w:pPr>
    <w:rPr>
      <w:rFonts w:ascii="Arial" w:hAnsi="Arial"/>
      <w:lang w:val="es-ES_tradnl"/>
    </w:rPr>
  </w:style>
  <w:style w:type="paragraph" w:styleId="Titre8">
    <w:name w:val="heading 8"/>
    <w:basedOn w:val="Normal"/>
    <w:next w:val="Normal"/>
    <w:link w:val="Titre8Car"/>
    <w:qFormat/>
    <w:rsid w:val="009C2B7D"/>
    <w:pPr>
      <w:numPr>
        <w:ilvl w:val="7"/>
        <w:numId w:val="3"/>
      </w:numPr>
      <w:tabs>
        <w:tab w:val="left" w:pos="1440"/>
      </w:tabs>
      <w:overflowPunct w:val="0"/>
      <w:autoSpaceDE w:val="0"/>
      <w:autoSpaceDN w:val="0"/>
      <w:adjustRightInd w:val="0"/>
      <w:spacing w:before="240" w:after="60"/>
      <w:jc w:val="both"/>
      <w:textAlignment w:val="baseline"/>
      <w:outlineLvl w:val="7"/>
    </w:pPr>
    <w:rPr>
      <w:rFonts w:ascii="Arial" w:hAnsi="Arial"/>
      <w:i/>
      <w:lang w:val="es-ES_tradnl"/>
    </w:rPr>
  </w:style>
  <w:style w:type="paragraph" w:styleId="Titre9">
    <w:name w:val="heading 9"/>
    <w:aliases w:val="T9,Tableau. 1: Titre 9"/>
    <w:basedOn w:val="Normal"/>
    <w:next w:val="Normal"/>
    <w:link w:val="Titre9Car"/>
    <w:qFormat/>
    <w:rsid w:val="009C2B7D"/>
    <w:pPr>
      <w:numPr>
        <w:ilvl w:val="8"/>
        <w:numId w:val="3"/>
      </w:numPr>
      <w:tabs>
        <w:tab w:val="left" w:pos="1584"/>
      </w:tabs>
      <w:overflowPunct w:val="0"/>
      <w:autoSpaceDE w:val="0"/>
      <w:autoSpaceDN w:val="0"/>
      <w:adjustRightInd w:val="0"/>
      <w:spacing w:before="240" w:after="60"/>
      <w:jc w:val="both"/>
      <w:textAlignment w:val="baseline"/>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table" w:styleId="Grilledutableau">
    <w:name w:val="Table Grid"/>
    <w:basedOn w:val="TableauNormal"/>
    <w:rsid w:val="00DE5AF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3539"/>
    <w:pPr>
      <w:ind w:left="720"/>
      <w:contextualSpacing/>
    </w:pPr>
  </w:style>
  <w:style w:type="character" w:customStyle="1" w:styleId="Titre4Car">
    <w:name w:val="Titre 4 Car"/>
    <w:aliases w:val="Sub-Clause Sub-paragraph Car,ClauseSubSub_No&amp;Name Car, Sub-Clause Sub-paragraph Car,N4 Car,Heading 4 Char1 Char Car,Heading 4 Char Char Char Car,SOUSCHAP Car,Sous-Section Car,Sous-InterTitre Car,H4 Car,h4 Car,34 Car,TITRE 4 Car,Heading 4 Car"/>
    <w:basedOn w:val="Policepardfaut"/>
    <w:link w:val="Titre4"/>
    <w:rsid w:val="009C2B7D"/>
    <w:rPr>
      <w:rFonts w:ascii="Times New Roman" w:eastAsia="Times New Roman" w:hAnsi="Times New Roman" w:cs="Times New Roman"/>
      <w:sz w:val="24"/>
      <w:szCs w:val="20"/>
      <w:lang w:eastAsia="fr-FR"/>
    </w:rPr>
  </w:style>
  <w:style w:type="character" w:customStyle="1" w:styleId="Titre6Car">
    <w:name w:val="Titre 6 Car"/>
    <w:aliases w:val="T6 Car"/>
    <w:basedOn w:val="Policepardfaut"/>
    <w:link w:val="Titre6"/>
    <w:rsid w:val="009C2B7D"/>
    <w:rPr>
      <w:rFonts w:ascii="Times New Roman" w:eastAsia="Times New Roman" w:hAnsi="Times New Roman" w:cs="Times New Roman"/>
      <w:i/>
      <w:szCs w:val="20"/>
      <w:lang w:val="es-ES_tradnl" w:eastAsia="fr-FR"/>
    </w:rPr>
  </w:style>
  <w:style w:type="character" w:customStyle="1" w:styleId="Titre7Car">
    <w:name w:val="Titre 7 Car"/>
    <w:aliases w:val="T7 Car"/>
    <w:basedOn w:val="Policepardfaut"/>
    <w:link w:val="Titre7"/>
    <w:rsid w:val="009C2B7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9C2B7D"/>
    <w:rPr>
      <w:rFonts w:ascii="Arial" w:eastAsia="Times New Roman" w:hAnsi="Arial" w:cs="Times New Roman"/>
      <w:i/>
      <w:sz w:val="20"/>
      <w:szCs w:val="20"/>
      <w:lang w:val="es-ES_tradnl" w:eastAsia="fr-FR"/>
    </w:rPr>
  </w:style>
  <w:style w:type="character" w:customStyle="1" w:styleId="Titre9Car">
    <w:name w:val="Titre 9 Car"/>
    <w:aliases w:val="T9 Car,Tableau. 1: Titre 9 Car"/>
    <w:basedOn w:val="Policepardfaut"/>
    <w:link w:val="Titre9"/>
    <w:rsid w:val="009C2B7D"/>
    <w:rPr>
      <w:rFonts w:ascii="Arial" w:eastAsia="Times New Roman" w:hAnsi="Arial" w:cs="Times New Roman"/>
      <w:b/>
      <w:i/>
      <w:sz w:val="18"/>
      <w:szCs w:val="20"/>
      <w:lang w:val="es-ES_tradnl" w:eastAsia="fr-FR"/>
    </w:rPr>
  </w:style>
  <w:style w:type="character" w:styleId="Lienhypertexte">
    <w:name w:val="Hyperlink"/>
    <w:basedOn w:val="Policepardfaut"/>
    <w:uiPriority w:val="99"/>
    <w:rsid w:val="00AB53BA"/>
    <w:rPr>
      <w:rFonts w:cs="Times New Roman"/>
      <w:color w:val="0000FF"/>
      <w:u w:val="single"/>
    </w:rPr>
  </w:style>
  <w:style w:type="paragraph" w:styleId="Notedefin">
    <w:name w:val="endnote text"/>
    <w:basedOn w:val="Normal"/>
    <w:link w:val="NotedefinCar"/>
    <w:semiHidden/>
    <w:rsid w:val="002B2B95"/>
    <w:pPr>
      <w:widowControl w:val="0"/>
    </w:pPr>
    <w:rPr>
      <w:lang w:val="en-US" w:eastAsia="en-US"/>
    </w:rPr>
  </w:style>
  <w:style w:type="character" w:customStyle="1" w:styleId="NotedefinCar">
    <w:name w:val="Note de fin Car"/>
    <w:basedOn w:val="Policepardfaut"/>
    <w:link w:val="Notedefin"/>
    <w:semiHidden/>
    <w:rsid w:val="002B2B95"/>
    <w:rPr>
      <w:rFonts w:ascii="Times New Roman" w:eastAsia="Times New Roman" w:hAnsi="Times New Roman" w:cs="Times New Roman"/>
      <w:sz w:val="20"/>
      <w:szCs w:val="20"/>
    </w:rPr>
  </w:style>
  <w:style w:type="paragraph" w:customStyle="1" w:styleId="BankNormal">
    <w:name w:val="BankNormal"/>
    <w:basedOn w:val="Normal"/>
    <w:rsid w:val="002B2B95"/>
    <w:pPr>
      <w:overflowPunct w:val="0"/>
      <w:autoSpaceDE w:val="0"/>
      <w:autoSpaceDN w:val="0"/>
      <w:adjustRightInd w:val="0"/>
      <w:spacing w:after="240"/>
      <w:textAlignment w:val="baseline"/>
    </w:pPr>
    <w:rPr>
      <w:sz w:val="24"/>
      <w:lang w:val="en-US"/>
    </w:rPr>
  </w:style>
  <w:style w:type="paragraph" w:styleId="En-tte">
    <w:name w:val="header"/>
    <w:basedOn w:val="Normal"/>
    <w:link w:val="En-tteCar"/>
    <w:uiPriority w:val="99"/>
    <w:unhideWhenUsed/>
    <w:rsid w:val="0056235F"/>
    <w:pPr>
      <w:tabs>
        <w:tab w:val="center" w:pos="4680"/>
        <w:tab w:val="right" w:pos="9360"/>
      </w:tabs>
    </w:pPr>
  </w:style>
  <w:style w:type="character" w:customStyle="1" w:styleId="En-tteCar">
    <w:name w:val="En-tête Car"/>
    <w:basedOn w:val="Policepardfaut"/>
    <w:link w:val="En-tte"/>
    <w:uiPriority w:val="99"/>
    <w:rsid w:val="0056235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56235F"/>
    <w:pPr>
      <w:tabs>
        <w:tab w:val="center" w:pos="4680"/>
        <w:tab w:val="right" w:pos="9360"/>
      </w:tabs>
    </w:pPr>
  </w:style>
  <w:style w:type="character" w:customStyle="1" w:styleId="PieddepageCar">
    <w:name w:val="Pied de page Car"/>
    <w:basedOn w:val="Policepardfaut"/>
    <w:link w:val="Pieddepage"/>
    <w:uiPriority w:val="99"/>
    <w:rsid w:val="0056235F"/>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ac.sn" TargetMode="External"/><Relationship Id="rId5" Type="http://schemas.openxmlformats.org/officeDocument/2006/relationships/footnotes" Target="footnotes.xml"/><Relationship Id="rId10" Type="http://schemas.openxmlformats.org/officeDocument/2006/relationships/hyperlink" Target="mailto:olac@olac.s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Alioune Badara DIOP</cp:lastModifiedBy>
  <cp:revision>3</cp:revision>
  <dcterms:created xsi:type="dcterms:W3CDTF">2022-08-30T12:06:00Z</dcterms:created>
  <dcterms:modified xsi:type="dcterms:W3CDTF">2022-08-31T07:55:00Z</dcterms:modified>
</cp:coreProperties>
</file>