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4DEC" w14:textId="77777777" w:rsidR="00123785" w:rsidRDefault="00C271D8" w:rsidP="00CE1141">
      <w:pPr>
        <w:spacing w:after="0"/>
        <w:ind w:firstLine="708"/>
        <w:jc w:val="right"/>
        <w:rPr>
          <w:rFonts w:ascii="Times New Roman" w:hAnsi="Times New Roman"/>
          <w:sz w:val="10"/>
        </w:rPr>
      </w:pPr>
      <w:r>
        <w:rPr>
          <w:rFonts w:ascii="Times New Roman" w:hAnsi="Times New Roman"/>
          <w:sz w:val="10"/>
        </w:rPr>
        <w:t xml:space="preserve"> </w:t>
      </w:r>
    </w:p>
    <w:p w14:paraId="27450B09" w14:textId="77777777" w:rsidR="0072065F" w:rsidRPr="00036B6F" w:rsidRDefault="0072065F" w:rsidP="0072065F">
      <w:pPr>
        <w:tabs>
          <w:tab w:val="left" w:pos="0"/>
        </w:tabs>
        <w:jc w:val="center"/>
      </w:pPr>
      <w:r w:rsidRPr="00036B6F">
        <w:rPr>
          <w:b/>
        </w:rPr>
        <w:t>APPEL À MANIFESTATION D’INTÉRÊT</w:t>
      </w:r>
    </w:p>
    <w:p w14:paraId="1EC529DE" w14:textId="77777777" w:rsidR="0072065F" w:rsidRPr="00036B6F" w:rsidRDefault="0072065F" w:rsidP="0072065F">
      <w:pPr>
        <w:jc w:val="center"/>
      </w:pPr>
      <w:r w:rsidRPr="00036B6F">
        <w:rPr>
          <w:b/>
        </w:rPr>
        <w:t>(SERVICES DE CONSULTANTS – SELECTION DE FIRMES)</w:t>
      </w:r>
    </w:p>
    <w:p w14:paraId="0CE3FC13" w14:textId="77777777" w:rsidR="0072065F" w:rsidRPr="00036B6F" w:rsidRDefault="0072065F" w:rsidP="0072065F">
      <w:pPr>
        <w:pStyle w:val="ChapterNumber"/>
        <w:tabs>
          <w:tab w:val="clear" w:pos="-720"/>
        </w:tabs>
        <w:rPr>
          <w:rFonts w:ascii="Times New Roman" w:hAnsi="Times New Roman"/>
          <w:spacing w:val="-2"/>
          <w:sz w:val="24"/>
          <w:szCs w:val="24"/>
          <w:lang w:val="fr-FR"/>
        </w:rPr>
      </w:pPr>
    </w:p>
    <w:p w14:paraId="214A10E3" w14:textId="77777777" w:rsidR="0072065F" w:rsidRPr="00036B6F" w:rsidRDefault="0072065F" w:rsidP="0072065F">
      <w:pPr>
        <w:jc w:val="center"/>
        <w:rPr>
          <w:spacing w:val="-2"/>
        </w:rPr>
      </w:pPr>
      <w:r w:rsidRPr="00036B6F">
        <w:rPr>
          <w:spacing w:val="-2"/>
        </w:rPr>
        <w:t>SENEGAL</w:t>
      </w:r>
    </w:p>
    <w:p w14:paraId="31769FD8" w14:textId="77777777" w:rsidR="0072065F" w:rsidRPr="00036B6F" w:rsidRDefault="0072065F" w:rsidP="0072065F">
      <w:pPr>
        <w:jc w:val="center"/>
        <w:rPr>
          <w:spacing w:val="-2"/>
        </w:rPr>
      </w:pPr>
      <w:r w:rsidRPr="00036B6F">
        <w:rPr>
          <w:spacing w:val="-2"/>
        </w:rPr>
        <w:t>Programme de Développement de la Microfinance Islamique du Sénégal (PROMISE)</w:t>
      </w:r>
    </w:p>
    <w:p w14:paraId="2EDEF0F8" w14:textId="77777777" w:rsidR="0072065F" w:rsidRPr="00036B6F" w:rsidRDefault="0072065F" w:rsidP="0072065F">
      <w:pPr>
        <w:jc w:val="center"/>
        <w:rPr>
          <w:spacing w:val="-2"/>
        </w:rPr>
      </w:pPr>
      <w:r w:rsidRPr="00036B6F">
        <w:rPr>
          <w:spacing w:val="-2"/>
        </w:rPr>
        <w:t>SERVICES DE CONSULTANTS</w:t>
      </w:r>
    </w:p>
    <w:p w14:paraId="39CF2938" w14:textId="77777777" w:rsidR="0072065F" w:rsidRPr="00036B6F" w:rsidRDefault="0072065F" w:rsidP="0072065F">
      <w:pPr>
        <w:pStyle w:val="BodyText"/>
        <w:spacing w:after="0"/>
        <w:jc w:val="center"/>
      </w:pPr>
      <w:r w:rsidRPr="00036B6F">
        <w:t xml:space="preserve">Mode de financement : Prêt de la Banque Islamique de </w:t>
      </w:r>
      <w:r>
        <w:t>D</w:t>
      </w:r>
      <w:r w:rsidRPr="00036B6F">
        <w:t>éveloppement-conforme à la Charia</w:t>
      </w:r>
    </w:p>
    <w:p w14:paraId="5B6D1BFD" w14:textId="77777777" w:rsidR="0072065F" w:rsidRPr="00036B6F" w:rsidRDefault="0072065F" w:rsidP="0072065F">
      <w:pPr>
        <w:pStyle w:val="BodyText"/>
        <w:spacing w:after="0"/>
        <w:jc w:val="center"/>
      </w:pPr>
    </w:p>
    <w:p w14:paraId="03D7A02A" w14:textId="77777777" w:rsidR="0072065F" w:rsidRDefault="0072065F" w:rsidP="0072065F">
      <w:pPr>
        <w:pStyle w:val="BodyText"/>
        <w:spacing w:after="0"/>
        <w:jc w:val="center"/>
      </w:pPr>
      <w:r w:rsidRPr="00036B6F">
        <w:t>N° de Financement : 2 Sen-1005 LN. ; N° d’identification du Projet : SEN-1005</w:t>
      </w:r>
    </w:p>
    <w:p w14:paraId="02282A47" w14:textId="77777777" w:rsidR="0072065F" w:rsidRDefault="0072065F" w:rsidP="0072065F">
      <w:pPr>
        <w:pStyle w:val="BodyText"/>
        <w:spacing w:after="0"/>
        <w:jc w:val="center"/>
      </w:pPr>
      <w:r w:rsidRPr="00036B6F">
        <w:t xml:space="preserve"> </w:t>
      </w:r>
    </w:p>
    <w:p w14:paraId="59EA900D" w14:textId="77777777" w:rsidR="0072065F" w:rsidRPr="005B7CA2" w:rsidRDefault="0072065F" w:rsidP="0072065F">
      <w:pPr>
        <w:pStyle w:val="BodyText"/>
        <w:spacing w:after="0"/>
        <w:jc w:val="center"/>
        <w:rPr>
          <w:b/>
          <w:bCs/>
        </w:rPr>
      </w:pPr>
      <w:r w:rsidRPr="005B7CA2">
        <w:rPr>
          <w:b/>
          <w:bCs/>
        </w:rPr>
        <w:t>APPEL A CANIDATURE INTERNATIONAL</w:t>
      </w:r>
    </w:p>
    <w:p w14:paraId="16A52DA7" w14:textId="77777777" w:rsidR="0072065F" w:rsidRPr="00036B6F" w:rsidRDefault="0072065F" w:rsidP="0072065F">
      <w:pPr>
        <w:rPr>
          <w:spacing w:val="-2"/>
        </w:rPr>
      </w:pPr>
    </w:p>
    <w:p w14:paraId="59D50B80" w14:textId="77777777" w:rsidR="0072065F" w:rsidRPr="00036B6F" w:rsidRDefault="0072065F" w:rsidP="0072065F">
      <w:pPr>
        <w:jc w:val="both"/>
        <w:rPr>
          <w:spacing w:val="-2"/>
        </w:rPr>
      </w:pPr>
      <w:r w:rsidRPr="00036B6F">
        <w:rPr>
          <w:spacing w:val="-2"/>
        </w:rPr>
        <w:t>Le Gouvernement du Sénégal</w:t>
      </w:r>
      <w:r w:rsidRPr="00AB7A1C">
        <w:rPr>
          <w:spacing w:val="-2"/>
        </w:rPr>
        <w:t xml:space="preserve"> a reçu un financement </w:t>
      </w:r>
      <w:r w:rsidRPr="00036B6F">
        <w:rPr>
          <w:spacing w:val="-2"/>
        </w:rPr>
        <w:t>de la Banque Islamique de Développement afin de couvrir</w:t>
      </w:r>
      <w:r>
        <w:rPr>
          <w:spacing w:val="-2"/>
        </w:rPr>
        <w:t>, en partie,</w:t>
      </w:r>
      <w:r w:rsidRPr="00036B6F">
        <w:rPr>
          <w:spacing w:val="-2"/>
        </w:rPr>
        <w:t xml:space="preserve"> le coût du Programme de Développement de la Microfinance Islamique du Sénégal (PROMISE) et a l’intention d’utiliser une partie des sommes accordées pour financer des services de </w:t>
      </w:r>
      <w:r w:rsidRPr="00AB7A1C">
        <w:rPr>
          <w:b/>
          <w:bCs/>
          <w:spacing w:val="-2"/>
        </w:rPr>
        <w:t>consultant/cabinet en évaluation</w:t>
      </w:r>
      <w:r>
        <w:rPr>
          <w:spacing w:val="-2"/>
        </w:rPr>
        <w:t>.</w:t>
      </w:r>
      <w:r w:rsidRPr="00036B6F">
        <w:rPr>
          <w:spacing w:val="-2"/>
        </w:rPr>
        <w:t xml:space="preserve">  </w:t>
      </w:r>
    </w:p>
    <w:p w14:paraId="5D27114E" w14:textId="77777777" w:rsidR="0072065F" w:rsidRDefault="0072065F" w:rsidP="0072065F">
      <w:pPr>
        <w:tabs>
          <w:tab w:val="left" w:pos="90"/>
        </w:tabs>
        <w:jc w:val="both"/>
        <w:rPr>
          <w:spacing w:val="-2"/>
        </w:rPr>
      </w:pPr>
      <w:r w:rsidRPr="00036B6F">
        <w:rPr>
          <w:spacing w:val="-2"/>
        </w:rPr>
        <w:t xml:space="preserve">Les services comprennent </w:t>
      </w:r>
      <w:r w:rsidRPr="00AB7A1C">
        <w:rPr>
          <w:b/>
          <w:bCs/>
          <w:spacing w:val="-2"/>
        </w:rPr>
        <w:t>une évaluation indépendante du Programme</w:t>
      </w:r>
      <w:r w:rsidRPr="00AB7A1C">
        <w:rPr>
          <w:spacing w:val="-2"/>
        </w:rPr>
        <w:t xml:space="preserve"> à travers ses principales phases de mise en œuvre.  De manière spécifique, le Cabinet </w:t>
      </w:r>
      <w:r>
        <w:rPr>
          <w:spacing w:val="-2"/>
        </w:rPr>
        <w:t xml:space="preserve">sera principalement tenu </w:t>
      </w:r>
      <w:r w:rsidRPr="00AB7A1C">
        <w:rPr>
          <w:spacing w:val="-2"/>
        </w:rPr>
        <w:t>: (1) D’évaluer la situation de référence des indicateurs du cadre logique ; (2) De procéder à une appréciation globale et indépendante de la mise en œuvre du Programme, de son efficacité à produire les résultats à mi-parcours en formulant les principales recommandations ; et (3) De conduire une évaluation finale du Programme, notamment l’analyse des changements survenus au niveau des bénéficiaires, d’une part, et, d’autre part, au niveau de la règlementation d’une manière générale ainsi que la capitalisation des bonnes pratiques lors de la mise en œuvre du PROMISE.</w:t>
      </w:r>
    </w:p>
    <w:p w14:paraId="3ECFB514" w14:textId="77777777" w:rsidR="0072065F" w:rsidRDefault="0072065F" w:rsidP="0072065F">
      <w:pPr>
        <w:spacing w:before="120" w:after="120"/>
        <w:jc w:val="both"/>
        <w:rPr>
          <w:spacing w:val="-2"/>
        </w:rPr>
      </w:pPr>
      <w:r>
        <w:rPr>
          <w:spacing w:val="-2"/>
        </w:rPr>
        <w:t xml:space="preserve">La mission est prévue à partir du mois de </w:t>
      </w:r>
      <w:r>
        <w:rPr>
          <w:b/>
          <w:bCs/>
          <w:spacing w:val="-2"/>
        </w:rPr>
        <w:t>juin 2022</w:t>
      </w:r>
      <w:r>
        <w:rPr>
          <w:spacing w:val="-2"/>
        </w:rPr>
        <w:t xml:space="preserve"> pour une durée de </w:t>
      </w:r>
      <w:r>
        <w:rPr>
          <w:b/>
          <w:bCs/>
          <w:spacing w:val="-2"/>
        </w:rPr>
        <w:t>24 mois</w:t>
      </w:r>
      <w:r>
        <w:rPr>
          <w:spacing w:val="-2"/>
        </w:rPr>
        <w:t>.</w:t>
      </w:r>
    </w:p>
    <w:p w14:paraId="41628EA4" w14:textId="77777777" w:rsidR="0072065F" w:rsidRPr="00036B6F" w:rsidRDefault="0072065F" w:rsidP="0072065F">
      <w:pPr>
        <w:spacing w:after="120"/>
        <w:jc w:val="both"/>
        <w:rPr>
          <w:spacing w:val="-2"/>
        </w:rPr>
      </w:pPr>
      <w:r w:rsidRPr="00036B6F">
        <w:rPr>
          <w:spacing w:val="-2"/>
        </w:rPr>
        <w:t xml:space="preserve">Les Termes de Référence (TdR) détaillés de la mission </w:t>
      </w:r>
      <w:r w:rsidRPr="00DE0B7D">
        <w:rPr>
          <w:spacing w:val="-2"/>
        </w:rPr>
        <w:t>sont disponibles à l’adresse ci-dessous</w:t>
      </w:r>
      <w:r w:rsidRPr="00036B6F">
        <w:rPr>
          <w:spacing w:val="-2"/>
        </w:rPr>
        <w:t>.</w:t>
      </w:r>
    </w:p>
    <w:p w14:paraId="7D070344" w14:textId="77777777" w:rsidR="0072065F" w:rsidRDefault="0072065F" w:rsidP="0072065F">
      <w:pPr>
        <w:spacing w:after="120"/>
        <w:jc w:val="both"/>
        <w:rPr>
          <w:spacing w:val="-2"/>
        </w:rPr>
      </w:pPr>
      <w:r w:rsidRPr="00036B6F">
        <w:rPr>
          <w:spacing w:val="-2"/>
        </w:rPr>
        <w:t xml:space="preserve">Le PROMISE </w:t>
      </w:r>
      <w:r w:rsidRPr="00036B6F">
        <w:t xml:space="preserve">invite les bureaux de Consultants (« Consultants ») éligibles à manifester leur intérêt en vue de fournir les services ci-dessus. </w:t>
      </w:r>
      <w:r w:rsidRPr="00036B6F">
        <w:rPr>
          <w:spacing w:val="-2"/>
        </w:rPr>
        <w:t xml:space="preserve">Les Consultants intéressés doivent fournir des renseignements spécifiques démontrant qu’ils sont pleinement qualifiés pour réaliser les prestations </w:t>
      </w:r>
      <w:r>
        <w:rPr>
          <w:spacing w:val="-2"/>
        </w:rPr>
        <w:t xml:space="preserve">(documentation, référence de prestations similaires, expérience dans des conditions comparables, disponibilité de compétences adéquates parmi leur personnel, etc.). </w:t>
      </w:r>
    </w:p>
    <w:p w14:paraId="111531CE" w14:textId="77777777" w:rsidR="0072065F" w:rsidRPr="00804A8B" w:rsidRDefault="0072065F" w:rsidP="0072065F">
      <w:pPr>
        <w:spacing w:after="120"/>
        <w:jc w:val="both"/>
        <w:rPr>
          <w:spacing w:val="-2"/>
        </w:rPr>
      </w:pPr>
      <w:r w:rsidRPr="00804A8B">
        <w:rPr>
          <w:spacing w:val="-2"/>
        </w:rPr>
        <w:t xml:space="preserve">Les critères d’établissement de la liste restreinte sont : </w:t>
      </w:r>
    </w:p>
    <w:p w14:paraId="7524671A" w14:textId="64795373" w:rsidR="0072065F" w:rsidRPr="00804A8B" w:rsidRDefault="0072065F" w:rsidP="0072065F">
      <w:pPr>
        <w:numPr>
          <w:ilvl w:val="0"/>
          <w:numId w:val="3"/>
        </w:numPr>
        <w:spacing w:before="120" w:after="120" w:line="276" w:lineRule="auto"/>
        <w:ind w:left="360" w:hanging="270"/>
        <w:jc w:val="both"/>
        <w:rPr>
          <w:lang w:val="fr-CH"/>
        </w:rPr>
      </w:pPr>
      <w:r w:rsidRPr="00804A8B">
        <w:t xml:space="preserve">L’expérience générale du </w:t>
      </w:r>
      <w:r w:rsidR="00D014F2">
        <w:t xml:space="preserve">cabinet </w:t>
      </w:r>
      <w:r w:rsidRPr="00804A8B">
        <w:rPr>
          <w:lang w:val="fr-CH"/>
        </w:rPr>
        <w:t>;</w:t>
      </w:r>
    </w:p>
    <w:p w14:paraId="1094444A" w14:textId="77777777" w:rsidR="0072065F" w:rsidRPr="00804A8B" w:rsidRDefault="0072065F" w:rsidP="0072065F">
      <w:pPr>
        <w:numPr>
          <w:ilvl w:val="0"/>
          <w:numId w:val="3"/>
        </w:numPr>
        <w:spacing w:before="120" w:after="120" w:line="276" w:lineRule="auto"/>
        <w:ind w:left="360" w:hanging="270"/>
        <w:jc w:val="both"/>
        <w:rPr>
          <w:lang w:val="fr-CH"/>
        </w:rPr>
      </w:pPr>
      <w:r w:rsidRPr="00804A8B">
        <w:t xml:space="preserve">Les qualifications du cabinet dans le domaine des prostrations : (1) Le nombre d’années d’expérience dans le domaine des prestations demandées et notamment (2) le nombre de références concernant l’exécution de marchés similaires (le candidat doit fournir obligatoirement les attestations de services faits et/ou les contrats et/ou les Procès-Verbaux de réception) ; </w:t>
      </w:r>
    </w:p>
    <w:p w14:paraId="230C7778" w14:textId="77777777" w:rsidR="0072065F" w:rsidRPr="00804A8B" w:rsidRDefault="0072065F" w:rsidP="0072065F">
      <w:pPr>
        <w:numPr>
          <w:ilvl w:val="0"/>
          <w:numId w:val="3"/>
        </w:numPr>
        <w:spacing w:before="120" w:after="120" w:line="276" w:lineRule="auto"/>
        <w:ind w:left="360" w:hanging="270"/>
        <w:jc w:val="both"/>
        <w:rPr>
          <w:lang w:val="fr-CH"/>
        </w:rPr>
      </w:pPr>
      <w:r w:rsidRPr="00804A8B">
        <w:t xml:space="preserve"> Organisation technique et managériale du cabinet ; </w:t>
      </w:r>
    </w:p>
    <w:p w14:paraId="304FECFE" w14:textId="77777777" w:rsidR="0072065F" w:rsidRPr="00804A8B" w:rsidRDefault="0072065F" w:rsidP="0072065F">
      <w:pPr>
        <w:numPr>
          <w:ilvl w:val="0"/>
          <w:numId w:val="3"/>
        </w:numPr>
        <w:spacing w:before="120" w:after="120" w:line="276" w:lineRule="auto"/>
        <w:ind w:left="360" w:hanging="270"/>
        <w:jc w:val="both"/>
        <w:rPr>
          <w:lang w:val="fr-CH"/>
        </w:rPr>
      </w:pPr>
      <w:r w:rsidRPr="00804A8B">
        <w:lastRenderedPageBreak/>
        <w:t xml:space="preserve"> Le nombre de personnels professionnels du cabinet.</w:t>
      </w:r>
    </w:p>
    <w:p w14:paraId="0543A12C" w14:textId="77777777" w:rsidR="0072065F" w:rsidRPr="00902886" w:rsidRDefault="0072065F" w:rsidP="0072065F">
      <w:pPr>
        <w:spacing w:after="120"/>
        <w:jc w:val="both"/>
        <w:rPr>
          <w:color w:val="0000FF"/>
          <w:u w:val="single"/>
        </w:rPr>
      </w:pPr>
      <w:r>
        <w:rPr>
          <w:spacing w:val="-2"/>
        </w:rPr>
        <w:t xml:space="preserve">Les Consultants qui seront manifestés seront évalués </w:t>
      </w:r>
      <w:r w:rsidRPr="00036B6F">
        <w:rPr>
          <w:spacing w:val="-2"/>
        </w:rPr>
        <w:t xml:space="preserve">en conformité avec les procédures stipulées dans les </w:t>
      </w:r>
      <w:r w:rsidRPr="00036B6F">
        <w:t xml:space="preserve">Directives pour l’utilisation des Consultants dans le cadre de projets financés par la Banque Islamique de Développement </w:t>
      </w:r>
      <w:r>
        <w:t>(édition</w:t>
      </w:r>
      <w:r w:rsidRPr="002C6EAB">
        <w:t xml:space="preserve"> </w:t>
      </w:r>
      <w:r>
        <w:t>April 2019</w:t>
      </w:r>
      <w:r w:rsidRPr="00036B6F">
        <w:t xml:space="preserve">), disponibles sur le site internet de la banque à l’adresse suivantes : </w:t>
      </w:r>
      <w:hyperlink r:id="rId7" w:history="1">
        <w:r w:rsidRPr="00036B6F">
          <w:rPr>
            <w:rStyle w:val="Hyperlink"/>
          </w:rPr>
          <w:t>www.isdb.org</w:t>
        </w:r>
      </w:hyperlink>
      <w:r>
        <w:rPr>
          <w:rStyle w:val="Hyperlink"/>
        </w:rPr>
        <w:t xml:space="preserve"> </w:t>
      </w:r>
      <w:r w:rsidRPr="00A4088A">
        <w:t>et sur la base des critères ci-dessous :</w:t>
      </w:r>
    </w:p>
    <w:p w14:paraId="0E8AC0BF" w14:textId="77777777" w:rsidR="0072065F" w:rsidRPr="00036B6F" w:rsidRDefault="0072065F" w:rsidP="0072065F">
      <w:pPr>
        <w:spacing w:after="120"/>
        <w:jc w:val="both"/>
        <w:rPr>
          <w:spacing w:val="-2"/>
        </w:rPr>
      </w:pPr>
      <w:r w:rsidRPr="00DE0B7D">
        <w:rPr>
          <w:spacing w:val="-2"/>
        </w:rPr>
        <w:t xml:space="preserve">Les Personnels-clés </w:t>
      </w:r>
      <w:r w:rsidRPr="00DE0B7D">
        <w:rPr>
          <w:b/>
          <w:bCs/>
          <w:spacing w:val="-2"/>
        </w:rPr>
        <w:t>ne feront pas l’objet d’évaluation</w:t>
      </w:r>
      <w:r w:rsidRPr="00DE0B7D">
        <w:rPr>
          <w:spacing w:val="-2"/>
        </w:rPr>
        <w:t xml:space="preserve"> au stade de </w:t>
      </w:r>
      <w:r w:rsidRPr="00DE0B7D">
        <w:rPr>
          <w:b/>
          <w:bCs/>
          <w:spacing w:val="-2"/>
        </w:rPr>
        <w:t>l’établissement de la liste retreinte</w:t>
      </w:r>
      <w:r w:rsidRPr="00DE0B7D">
        <w:rPr>
          <w:spacing w:val="-2"/>
        </w:rPr>
        <w:t>.</w:t>
      </w:r>
    </w:p>
    <w:p w14:paraId="7C1115DB" w14:textId="77777777" w:rsidR="0072065F" w:rsidRPr="00036B6F" w:rsidRDefault="0072065F" w:rsidP="0072065F">
      <w:pPr>
        <w:spacing w:after="120"/>
        <w:jc w:val="both"/>
      </w:pPr>
      <w:r w:rsidRPr="00036B6F">
        <w:t xml:space="preserve">Les </w:t>
      </w:r>
      <w:r w:rsidRPr="00036B6F">
        <w:rPr>
          <w:spacing w:val="-2"/>
        </w:rPr>
        <w:t>Consultants</w:t>
      </w:r>
      <w:r w:rsidRPr="00036B6F">
        <w:t xml:space="preserve"> intéressés sont invités à prendre connaissance des Clauses 1.23 et 1.24 des Directives sur l’acquisition des Services de Consultants dans le cadre des Projets financés par la Banque Islamique de Développement (les « Directives »)</w:t>
      </w:r>
      <w:r>
        <w:rPr>
          <w:rStyle w:val="FootnoteReference"/>
        </w:rPr>
        <w:footnoteReference w:id="1"/>
      </w:r>
      <w:r w:rsidRPr="00036B6F">
        <w:t xml:space="preserve"> définissant les règles de la BIsD concernant les conflits d’intérêt.</w:t>
      </w:r>
    </w:p>
    <w:p w14:paraId="368074C9" w14:textId="77777777" w:rsidR="0072065F" w:rsidRDefault="0072065F" w:rsidP="0072065F">
      <w:pPr>
        <w:spacing w:after="120"/>
        <w:jc w:val="both"/>
        <w:rPr>
          <w:spacing w:val="-2"/>
        </w:rPr>
      </w:pPr>
      <w:r w:rsidRPr="00036B6F">
        <w:rPr>
          <w:spacing w:val="-2"/>
        </w:rPr>
        <w:t xml:space="preserve">Les Consultants peuvent s’associer avec d’autres firmes afin de renforcer leurs qualifications en </w:t>
      </w:r>
      <w:r w:rsidRPr="00AB7A1C">
        <w:rPr>
          <w:b/>
          <w:bCs/>
          <w:spacing w:val="-2"/>
        </w:rPr>
        <w:t>indiquant clairement le type d’association</w:t>
      </w:r>
      <w:r w:rsidRPr="00036B6F">
        <w:rPr>
          <w:spacing w:val="-2"/>
        </w:rPr>
        <w:t xml:space="preserve">, c’est-à-dire un groupement de consultants, ou une intention de sous-traitance.  Dans le cas de groupement, tous les partenaires du groupement seront </w:t>
      </w:r>
      <w:r w:rsidRPr="00AB7A1C">
        <w:rPr>
          <w:b/>
          <w:bCs/>
          <w:spacing w:val="-2"/>
        </w:rPr>
        <w:t>conjointement et solidairement responsables</w:t>
      </w:r>
      <w:r w:rsidRPr="00036B6F">
        <w:rPr>
          <w:spacing w:val="-2"/>
        </w:rPr>
        <w:t xml:space="preserve"> pour la totalité du contrat, en cas d’attribution.</w:t>
      </w:r>
    </w:p>
    <w:p w14:paraId="790D112B" w14:textId="77777777" w:rsidR="0072065F" w:rsidRDefault="0072065F" w:rsidP="0072065F">
      <w:pPr>
        <w:spacing w:after="120"/>
        <w:jc w:val="both"/>
        <w:rPr>
          <w:spacing w:val="-2"/>
        </w:rPr>
      </w:pPr>
      <w:r>
        <w:rPr>
          <w:spacing w:val="-2"/>
        </w:rPr>
        <w:t xml:space="preserve">La sélection se fera en conformité avec la </w:t>
      </w:r>
      <w:r w:rsidRPr="00AB7A1C">
        <w:rPr>
          <w:rFonts w:asciiTheme="majorBidi" w:hAnsiTheme="majorBidi"/>
          <w:spacing w:val="-2"/>
        </w:rPr>
        <w:t xml:space="preserve">méthode de </w:t>
      </w:r>
      <w:r w:rsidRPr="00AB7A1C">
        <w:rPr>
          <w:rFonts w:asciiTheme="majorBidi" w:hAnsiTheme="majorBidi"/>
          <w:b/>
          <w:bCs/>
          <w:lang w:val="fr-CH"/>
        </w:rPr>
        <w:t>Sélection Fondée sur la Qualité et du Coût (SFQC)</w:t>
      </w:r>
      <w:r w:rsidRPr="00AB7A1C">
        <w:rPr>
          <w:rFonts w:asciiTheme="majorBidi" w:hAnsiTheme="majorBidi"/>
          <w:spacing w:val="-2"/>
        </w:rPr>
        <w:t xml:space="preserve"> stipulée dans</w:t>
      </w:r>
      <w:r>
        <w:rPr>
          <w:spacing w:val="-2"/>
        </w:rPr>
        <w:t xml:space="preserve"> les </w:t>
      </w:r>
      <w:r>
        <w:rPr>
          <w:rFonts w:ascii="CG Times" w:hAnsi="CG Times"/>
        </w:rPr>
        <w:t>Directives.</w:t>
      </w:r>
      <w:r>
        <w:rPr>
          <w:spacing w:val="-2"/>
        </w:rPr>
        <w:t xml:space="preserve"> </w:t>
      </w:r>
    </w:p>
    <w:p w14:paraId="055889C6" w14:textId="77777777" w:rsidR="0072065F" w:rsidRDefault="0072065F" w:rsidP="0072065F">
      <w:pPr>
        <w:spacing w:after="120"/>
        <w:jc w:val="both"/>
        <w:rPr>
          <w:spacing w:val="-2"/>
        </w:rPr>
      </w:pPr>
      <w:r>
        <w:rPr>
          <w:spacing w:val="-2"/>
        </w:rPr>
        <w:t xml:space="preserve">Il est demandé aux Consultant de fournir ces informations en ne dépassant pas </w:t>
      </w:r>
      <w:r w:rsidRPr="00EA7805">
        <w:rPr>
          <w:b/>
          <w:spacing w:val="-2"/>
        </w:rPr>
        <w:t>10 pages</w:t>
      </w:r>
      <w:r>
        <w:rPr>
          <w:spacing w:val="-2"/>
        </w:rPr>
        <w:t>.</w:t>
      </w:r>
    </w:p>
    <w:p w14:paraId="30AA1AD1" w14:textId="77777777" w:rsidR="0072065F" w:rsidRDefault="0072065F" w:rsidP="0072065F">
      <w:pPr>
        <w:spacing w:after="120"/>
        <w:jc w:val="both"/>
        <w:rPr>
          <w:spacing w:val="-2"/>
        </w:rPr>
      </w:pPr>
      <w:r w:rsidRPr="00036B6F">
        <w:rPr>
          <w:spacing w:val="-2"/>
        </w:rPr>
        <w:t xml:space="preserve">Les consultants intéressés peuvent obtenir des informations additionnelles à l'adresse mentionnée ci-dessous aux heures d’ouverture de bureaux indiquées : </w:t>
      </w:r>
      <w:r w:rsidRPr="00AB7A1C">
        <w:rPr>
          <w:b/>
          <w:bCs/>
          <w:spacing w:val="-2"/>
        </w:rPr>
        <w:t>8h30-13h00 et 14h30-17h00</w:t>
      </w:r>
      <w:r w:rsidRPr="00036B6F">
        <w:rPr>
          <w:spacing w:val="-2"/>
        </w:rPr>
        <w:t xml:space="preserve">, heure locale. </w:t>
      </w:r>
    </w:p>
    <w:p w14:paraId="08D38C03" w14:textId="77777777" w:rsidR="0072065F" w:rsidRPr="00AB7A1C" w:rsidRDefault="0072065F" w:rsidP="0072065F">
      <w:pPr>
        <w:jc w:val="both"/>
      </w:pPr>
      <w:r w:rsidRPr="00036B6F">
        <w:rPr>
          <w:spacing w:val="-2"/>
        </w:rPr>
        <w:t>Les manifestations d'intérêt sous forme écrite doivent être déposées</w:t>
      </w:r>
      <w:r w:rsidRPr="00BD4645">
        <w:rPr>
          <w:spacing w:val="-2"/>
        </w:rPr>
        <w:t xml:space="preserve"> en personne, </w:t>
      </w:r>
      <w:r w:rsidRPr="00036B6F">
        <w:rPr>
          <w:spacing w:val="-2"/>
        </w:rPr>
        <w:t xml:space="preserve">à l'adresse </w:t>
      </w:r>
      <w:r>
        <w:rPr>
          <w:spacing w:val="-2"/>
        </w:rPr>
        <w:t xml:space="preserve">sus </w:t>
      </w:r>
      <w:r w:rsidRPr="00036B6F">
        <w:rPr>
          <w:spacing w:val="-2"/>
        </w:rPr>
        <w:t xml:space="preserve">mentionnée au plus tard le </w:t>
      </w:r>
      <w:r>
        <w:rPr>
          <w:b/>
          <w:bCs/>
          <w:spacing w:val="-2"/>
          <w:highlight w:val="yellow"/>
        </w:rPr>
        <w:t xml:space="preserve">28 Avril </w:t>
      </w:r>
      <w:r>
        <w:rPr>
          <w:b/>
          <w:bCs/>
          <w:spacing w:val="-2"/>
        </w:rPr>
        <w:t>2022</w:t>
      </w:r>
      <w:r w:rsidRPr="00AB7A1C">
        <w:t xml:space="preserve"> </w:t>
      </w:r>
    </w:p>
    <w:p w14:paraId="36AEF887" w14:textId="77777777" w:rsidR="0072065F" w:rsidRPr="00AB7A1C" w:rsidRDefault="0072065F" w:rsidP="0072065F">
      <w:pPr>
        <w:jc w:val="both"/>
      </w:pPr>
      <w:r w:rsidRPr="00EA7805">
        <w:rPr>
          <w:spacing w:val="-2"/>
        </w:rPr>
        <w:t xml:space="preserve">Les propositions seront ouvertes en présence des candidats qui le souhaitent à l’adresse mentionnée ci-dessus au plus tard le </w:t>
      </w:r>
      <w:r>
        <w:rPr>
          <w:b/>
          <w:bCs/>
          <w:spacing w:val="-2"/>
          <w:highlight w:val="yellow"/>
        </w:rPr>
        <w:t xml:space="preserve">28 Avril </w:t>
      </w:r>
      <w:r>
        <w:rPr>
          <w:b/>
          <w:bCs/>
          <w:spacing w:val="-2"/>
        </w:rPr>
        <w:t>2022</w:t>
      </w:r>
      <w:r w:rsidRPr="00AB7A1C">
        <w:t xml:space="preserve"> </w:t>
      </w:r>
      <w:r>
        <w:t>à 11h00</w:t>
      </w:r>
    </w:p>
    <w:p w14:paraId="718117AD" w14:textId="77777777" w:rsidR="0072065F" w:rsidRPr="00AB7A1C" w:rsidRDefault="0072065F" w:rsidP="0072065F">
      <w:pPr>
        <w:spacing w:after="120"/>
        <w:jc w:val="both"/>
        <w:rPr>
          <w:iCs/>
          <w:spacing w:val="-2"/>
        </w:rPr>
      </w:pPr>
      <w:r w:rsidRPr="00EA7805">
        <w:rPr>
          <w:spacing w:val="-2"/>
        </w:rPr>
        <w:t xml:space="preserve"> </w:t>
      </w:r>
      <w:r w:rsidRPr="00AB7A1C">
        <w:rPr>
          <w:iCs/>
          <w:spacing w:val="-2"/>
        </w:rPr>
        <w:t>Programme de Développement de la Microfinance Islamique du Sénégal (PROMISE) :</w:t>
      </w:r>
    </w:p>
    <w:p w14:paraId="00763060" w14:textId="77777777" w:rsidR="0072065F" w:rsidRPr="00AB7A1C" w:rsidRDefault="0072065F" w:rsidP="0072065F">
      <w:pPr>
        <w:spacing w:line="276" w:lineRule="auto"/>
        <w:jc w:val="both"/>
        <w:rPr>
          <w:iCs/>
          <w:spacing w:val="-2"/>
        </w:rPr>
      </w:pPr>
      <w:r w:rsidRPr="00AB7A1C">
        <w:rPr>
          <w:iCs/>
          <w:spacing w:val="-2"/>
        </w:rPr>
        <w:t xml:space="preserve">À l'attention : Mme GUEYE </w:t>
      </w:r>
      <w:proofErr w:type="spellStart"/>
      <w:r>
        <w:rPr>
          <w:iCs/>
          <w:spacing w:val="-2"/>
        </w:rPr>
        <w:t>Fa</w:t>
      </w:r>
      <w:r w:rsidRPr="00AB7A1C">
        <w:rPr>
          <w:iCs/>
          <w:spacing w:val="-2"/>
        </w:rPr>
        <w:t>tou</w:t>
      </w:r>
      <w:proofErr w:type="spellEnd"/>
      <w:r w:rsidRPr="00AB7A1C">
        <w:rPr>
          <w:iCs/>
          <w:spacing w:val="-2"/>
        </w:rPr>
        <w:t xml:space="preserve"> DIANE, Coordonnateur National</w:t>
      </w:r>
    </w:p>
    <w:p w14:paraId="512A9556" w14:textId="77777777" w:rsidR="0072065F" w:rsidRPr="00AB7A1C" w:rsidRDefault="0072065F" w:rsidP="0072065F">
      <w:pPr>
        <w:spacing w:line="276" w:lineRule="auto"/>
        <w:jc w:val="both"/>
        <w:rPr>
          <w:iCs/>
        </w:rPr>
      </w:pPr>
      <w:r w:rsidRPr="00AB7A1C">
        <w:rPr>
          <w:iCs/>
          <w:spacing w:val="-2"/>
        </w:rPr>
        <w:t xml:space="preserve">Adresse: </w:t>
      </w:r>
      <w:r w:rsidRPr="00AB7A1C">
        <w:rPr>
          <w:iCs/>
        </w:rPr>
        <w:t>137, Rue Moussé DIOP X Jules FERRY, immeuble MBINE NDENE, à côté de l’immeuble TAMARO</w:t>
      </w:r>
    </w:p>
    <w:p w14:paraId="69AFE280" w14:textId="77777777" w:rsidR="0072065F" w:rsidRPr="00902886" w:rsidRDefault="0072065F" w:rsidP="0072065F">
      <w:pPr>
        <w:jc w:val="both"/>
        <w:rPr>
          <w:iCs/>
        </w:rPr>
      </w:pPr>
      <w:r w:rsidRPr="00AB7A1C">
        <w:rPr>
          <w:iCs/>
        </w:rPr>
        <w:t>Tel :</w:t>
      </w:r>
      <w:r w:rsidRPr="00902886">
        <w:rPr>
          <w:iCs/>
        </w:rPr>
        <w:t xml:space="preserve"> 338695454 </w:t>
      </w:r>
    </w:p>
    <w:p w14:paraId="1B914123" w14:textId="77777777" w:rsidR="0072065F" w:rsidRPr="00AB7A1C" w:rsidRDefault="0072065F" w:rsidP="0072065F">
      <w:pPr>
        <w:spacing w:line="276" w:lineRule="auto"/>
        <w:jc w:val="both"/>
        <w:rPr>
          <w:rStyle w:val="Hyperlink"/>
          <w:iCs/>
        </w:rPr>
      </w:pPr>
      <w:r w:rsidRPr="00AB7A1C">
        <w:rPr>
          <w:iCs/>
        </w:rPr>
        <w:t xml:space="preserve">Courriel : </w:t>
      </w:r>
      <w:hyperlink r:id="rId8" w:history="1">
        <w:r w:rsidRPr="00B06103">
          <w:rPr>
            <w:rStyle w:val="Hyperlink"/>
            <w:iCs/>
          </w:rPr>
          <w:t>dida329@hotmail.com</w:t>
        </w:r>
      </w:hyperlink>
      <w:r>
        <w:rPr>
          <w:rStyle w:val="Hyperlink"/>
          <w:iCs/>
        </w:rPr>
        <w:t xml:space="preserve"> / </w:t>
      </w:r>
      <w:hyperlink r:id="rId9" w:history="1">
        <w:r w:rsidRPr="00AB7A1C">
          <w:rPr>
            <w:rStyle w:val="Hyperlink"/>
            <w:iCs/>
          </w:rPr>
          <w:t>contact@promise.gouv.sn</w:t>
        </w:r>
      </w:hyperlink>
    </w:p>
    <w:p w14:paraId="2E7CA020" w14:textId="77777777" w:rsidR="0072065F" w:rsidRDefault="0072065F" w:rsidP="0072065F">
      <w:pPr>
        <w:spacing w:line="276" w:lineRule="auto"/>
        <w:jc w:val="both"/>
        <w:rPr>
          <w:iCs/>
        </w:rPr>
      </w:pPr>
      <w:r w:rsidRPr="00BD4645">
        <w:rPr>
          <w:iCs/>
        </w:rPr>
        <w:t xml:space="preserve">Site internet: www.promise.gouv.sn </w:t>
      </w:r>
    </w:p>
    <w:p w14:paraId="7E17BF3E" w14:textId="77777777" w:rsidR="0072065F" w:rsidRDefault="0072065F" w:rsidP="0072065F">
      <w:pPr>
        <w:spacing w:line="276" w:lineRule="auto"/>
        <w:jc w:val="both"/>
        <w:rPr>
          <w:iCs/>
        </w:rPr>
      </w:pPr>
    </w:p>
    <w:p w14:paraId="7010A2A2" w14:textId="77777777" w:rsidR="0072065F" w:rsidRDefault="0072065F" w:rsidP="0072065F">
      <w:pPr>
        <w:spacing w:line="276" w:lineRule="auto"/>
        <w:jc w:val="both"/>
        <w:rPr>
          <w:iCs/>
        </w:rPr>
      </w:pPr>
    </w:p>
    <w:p w14:paraId="493C1D75" w14:textId="77777777" w:rsidR="0072065F" w:rsidRDefault="0072065F" w:rsidP="0072065F">
      <w:pPr>
        <w:spacing w:line="276" w:lineRule="auto"/>
        <w:jc w:val="both"/>
        <w:rPr>
          <w:iCs/>
        </w:rPr>
      </w:pPr>
    </w:p>
    <w:p w14:paraId="2242EE0B" w14:textId="77777777" w:rsidR="0072065F" w:rsidRPr="00EA7805" w:rsidRDefault="0072065F" w:rsidP="0072065F">
      <w:pPr>
        <w:spacing w:line="276" w:lineRule="auto"/>
        <w:jc w:val="both"/>
        <w:rPr>
          <w:b/>
          <w:spacing w:val="-2"/>
        </w:rPr>
      </w:pPr>
      <w:r>
        <w:rPr>
          <w:b/>
          <w:spacing w:val="-2"/>
        </w:rPr>
        <w:t xml:space="preserve">                                                                                                                                    </w:t>
      </w:r>
      <w:r w:rsidRPr="00EA7805">
        <w:rPr>
          <w:b/>
          <w:spacing w:val="-2"/>
        </w:rPr>
        <w:t>LE COORDONNATEUR NATIONAL</w:t>
      </w:r>
    </w:p>
    <w:p w14:paraId="7CB2DBFB" w14:textId="77777777" w:rsidR="00F35EB2" w:rsidRDefault="00F35EB2" w:rsidP="0072065F">
      <w:pPr>
        <w:tabs>
          <w:tab w:val="left" w:pos="0"/>
        </w:tabs>
        <w:jc w:val="center"/>
        <w:rPr>
          <w:rFonts w:ascii="Arial" w:hAnsi="Arial"/>
          <w:b/>
          <w:i/>
          <w:sz w:val="28"/>
          <w:szCs w:val="28"/>
          <w:u w:val="single"/>
        </w:rPr>
      </w:pPr>
    </w:p>
    <w:sectPr w:rsidR="00F35EB2" w:rsidSect="00C271D8">
      <w:headerReference w:type="default" r:id="rId10"/>
      <w:footerReference w:type="default" r:id="rId11"/>
      <w:headerReference w:type="first" r:id="rId12"/>
      <w:pgSz w:w="11906" w:h="16838"/>
      <w:pgMar w:top="1772" w:right="849" w:bottom="568" w:left="1134" w:header="142" w:footer="2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6A44" w14:textId="77777777" w:rsidR="00436D5A" w:rsidRDefault="00436D5A">
      <w:pPr>
        <w:spacing w:after="0" w:line="240" w:lineRule="auto"/>
      </w:pPr>
      <w:r>
        <w:separator/>
      </w:r>
    </w:p>
  </w:endnote>
  <w:endnote w:type="continuationSeparator" w:id="0">
    <w:p w14:paraId="145A55AF" w14:textId="77777777" w:rsidR="00436D5A" w:rsidRDefault="0043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Liberation Serif">
    <w:altName w:val="Times New Roman"/>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G Times">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2" w:type="pct"/>
      <w:tblInd w:w="-284" w:type="dxa"/>
      <w:tblBorders>
        <w:top w:val="single" w:sz="4" w:space="0" w:color="auto"/>
      </w:tblBorders>
      <w:shd w:val="clear" w:color="auto" w:fill="5B9BD5" w:themeFill="accent1"/>
      <w:tblCellMar>
        <w:left w:w="115" w:type="dxa"/>
        <w:right w:w="115" w:type="dxa"/>
      </w:tblCellMar>
      <w:tblLook w:val="04A0" w:firstRow="1" w:lastRow="0" w:firstColumn="1" w:lastColumn="0" w:noHBand="0" w:noVBand="1"/>
    </w:tblPr>
    <w:tblGrid>
      <w:gridCol w:w="10066"/>
    </w:tblGrid>
    <w:tr w:rsidR="00781905" w:rsidRPr="0072065F" w14:paraId="627888C0" w14:textId="77777777" w:rsidTr="00C22D2B">
      <w:trPr>
        <w:trHeight w:val="271"/>
      </w:trPr>
      <w:tc>
        <w:tcPr>
          <w:tcW w:w="5000" w:type="pct"/>
          <w:tcBorders>
            <w:top w:val="nil"/>
          </w:tcBorders>
          <w:shd w:val="clear" w:color="auto" w:fill="538135" w:themeFill="accent6" w:themeFillShade="BF"/>
          <w:vAlign w:val="bottom"/>
        </w:tcPr>
        <w:p w14:paraId="7EBABDCF" w14:textId="77777777" w:rsidR="00113398" w:rsidRDefault="007C5B5B" w:rsidP="00113398">
          <w:pPr>
            <w:pStyle w:val="Footer"/>
            <w:jc w:val="center"/>
            <w:rPr>
              <w:rFonts w:asciiTheme="minorHAnsi" w:hAnsiTheme="minorHAnsi" w:cstheme="minorHAnsi"/>
              <w:caps/>
              <w:color w:val="FFFFFF" w:themeColor="background1"/>
              <w:sz w:val="20"/>
              <w:szCs w:val="18"/>
            </w:rPr>
          </w:pPr>
          <w:r w:rsidRPr="0043542D">
            <w:rPr>
              <w:rFonts w:asciiTheme="minorHAnsi" w:hAnsiTheme="minorHAnsi" w:cstheme="minorHAnsi"/>
              <w:caps/>
              <w:color w:val="FFFFFF" w:themeColor="background1"/>
              <w:sz w:val="20"/>
              <w:szCs w:val="18"/>
            </w:rPr>
            <w:t>Immeuble Mbine Ndene 137, rue Moussé Diop x Jules Fer</w:t>
          </w:r>
          <w:r w:rsidR="00113398">
            <w:rPr>
              <w:rFonts w:asciiTheme="minorHAnsi" w:hAnsiTheme="minorHAnsi" w:cstheme="minorHAnsi"/>
              <w:caps/>
              <w:color w:val="FFFFFF" w:themeColor="background1"/>
              <w:sz w:val="20"/>
              <w:szCs w:val="18"/>
            </w:rPr>
            <w:t>ry à côté de l’immeuble Tamaro</w:t>
          </w:r>
        </w:p>
        <w:p w14:paraId="5D10A436" w14:textId="77777777" w:rsidR="00781905" w:rsidRPr="00065B2F" w:rsidRDefault="0043542D" w:rsidP="00113398">
          <w:pPr>
            <w:pStyle w:val="Footer"/>
            <w:jc w:val="center"/>
            <w:rPr>
              <w:rFonts w:asciiTheme="minorHAnsi" w:hAnsiTheme="minorHAnsi" w:cstheme="minorHAnsi"/>
              <w:caps/>
              <w:color w:val="FFFFFF" w:themeColor="background1"/>
              <w:sz w:val="20"/>
              <w:szCs w:val="18"/>
              <w:lang w:val="en-US"/>
            </w:rPr>
          </w:pPr>
          <w:r w:rsidRPr="00065B2F">
            <w:rPr>
              <w:rFonts w:asciiTheme="minorHAnsi" w:hAnsiTheme="minorHAnsi" w:cstheme="minorHAnsi"/>
              <w:caps/>
              <w:color w:val="FFFFFF" w:themeColor="background1"/>
              <w:sz w:val="20"/>
              <w:szCs w:val="18"/>
              <w:lang w:val="en-US"/>
            </w:rPr>
            <w:t xml:space="preserve">Tél : 76 648 51 66 </w:t>
          </w:r>
          <w:r w:rsidR="007C5B5B" w:rsidRPr="00065B2F">
            <w:rPr>
              <w:rFonts w:asciiTheme="minorHAnsi" w:hAnsiTheme="minorHAnsi" w:cstheme="minorHAnsi"/>
              <w:caps/>
              <w:color w:val="FFFFFF" w:themeColor="background1"/>
              <w:sz w:val="20"/>
              <w:szCs w:val="18"/>
              <w:lang w:val="en-US"/>
            </w:rPr>
            <w:t xml:space="preserve">Site web : </w:t>
          </w:r>
          <w:hyperlink r:id="rId1" w:history="1">
            <w:r w:rsidR="00B0416F" w:rsidRPr="00065B2F">
              <w:rPr>
                <w:rStyle w:val="Hyperlink"/>
                <w:rFonts w:asciiTheme="minorHAnsi" w:hAnsiTheme="minorHAnsi" w:cstheme="minorHAnsi"/>
                <w:color w:val="FFFFFF" w:themeColor="background1"/>
                <w:sz w:val="24"/>
                <w:szCs w:val="24"/>
                <w:lang w:val="en-US"/>
              </w:rPr>
              <w:t>www.promise.sec.gouv.sn</w:t>
            </w:r>
          </w:hyperlink>
        </w:p>
      </w:tc>
    </w:tr>
  </w:tbl>
  <w:p w14:paraId="4523257C" w14:textId="77777777" w:rsidR="00556D61" w:rsidRPr="00065B2F" w:rsidRDefault="00436D5A" w:rsidP="0043542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51523" w14:textId="77777777" w:rsidR="00436D5A" w:rsidRDefault="00436D5A">
      <w:pPr>
        <w:spacing w:after="0" w:line="240" w:lineRule="auto"/>
      </w:pPr>
      <w:r>
        <w:separator/>
      </w:r>
    </w:p>
  </w:footnote>
  <w:footnote w:type="continuationSeparator" w:id="0">
    <w:p w14:paraId="373491BC" w14:textId="77777777" w:rsidR="00436D5A" w:rsidRDefault="00436D5A">
      <w:pPr>
        <w:spacing w:after="0" w:line="240" w:lineRule="auto"/>
      </w:pPr>
      <w:r>
        <w:continuationSeparator/>
      </w:r>
    </w:p>
  </w:footnote>
  <w:footnote w:id="1">
    <w:p w14:paraId="25AB5D85" w14:textId="77777777" w:rsidR="0072065F" w:rsidRDefault="0072065F" w:rsidP="0072065F">
      <w:pPr>
        <w:pStyle w:val="FootnoteText"/>
      </w:pPr>
      <w:r>
        <w:rPr>
          <w:rStyle w:val="FootnoteReference"/>
        </w:rPr>
        <w:footnoteRef/>
      </w:r>
      <w:r>
        <w:t xml:space="preserve"> </w:t>
      </w:r>
      <w:hyperlink r:id="rId1" w:history="1">
        <w:r>
          <w:rPr>
            <w:rStyle w:val="Hyperlink"/>
            <w:lang w:val="fr-FR"/>
          </w:rPr>
          <w:t>www.isdb.org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E136" w14:textId="77777777" w:rsidR="00206090" w:rsidRDefault="00436D5A" w:rsidP="00556D61">
    <w:pPr>
      <w:spacing w:after="0" w:line="160" w:lineRule="atLeast"/>
      <w:ind w:left="-340"/>
      <w:contextualSpacing/>
      <w:jc w:val="center"/>
      <w:rPr>
        <w:rFonts w:ascii="Times New Roman" w:eastAsia="Times New Roman" w:hAnsi="Times New Roman"/>
        <w:b/>
        <w:sz w:val="16"/>
        <w:szCs w:val="16"/>
        <w:lang w:eastAsia="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07CE" w14:textId="77777777" w:rsidR="00C271D8" w:rsidRDefault="00C271D8" w:rsidP="00C271D8">
    <w:pPr>
      <w:spacing w:after="0" w:line="160" w:lineRule="atLeast"/>
      <w:ind w:left="-340"/>
      <w:contextualSpacing/>
      <w:jc w:val="center"/>
      <w:rPr>
        <w:rFonts w:ascii="Times New Roman" w:eastAsia="Times New Roman" w:hAnsi="Times New Roman"/>
        <w:b/>
        <w:sz w:val="16"/>
        <w:szCs w:val="16"/>
        <w:lang w:eastAsia="fr-FR"/>
      </w:rPr>
    </w:pPr>
  </w:p>
  <w:p w14:paraId="07305A75" w14:textId="77777777" w:rsidR="00C271D8" w:rsidRPr="008E2AC0" w:rsidRDefault="00C271D8" w:rsidP="00C271D8">
    <w:pPr>
      <w:spacing w:after="0" w:line="160" w:lineRule="atLeast"/>
      <w:ind w:left="-340"/>
      <w:contextualSpacing/>
      <w:jc w:val="center"/>
      <w:rPr>
        <w:rFonts w:ascii="Times New Roman" w:eastAsia="Times New Roman" w:hAnsi="Times New Roman"/>
        <w:b/>
        <w:sz w:val="16"/>
        <w:szCs w:val="16"/>
        <w:lang w:eastAsia="fr-FR"/>
      </w:rPr>
    </w:pPr>
    <w:r w:rsidRPr="008E2AC0">
      <w:rPr>
        <w:rFonts w:ascii="Times New Roman" w:eastAsia="Times New Roman" w:hAnsi="Times New Roman"/>
        <w:b/>
        <w:sz w:val="16"/>
        <w:szCs w:val="16"/>
        <w:lang w:eastAsia="fr-FR"/>
      </w:rPr>
      <w:t>REPUBLIQUE DU SENEGAL</w:t>
    </w:r>
  </w:p>
  <w:p w14:paraId="650AEE47" w14:textId="77777777" w:rsidR="00C271D8" w:rsidRDefault="00C271D8" w:rsidP="00C271D8">
    <w:pPr>
      <w:keepLines/>
      <w:pageBreakBefore/>
      <w:spacing w:after="0" w:line="160" w:lineRule="atLeast"/>
      <w:ind w:left="-340"/>
      <w:contextualSpacing/>
      <w:jc w:val="center"/>
      <w:rPr>
        <w:rFonts w:ascii="Times New Roman" w:eastAsia="Times New Roman" w:hAnsi="Times New Roman"/>
        <w:i/>
        <w:sz w:val="16"/>
        <w:szCs w:val="16"/>
        <w:lang w:eastAsia="fr-FR"/>
      </w:rPr>
    </w:pPr>
    <w:r w:rsidRPr="008E2AC0">
      <w:rPr>
        <w:rFonts w:ascii="Times New Roman" w:eastAsia="Times New Roman" w:hAnsi="Times New Roman"/>
        <w:i/>
        <w:sz w:val="16"/>
        <w:szCs w:val="16"/>
        <w:lang w:eastAsia="fr-FR"/>
      </w:rPr>
      <w:t>Un Peuple - Un But - Une Foi</w:t>
    </w:r>
  </w:p>
  <w:p w14:paraId="6F640756" w14:textId="77777777" w:rsidR="00C271D8" w:rsidRDefault="00C271D8" w:rsidP="00C271D8">
    <w:pPr>
      <w:keepLines/>
      <w:pageBreakBefore/>
      <w:spacing w:after="0" w:line="160" w:lineRule="atLeast"/>
      <w:ind w:left="-340"/>
      <w:contextualSpacing/>
      <w:jc w:val="center"/>
      <w:rPr>
        <w:rFonts w:ascii="Times New Roman" w:eastAsia="Times New Roman" w:hAnsi="Times New Roman"/>
        <w:i/>
        <w:sz w:val="16"/>
        <w:szCs w:val="16"/>
        <w:lang w:eastAsia="fr-FR"/>
      </w:rPr>
    </w:pPr>
  </w:p>
  <w:p w14:paraId="6B7A5D82" w14:textId="77777777" w:rsidR="00C271D8" w:rsidRDefault="00C271D8" w:rsidP="00C271D8">
    <w:pPr>
      <w:keepLines/>
      <w:pageBreakBefore/>
      <w:spacing w:after="0" w:line="160" w:lineRule="atLeast"/>
      <w:ind w:left="-340"/>
      <w:contextualSpacing/>
      <w:rPr>
        <w:rFonts w:ascii="Times New Roman" w:eastAsia="Times New Roman" w:hAnsi="Times New Roman"/>
        <w:i/>
        <w:sz w:val="16"/>
        <w:szCs w:val="16"/>
        <w:lang w:eastAsia="fr-FR"/>
      </w:rPr>
    </w:pPr>
    <w:r>
      <w:rPr>
        <w:noProof/>
        <w:lang w:val="en-US"/>
      </w:rPr>
      <w:drawing>
        <wp:anchor distT="0" distB="0" distL="114300" distR="114300" simplePos="0" relativeHeight="251659264" behindDoc="1" locked="0" layoutInCell="1" allowOverlap="1" wp14:anchorId="3C90B2FB" wp14:editId="162F2931">
          <wp:simplePos x="0" y="0"/>
          <wp:positionH relativeFrom="margin">
            <wp:posOffset>-106045</wp:posOffset>
          </wp:positionH>
          <wp:positionV relativeFrom="paragraph">
            <wp:posOffset>235585</wp:posOffset>
          </wp:positionV>
          <wp:extent cx="1104900" cy="1028065"/>
          <wp:effectExtent l="0" t="0" r="0" b="635"/>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028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i/>
        <w:sz w:val="16"/>
        <w:szCs w:val="16"/>
        <w:lang w:eastAsia="fr-FR"/>
      </w:rPr>
      <w:t xml:space="preserve">                                                               </w:t>
    </w:r>
    <w:r w:rsidRPr="00BD57D0">
      <w:rPr>
        <w:noProof/>
        <w:sz w:val="20"/>
        <w:szCs w:val="20"/>
        <w:lang w:val="en-US"/>
      </w:rPr>
      <w:drawing>
        <wp:inline distT="0" distB="0" distL="0" distR="0" wp14:anchorId="2A4C06C2" wp14:editId="41ABFEAB">
          <wp:extent cx="624840" cy="289560"/>
          <wp:effectExtent l="0" t="0" r="3810" b="0"/>
          <wp:docPr id="38" name="Image 38" descr="http://www.pays-monde.fr/drapeau-national/sene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descr="http://www.pays-monde.fr/drapeau-national/seneg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840" cy="289560"/>
                  </a:xfrm>
                  <a:prstGeom prst="rect">
                    <a:avLst/>
                  </a:prstGeom>
                  <a:noFill/>
                  <a:ln>
                    <a:noFill/>
                  </a:ln>
                </pic:spPr>
              </pic:pic>
            </a:graphicData>
          </a:graphic>
        </wp:inline>
      </w:drawing>
    </w:r>
  </w:p>
  <w:p w14:paraId="50623A63" w14:textId="77777777" w:rsidR="00C271D8" w:rsidRDefault="00C271D8" w:rsidP="00C271D8">
    <w:pPr>
      <w:keepLines/>
      <w:pageBreakBefore/>
      <w:spacing w:after="0" w:line="160" w:lineRule="atLeast"/>
      <w:ind w:left="-340"/>
      <w:contextualSpacing/>
      <w:rPr>
        <w:rFonts w:ascii="Times New Roman" w:eastAsia="Times New Roman" w:hAnsi="Times New Roman"/>
        <w:i/>
        <w:sz w:val="16"/>
        <w:szCs w:val="16"/>
        <w:lang w:eastAsia="fr-FR"/>
      </w:rPr>
    </w:pPr>
    <w:r>
      <w:rPr>
        <w:noProof/>
        <w:lang w:val="en-US"/>
      </w:rPr>
      <w:drawing>
        <wp:anchor distT="0" distB="0" distL="114300" distR="114300" simplePos="0" relativeHeight="251660288" behindDoc="0" locked="0" layoutInCell="1" allowOverlap="1" wp14:anchorId="7E55B6D1" wp14:editId="395361D1">
          <wp:simplePos x="0" y="0"/>
          <wp:positionH relativeFrom="page">
            <wp:align>center</wp:align>
          </wp:positionH>
          <wp:positionV relativeFrom="paragraph">
            <wp:posOffset>24765</wp:posOffset>
          </wp:positionV>
          <wp:extent cx="781685" cy="895350"/>
          <wp:effectExtent l="0" t="0" r="0" b="0"/>
          <wp:wrapThrough wrapText="bothSides">
            <wp:wrapPolygon edited="0">
              <wp:start x="0" y="0"/>
              <wp:lineTo x="0" y="21140"/>
              <wp:lineTo x="21056" y="21140"/>
              <wp:lineTo x="21056" y="0"/>
              <wp:lineTo x="0" y="0"/>
            </wp:wrapPolygon>
          </wp:wrapThrough>
          <wp:docPr id="39" name="Image 39" descr="C:\Users\ABDOULAYE FAYE\Downloads\LOGO-PROM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C:\Users\ABDOULAYE FAYE\Downloads\LOGO-PROMIS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68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66D309" w14:textId="77777777" w:rsidR="00C271D8" w:rsidRDefault="00C271D8" w:rsidP="00C271D8">
    <w:pPr>
      <w:spacing w:after="0" w:line="160" w:lineRule="atLeast"/>
      <w:ind w:left="-340"/>
      <w:contextualSpacing/>
      <w:rPr>
        <w:rFonts w:ascii="Times New Roman" w:eastAsia="Times New Roman" w:hAnsi="Times New Roman"/>
        <w:b/>
        <w:sz w:val="16"/>
        <w:szCs w:val="16"/>
        <w:lang w:eastAsia="fr-FR"/>
      </w:rPr>
    </w:pPr>
    <w:r>
      <w:rPr>
        <w:rFonts w:ascii="Times New Roman" w:eastAsia="Times New Roman" w:hAnsi="Times New Roman"/>
        <w:b/>
        <w:sz w:val="16"/>
        <w:szCs w:val="16"/>
        <w:lang w:eastAsia="fr-FR"/>
      </w:rPr>
      <w:t xml:space="preserve"> </w:t>
    </w:r>
  </w:p>
  <w:p w14:paraId="7ABAEFC2" w14:textId="77777777" w:rsidR="00C271D8" w:rsidRDefault="00C271D8" w:rsidP="00C271D8">
    <w:pPr>
      <w:spacing w:after="0" w:line="160" w:lineRule="atLeast"/>
      <w:ind w:left="-340"/>
      <w:contextualSpacing/>
      <w:rPr>
        <w:rFonts w:ascii="Times New Roman" w:eastAsia="Times New Roman" w:hAnsi="Times New Roman"/>
        <w:b/>
        <w:sz w:val="16"/>
        <w:szCs w:val="16"/>
        <w:lang w:eastAsia="fr-FR"/>
      </w:rPr>
    </w:pPr>
  </w:p>
  <w:p w14:paraId="708CF077" w14:textId="77777777" w:rsidR="00C271D8" w:rsidRPr="00D343B3" w:rsidRDefault="00C271D8" w:rsidP="00C271D8">
    <w:pPr>
      <w:spacing w:after="0" w:line="160" w:lineRule="atLeast"/>
      <w:ind w:left="-340"/>
      <w:contextualSpacing/>
      <w:jc w:val="right"/>
      <w:rPr>
        <w:sz w:val="20"/>
        <w:szCs w:val="20"/>
      </w:rPr>
    </w:pPr>
    <w:r>
      <w:rPr>
        <w:rFonts w:ascii="Times New Roman" w:eastAsia="Times New Roman" w:hAnsi="Times New Roman"/>
        <w:sz w:val="16"/>
        <w:szCs w:val="16"/>
        <w:lang w:eastAsia="fr-FR"/>
      </w:rPr>
      <w:t xml:space="preserve"> </w:t>
    </w:r>
    <w:r>
      <w:rPr>
        <w:rFonts w:ascii="Arial" w:hAnsi="Arial" w:cs="Arial"/>
        <w:b/>
        <w:bCs/>
        <w:noProof/>
        <w:sz w:val="16"/>
        <w:szCs w:val="16"/>
        <w:lang w:eastAsia="fr-FR"/>
      </w:rPr>
      <w:t xml:space="preserve">                                                                                                           </w:t>
    </w:r>
    <w:r w:rsidRPr="00BD57D0">
      <w:rPr>
        <w:rFonts w:ascii="Arial" w:hAnsi="Arial" w:cs="Arial"/>
        <w:b/>
        <w:noProof/>
        <w:sz w:val="16"/>
        <w:szCs w:val="16"/>
        <w:lang w:val="en-US"/>
      </w:rPr>
      <w:drawing>
        <wp:inline distT="0" distB="0" distL="0" distR="0" wp14:anchorId="4EDC6C5C" wp14:editId="7935F2AA">
          <wp:extent cx="1257300" cy="609600"/>
          <wp:effectExtent l="0" t="0" r="0" b="0"/>
          <wp:docPr id="42" name="Image 42" descr="C:\Users\ABDOULAYE FAYE\Downloads\NOUVEAU LOGO BI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descr="C:\Users\ABDOULAYE FAYE\Downloads\NOUVEAU LOGO BID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7300" cy="609600"/>
                  </a:xfrm>
                  <a:prstGeom prst="rect">
                    <a:avLst/>
                  </a:prstGeom>
                  <a:noFill/>
                  <a:ln>
                    <a:noFill/>
                  </a:ln>
                </pic:spPr>
              </pic:pic>
            </a:graphicData>
          </a:graphic>
        </wp:inline>
      </w:drawing>
    </w:r>
    <w:r>
      <w:rPr>
        <w:rFonts w:ascii="Arial" w:hAnsi="Arial" w:cs="Arial"/>
        <w:b/>
        <w:bCs/>
        <w:noProof/>
        <w:sz w:val="16"/>
        <w:szCs w:val="16"/>
        <w:lang w:eastAsia="fr-FR"/>
      </w:rPr>
      <w:t xml:space="preserve">                                                                                                                                                                                                                           </w:t>
    </w:r>
    <w:r w:rsidRPr="00D343B3">
      <w:rPr>
        <w:rFonts w:ascii="Times New Roman" w:eastAsia="Times New Roman" w:hAnsi="Times New Roman"/>
        <w:b/>
        <w:sz w:val="20"/>
        <w:szCs w:val="20"/>
        <w:lang w:eastAsia="fr-FR"/>
      </w:rPr>
      <w:t xml:space="preserve">                                                              </w:t>
    </w:r>
  </w:p>
  <w:p w14:paraId="69F20355" w14:textId="77777777" w:rsidR="00C271D8" w:rsidRDefault="00C27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3333"/>
    <w:multiLevelType w:val="hybridMultilevel"/>
    <w:tmpl w:val="5D54D4B6"/>
    <w:lvl w:ilvl="0" w:tplc="D6923A4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9422321"/>
    <w:multiLevelType w:val="hybridMultilevel"/>
    <w:tmpl w:val="0DA26694"/>
    <w:lvl w:ilvl="0" w:tplc="C2FA9DC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D1246A"/>
    <w:multiLevelType w:val="hybridMultilevel"/>
    <w:tmpl w:val="42449EC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activeWritingStyle w:appName="MSWord" w:lang="fr-FR" w:vendorID="64" w:dllVersion="6" w:nlCheck="1" w:checkStyle="0"/>
  <w:activeWritingStyle w:appName="MSWord" w:lang="fr-CH" w:vendorID="64" w:dllVersion="6" w:nlCheck="1" w:checkStyle="0"/>
  <w:activeWritingStyle w:appName="MSWord" w:lang="en-US" w:vendorID="64" w:dllVersion="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75"/>
    <w:rsid w:val="000073DE"/>
    <w:rsid w:val="00015481"/>
    <w:rsid w:val="00016C20"/>
    <w:rsid w:val="000179EF"/>
    <w:rsid w:val="0004459A"/>
    <w:rsid w:val="00065B2F"/>
    <w:rsid w:val="00090BB8"/>
    <w:rsid w:val="000B0D58"/>
    <w:rsid w:val="000C3941"/>
    <w:rsid w:val="00102F36"/>
    <w:rsid w:val="00113398"/>
    <w:rsid w:val="00123785"/>
    <w:rsid w:val="00140C43"/>
    <w:rsid w:val="00174075"/>
    <w:rsid w:val="00176EBA"/>
    <w:rsid w:val="00187F8F"/>
    <w:rsid w:val="001959DE"/>
    <w:rsid w:val="001B5ACC"/>
    <w:rsid w:val="00201999"/>
    <w:rsid w:val="00242E08"/>
    <w:rsid w:val="00285E74"/>
    <w:rsid w:val="002946B3"/>
    <w:rsid w:val="002B372C"/>
    <w:rsid w:val="002E083A"/>
    <w:rsid w:val="0030223B"/>
    <w:rsid w:val="00317E79"/>
    <w:rsid w:val="00353C19"/>
    <w:rsid w:val="003D7304"/>
    <w:rsid w:val="0043542D"/>
    <w:rsid w:val="00436D5A"/>
    <w:rsid w:val="00446655"/>
    <w:rsid w:val="00467ED0"/>
    <w:rsid w:val="005375EC"/>
    <w:rsid w:val="00560022"/>
    <w:rsid w:val="005766DB"/>
    <w:rsid w:val="005B32E9"/>
    <w:rsid w:val="00660FAE"/>
    <w:rsid w:val="00677747"/>
    <w:rsid w:val="0072065F"/>
    <w:rsid w:val="00726C72"/>
    <w:rsid w:val="00781905"/>
    <w:rsid w:val="00784A6D"/>
    <w:rsid w:val="007856C7"/>
    <w:rsid w:val="007A7787"/>
    <w:rsid w:val="007C5B5B"/>
    <w:rsid w:val="00801CF0"/>
    <w:rsid w:val="00835134"/>
    <w:rsid w:val="008B6CBF"/>
    <w:rsid w:val="008D4E1A"/>
    <w:rsid w:val="009048E8"/>
    <w:rsid w:val="009A7574"/>
    <w:rsid w:val="009F05A4"/>
    <w:rsid w:val="00A31454"/>
    <w:rsid w:val="00A50C08"/>
    <w:rsid w:val="00A768C8"/>
    <w:rsid w:val="00AF3E78"/>
    <w:rsid w:val="00B001A2"/>
    <w:rsid w:val="00B0416F"/>
    <w:rsid w:val="00BA0EFE"/>
    <w:rsid w:val="00BB7280"/>
    <w:rsid w:val="00BC5C07"/>
    <w:rsid w:val="00BE370C"/>
    <w:rsid w:val="00C1743A"/>
    <w:rsid w:val="00C22AA0"/>
    <w:rsid w:val="00C22D2B"/>
    <w:rsid w:val="00C271D8"/>
    <w:rsid w:val="00CD6664"/>
    <w:rsid w:val="00CE1141"/>
    <w:rsid w:val="00CE373E"/>
    <w:rsid w:val="00D014F2"/>
    <w:rsid w:val="00D054A5"/>
    <w:rsid w:val="00D532DB"/>
    <w:rsid w:val="00D933D0"/>
    <w:rsid w:val="00E755F0"/>
    <w:rsid w:val="00EB4514"/>
    <w:rsid w:val="00EC150B"/>
    <w:rsid w:val="00EC2F52"/>
    <w:rsid w:val="00F35E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D7DC"/>
  <w15:chartTrackingRefBased/>
  <w15:docId w15:val="{4C8DD366-99AC-4899-AF99-317D9EE3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075"/>
    <w:rPr>
      <w:rFonts w:ascii="Calibri" w:eastAsia="Calibri" w:hAnsi="Calibri" w:cs="Times New Roman"/>
    </w:rPr>
  </w:style>
  <w:style w:type="paragraph" w:styleId="Heading1">
    <w:name w:val="heading 1"/>
    <w:basedOn w:val="Normal"/>
    <w:next w:val="Normal"/>
    <w:link w:val="Heading1Char"/>
    <w:uiPriority w:val="9"/>
    <w:qFormat/>
    <w:rsid w:val="001740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40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4075"/>
    <w:rPr>
      <w:rFonts w:ascii="Calibri" w:eastAsia="Calibri" w:hAnsi="Calibri" w:cs="Times New Roman"/>
    </w:rPr>
  </w:style>
  <w:style w:type="paragraph" w:customStyle="1" w:styleId="Style1">
    <w:name w:val="Style1"/>
    <w:basedOn w:val="Heading1"/>
    <w:link w:val="Style1Char"/>
    <w:qFormat/>
    <w:rsid w:val="00174075"/>
    <w:pPr>
      <w:spacing w:after="240" w:line="240" w:lineRule="auto"/>
      <w:jc w:val="center"/>
    </w:pPr>
    <w:rPr>
      <w:rFonts w:ascii="Times New Roman Bold" w:eastAsia="Times New Roman" w:hAnsi="Times New Roman Bold" w:cs="Times New Roman"/>
      <w:b/>
      <w:color w:val="auto"/>
      <w:szCs w:val="20"/>
    </w:rPr>
  </w:style>
  <w:style w:type="character" w:customStyle="1" w:styleId="Style1Char">
    <w:name w:val="Style1 Char"/>
    <w:link w:val="Style1"/>
    <w:rsid w:val="00174075"/>
    <w:rPr>
      <w:rFonts w:ascii="Times New Roman Bold" w:eastAsia="Times New Roman" w:hAnsi="Times New Roman Bold" w:cs="Times New Roman"/>
      <w:b/>
      <w:sz w:val="32"/>
      <w:szCs w:val="20"/>
    </w:rPr>
  </w:style>
  <w:style w:type="paragraph" w:styleId="NoSpacing">
    <w:name w:val="No Spacing"/>
    <w:link w:val="NoSpacingChar"/>
    <w:uiPriority w:val="1"/>
    <w:qFormat/>
    <w:rsid w:val="00174075"/>
    <w:pPr>
      <w:spacing w:after="0" w:line="240" w:lineRule="auto"/>
    </w:pPr>
    <w:rPr>
      <w:rFonts w:ascii="Calibri" w:eastAsia="PMingLiU" w:hAnsi="Calibri" w:cs="Arial"/>
    </w:rPr>
  </w:style>
  <w:style w:type="character" w:customStyle="1" w:styleId="NoSpacingChar">
    <w:name w:val="No Spacing Char"/>
    <w:link w:val="NoSpacing"/>
    <w:uiPriority w:val="1"/>
    <w:rsid w:val="00174075"/>
    <w:rPr>
      <w:rFonts w:ascii="Calibri" w:eastAsia="PMingLiU" w:hAnsi="Calibri" w:cs="Arial"/>
    </w:rPr>
  </w:style>
  <w:style w:type="paragraph" w:styleId="BodyTextIndent">
    <w:name w:val="Body Text Indent"/>
    <w:basedOn w:val="Normal"/>
    <w:link w:val="BodyTextIndentChar"/>
    <w:uiPriority w:val="99"/>
    <w:semiHidden/>
    <w:unhideWhenUsed/>
    <w:rsid w:val="00174075"/>
    <w:pPr>
      <w:spacing w:after="120"/>
      <w:ind w:left="283"/>
    </w:pPr>
  </w:style>
  <w:style w:type="character" w:customStyle="1" w:styleId="BodyTextIndentChar">
    <w:name w:val="Body Text Indent Char"/>
    <w:basedOn w:val="DefaultParagraphFont"/>
    <w:link w:val="BodyTextIndent"/>
    <w:uiPriority w:val="99"/>
    <w:semiHidden/>
    <w:rsid w:val="00174075"/>
    <w:rPr>
      <w:rFonts w:ascii="Calibri" w:eastAsia="Calibri" w:hAnsi="Calibri" w:cs="Times New Roman"/>
    </w:rPr>
  </w:style>
  <w:style w:type="table" w:styleId="TableGrid">
    <w:name w:val="Table Grid"/>
    <w:basedOn w:val="TableNormal"/>
    <w:uiPriority w:val="39"/>
    <w:rsid w:val="00174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407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073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73DE"/>
    <w:rPr>
      <w:rFonts w:ascii="Calibri" w:eastAsia="Calibri" w:hAnsi="Calibri" w:cs="Times New Roman"/>
    </w:rPr>
  </w:style>
  <w:style w:type="character" w:styleId="Hyperlink">
    <w:name w:val="Hyperlink"/>
    <w:basedOn w:val="DefaultParagraphFont"/>
    <w:uiPriority w:val="99"/>
    <w:unhideWhenUsed/>
    <w:rsid w:val="00242E08"/>
    <w:rPr>
      <w:color w:val="0563C1" w:themeColor="hyperlink"/>
      <w:u w:val="single"/>
    </w:rPr>
  </w:style>
  <w:style w:type="paragraph" w:styleId="BodyText">
    <w:name w:val="Body Text"/>
    <w:basedOn w:val="Normal"/>
    <w:link w:val="BodyTextChar"/>
    <w:uiPriority w:val="99"/>
    <w:semiHidden/>
    <w:unhideWhenUsed/>
    <w:rsid w:val="00CE373E"/>
    <w:pPr>
      <w:spacing w:after="120"/>
    </w:pPr>
  </w:style>
  <w:style w:type="character" w:customStyle="1" w:styleId="BodyTextChar">
    <w:name w:val="Body Text Char"/>
    <w:basedOn w:val="DefaultParagraphFont"/>
    <w:link w:val="BodyText"/>
    <w:uiPriority w:val="99"/>
    <w:semiHidden/>
    <w:rsid w:val="00CE373E"/>
    <w:rPr>
      <w:rFonts w:ascii="Calibri" w:eastAsia="Calibri" w:hAnsi="Calibri" w:cs="Times New Roman"/>
    </w:rPr>
  </w:style>
  <w:style w:type="paragraph" w:styleId="ListParagraph">
    <w:name w:val="List Paragraph"/>
    <w:aliases w:val="Citation List,본문(내용),List Paragraph (numbered (a)),Text,lp1,سرد الفقرات"/>
    <w:basedOn w:val="Normal"/>
    <w:uiPriority w:val="34"/>
    <w:qFormat/>
    <w:rsid w:val="00B001A2"/>
    <w:pPr>
      <w:spacing w:after="200" w:line="276" w:lineRule="auto"/>
      <w:ind w:left="720"/>
      <w:contextualSpacing/>
    </w:pPr>
  </w:style>
  <w:style w:type="paragraph" w:customStyle="1" w:styleId="western">
    <w:name w:val="western"/>
    <w:basedOn w:val="Normal"/>
    <w:rsid w:val="00BC5C07"/>
    <w:pPr>
      <w:spacing w:before="100" w:beforeAutospacing="1" w:after="142" w:line="288" w:lineRule="auto"/>
    </w:pPr>
    <w:rPr>
      <w:rFonts w:ascii="Liberation Serif" w:eastAsia="Times New Roman" w:hAnsi="Liberation Serif"/>
      <w:sz w:val="20"/>
      <w:szCs w:val="20"/>
      <w:lang w:eastAsia="fr-FR"/>
    </w:rPr>
  </w:style>
  <w:style w:type="paragraph" w:styleId="NormalWeb">
    <w:name w:val="Normal (Web)"/>
    <w:basedOn w:val="Normal"/>
    <w:uiPriority w:val="99"/>
    <w:unhideWhenUsed/>
    <w:rsid w:val="00BC5C07"/>
    <w:pPr>
      <w:spacing w:before="100" w:beforeAutospacing="1" w:after="100" w:afterAutospacing="1" w:line="240" w:lineRule="auto"/>
    </w:pPr>
    <w:rPr>
      <w:rFonts w:ascii="Times New Roman" w:eastAsia="Times New Roman" w:hAnsi="Times New Roman"/>
      <w:sz w:val="24"/>
      <w:szCs w:val="24"/>
      <w:lang w:eastAsia="fr-FR"/>
    </w:rPr>
  </w:style>
  <w:style w:type="paragraph" w:styleId="BalloonText">
    <w:name w:val="Balloon Text"/>
    <w:basedOn w:val="Normal"/>
    <w:link w:val="BalloonTextChar"/>
    <w:uiPriority w:val="99"/>
    <w:semiHidden/>
    <w:unhideWhenUsed/>
    <w:rsid w:val="001B5ACC"/>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B5ACC"/>
    <w:rPr>
      <w:rFonts w:ascii="Segoe UI" w:hAnsi="Segoe UI" w:cs="Segoe UI"/>
      <w:sz w:val="18"/>
      <w:szCs w:val="18"/>
    </w:rPr>
  </w:style>
  <w:style w:type="character" w:styleId="FootnoteReference">
    <w:name w:val="footnote reference"/>
    <w:basedOn w:val="DefaultParagraphFont"/>
    <w:uiPriority w:val="99"/>
    <w:semiHidden/>
    <w:rsid w:val="00C271D8"/>
    <w:rPr>
      <w:vertAlign w:val="superscript"/>
    </w:rPr>
  </w:style>
  <w:style w:type="paragraph" w:styleId="FootnoteText">
    <w:name w:val="footnote text"/>
    <w:basedOn w:val="Normal"/>
    <w:link w:val="FootnoteTextChar"/>
    <w:uiPriority w:val="99"/>
    <w:semiHidden/>
    <w:rsid w:val="00C271D8"/>
    <w:pPr>
      <w:tabs>
        <w:tab w:val="left" w:pos="284"/>
        <w:tab w:val="left" w:pos="360"/>
      </w:tabs>
      <w:suppressAutoHyphens/>
      <w:spacing w:after="0" w:line="240" w:lineRule="auto"/>
      <w:ind w:left="180" w:hanging="180"/>
      <w:jc w:val="both"/>
    </w:pPr>
    <w:rPr>
      <w:rFonts w:ascii="Times New Roman" w:eastAsia="Times New Roman" w:hAnsi="Times New Roman" w:cs="Arial"/>
      <w:sz w:val="18"/>
      <w:szCs w:val="24"/>
      <w:lang w:val="en-GB" w:eastAsia="ar-SA"/>
    </w:rPr>
  </w:style>
  <w:style w:type="character" w:customStyle="1" w:styleId="FootnoteTextChar">
    <w:name w:val="Footnote Text Char"/>
    <w:basedOn w:val="DefaultParagraphFont"/>
    <w:link w:val="FootnoteText"/>
    <w:uiPriority w:val="99"/>
    <w:semiHidden/>
    <w:rsid w:val="00C271D8"/>
    <w:rPr>
      <w:rFonts w:ascii="Times New Roman" w:eastAsia="Times New Roman" w:hAnsi="Times New Roman" w:cs="Arial"/>
      <w:sz w:val="18"/>
      <w:szCs w:val="24"/>
      <w:lang w:val="en-GB" w:eastAsia="ar-SA"/>
    </w:rPr>
  </w:style>
  <w:style w:type="paragraph" w:customStyle="1" w:styleId="ChapterNumber">
    <w:name w:val="ChapterNumber"/>
    <w:rsid w:val="00C271D8"/>
    <w:pPr>
      <w:tabs>
        <w:tab w:val="left" w:pos="-720"/>
      </w:tabs>
      <w:suppressAutoHyphens/>
      <w:spacing w:after="0" w:line="240" w:lineRule="auto"/>
    </w:pPr>
    <w:rPr>
      <w:rFonts w:ascii="CG Times" w:eastAsia="Times New Roman" w:hAnsi="CG Times" w:cs="Times New Roman"/>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97664">
      <w:bodyDiv w:val="1"/>
      <w:marLeft w:val="0"/>
      <w:marRight w:val="0"/>
      <w:marTop w:val="0"/>
      <w:marBottom w:val="0"/>
      <w:divBdr>
        <w:top w:val="none" w:sz="0" w:space="0" w:color="auto"/>
        <w:left w:val="none" w:sz="0" w:space="0" w:color="auto"/>
        <w:bottom w:val="none" w:sz="0" w:space="0" w:color="auto"/>
        <w:right w:val="none" w:sz="0" w:space="0" w:color="auto"/>
      </w:divBdr>
    </w:div>
    <w:div w:id="17666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a329@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db.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promise.gouv.s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romise.sec.gouv.s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sdb.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yaya.diatta@promise.sn</dc:creator>
  <cp:keywords/>
  <dc:description/>
  <cp:lastModifiedBy>Mohamed Mazen Dakhli</cp:lastModifiedBy>
  <cp:revision>4</cp:revision>
  <cp:lastPrinted>2022-04-11T14:49:00Z</cp:lastPrinted>
  <dcterms:created xsi:type="dcterms:W3CDTF">2022-04-13T13:00:00Z</dcterms:created>
  <dcterms:modified xsi:type="dcterms:W3CDTF">2022-04-13T14:30:00Z</dcterms:modified>
</cp:coreProperties>
</file>