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2D2FA" w14:textId="77777777" w:rsidR="00094A92" w:rsidRDefault="00094A92" w:rsidP="00BD1558">
      <w:pPr>
        <w:jc w:val="center"/>
        <w:rPr>
          <w:rFonts w:asciiTheme="majorBidi" w:hAnsiTheme="majorBidi" w:cstheme="majorBidi"/>
          <w:b/>
          <w:bCs/>
          <w:sz w:val="24"/>
          <w:szCs w:val="24"/>
        </w:rPr>
      </w:pPr>
    </w:p>
    <w:p w14:paraId="1D74AE71" w14:textId="77777777" w:rsidR="00BD1558" w:rsidRPr="002F7291" w:rsidRDefault="00BD1558" w:rsidP="00BD1558">
      <w:pPr>
        <w:jc w:val="center"/>
        <w:rPr>
          <w:rFonts w:asciiTheme="majorBidi" w:hAnsiTheme="majorBidi" w:cstheme="majorBidi"/>
          <w:b/>
          <w:bCs/>
          <w:sz w:val="24"/>
          <w:szCs w:val="24"/>
        </w:rPr>
      </w:pPr>
      <w:r w:rsidRPr="002F7291">
        <w:rPr>
          <w:rFonts w:asciiTheme="majorBidi" w:hAnsiTheme="majorBidi" w:cstheme="majorBidi"/>
          <w:b/>
          <w:bCs/>
          <w:sz w:val="24"/>
          <w:szCs w:val="24"/>
        </w:rPr>
        <w:t>REPUBLIQUE ISLAMIQUE DE MAURITANIE</w:t>
      </w:r>
    </w:p>
    <w:p w14:paraId="7647D391" w14:textId="77777777" w:rsidR="00BD1558" w:rsidRPr="002F7291" w:rsidRDefault="00BD1558" w:rsidP="00BD1558">
      <w:pPr>
        <w:jc w:val="center"/>
        <w:rPr>
          <w:rFonts w:asciiTheme="majorBidi" w:hAnsiTheme="majorBidi" w:cstheme="majorBidi"/>
          <w:b/>
          <w:bCs/>
          <w:sz w:val="24"/>
          <w:szCs w:val="24"/>
        </w:rPr>
      </w:pPr>
    </w:p>
    <w:p w14:paraId="3C8C6853" w14:textId="77777777" w:rsidR="00BD1558" w:rsidRPr="002F7291" w:rsidRDefault="00BD1558" w:rsidP="00BD1558">
      <w:pPr>
        <w:pStyle w:val="NoSpacing"/>
        <w:spacing w:line="360" w:lineRule="auto"/>
        <w:jc w:val="center"/>
        <w:rPr>
          <w:rFonts w:asciiTheme="majorBidi" w:hAnsiTheme="majorBidi" w:cstheme="majorBidi"/>
          <w:b/>
          <w:caps/>
          <w:sz w:val="24"/>
          <w:szCs w:val="24"/>
        </w:rPr>
      </w:pPr>
      <w:r w:rsidRPr="002F7291">
        <w:rPr>
          <w:rFonts w:asciiTheme="majorBidi" w:hAnsiTheme="majorBidi" w:cstheme="majorBidi"/>
          <w:b/>
          <w:caps/>
          <w:sz w:val="24"/>
          <w:szCs w:val="24"/>
        </w:rPr>
        <w:t>MINISTERE DES AFFAIRES ECONOMIQUES ET DES SECTEURS PRODUCTIFS</w:t>
      </w:r>
    </w:p>
    <w:p w14:paraId="5074676B" w14:textId="77777777" w:rsidR="00013978" w:rsidRDefault="00013978" w:rsidP="00BD1558">
      <w:pPr>
        <w:pStyle w:val="NoSpacing"/>
        <w:spacing w:line="360" w:lineRule="auto"/>
        <w:jc w:val="center"/>
        <w:rPr>
          <w:rFonts w:asciiTheme="majorBidi" w:hAnsiTheme="majorBidi" w:cstheme="majorBidi"/>
          <w:b/>
          <w:caps/>
          <w:sz w:val="24"/>
          <w:szCs w:val="24"/>
        </w:rPr>
      </w:pPr>
    </w:p>
    <w:p w14:paraId="7BD9F600" w14:textId="67E17C8F" w:rsidR="00BD1558" w:rsidRPr="002F7291" w:rsidRDefault="00BD1558" w:rsidP="00BD1558">
      <w:pPr>
        <w:pStyle w:val="NoSpacing"/>
        <w:spacing w:line="360" w:lineRule="auto"/>
        <w:jc w:val="center"/>
        <w:rPr>
          <w:rFonts w:asciiTheme="majorBidi" w:hAnsiTheme="majorBidi" w:cstheme="majorBidi"/>
          <w:b/>
          <w:caps/>
          <w:sz w:val="24"/>
          <w:szCs w:val="24"/>
        </w:rPr>
      </w:pPr>
      <w:r w:rsidRPr="002F7291">
        <w:rPr>
          <w:rFonts w:asciiTheme="majorBidi" w:hAnsiTheme="majorBidi" w:cstheme="majorBidi"/>
          <w:b/>
          <w:caps/>
          <w:sz w:val="24"/>
          <w:szCs w:val="24"/>
        </w:rPr>
        <w:t>DIRECTION des PROJETS EDUCATION FORMATION</w:t>
      </w:r>
    </w:p>
    <w:p w14:paraId="7A4EB92F" w14:textId="77777777" w:rsidR="00BD1558" w:rsidRPr="002F7291" w:rsidRDefault="00BD1558" w:rsidP="00BD1558">
      <w:pPr>
        <w:rPr>
          <w:rFonts w:asciiTheme="majorBidi" w:hAnsiTheme="majorBidi" w:cstheme="majorBidi"/>
          <w:b/>
          <w:bCs/>
          <w:sz w:val="24"/>
          <w:szCs w:val="24"/>
        </w:rPr>
      </w:pPr>
    </w:p>
    <w:p w14:paraId="3923333D" w14:textId="77777777" w:rsidR="00BD1558" w:rsidRPr="002F7291" w:rsidRDefault="00BD1558" w:rsidP="00BD1558">
      <w:pPr>
        <w:rPr>
          <w:rFonts w:asciiTheme="majorBidi" w:hAnsiTheme="majorBidi" w:cstheme="majorBidi"/>
          <w:b/>
          <w:bCs/>
          <w:sz w:val="24"/>
          <w:szCs w:val="24"/>
        </w:rPr>
      </w:pPr>
    </w:p>
    <w:p w14:paraId="067FE765" w14:textId="77777777" w:rsidR="00932E8A" w:rsidRPr="00932E8A" w:rsidRDefault="00932E8A" w:rsidP="00932E8A">
      <w:pPr>
        <w:pStyle w:val="NoSpacing"/>
        <w:spacing w:line="360" w:lineRule="auto"/>
        <w:jc w:val="center"/>
        <w:rPr>
          <w:rFonts w:asciiTheme="majorBidi" w:hAnsiTheme="majorBidi" w:cstheme="majorBidi"/>
          <w:b/>
          <w:caps/>
          <w:sz w:val="24"/>
          <w:szCs w:val="24"/>
        </w:rPr>
      </w:pPr>
      <w:r w:rsidRPr="00932E8A">
        <w:rPr>
          <w:rFonts w:asciiTheme="majorBidi" w:hAnsiTheme="majorBidi" w:cstheme="majorBidi"/>
          <w:b/>
          <w:caps/>
          <w:sz w:val="24"/>
          <w:szCs w:val="24"/>
        </w:rPr>
        <w:t>AVIS GENERAL DE PASSATION DES MARCHES (AGPM)</w:t>
      </w:r>
    </w:p>
    <w:p w14:paraId="7DE3F505" w14:textId="77777777" w:rsidR="00932E8A" w:rsidRDefault="00932E8A" w:rsidP="00932E8A">
      <w:pPr>
        <w:shd w:val="clear" w:color="auto" w:fill="FFFFFF"/>
        <w:spacing w:after="100"/>
        <w:rPr>
          <w:color w:val="212529"/>
        </w:rPr>
      </w:pPr>
    </w:p>
    <w:p w14:paraId="73DCC19D" w14:textId="70C11C6E" w:rsidR="00932E8A" w:rsidRDefault="00932E8A" w:rsidP="00932E8A">
      <w:pPr>
        <w:shd w:val="clear" w:color="auto" w:fill="FFFFFF"/>
        <w:spacing w:after="100"/>
        <w:rPr>
          <w:color w:val="212529"/>
        </w:rPr>
      </w:pPr>
      <w:r>
        <w:rPr>
          <w:color w:val="212529"/>
        </w:rPr>
        <w:t>Pays: </w:t>
      </w:r>
      <w:r w:rsidRPr="00932E8A">
        <w:rPr>
          <w:b/>
          <w:color w:val="212529"/>
        </w:rPr>
        <w:t>Mauritanie</w:t>
      </w:r>
    </w:p>
    <w:p w14:paraId="76FC9F84" w14:textId="7ECC90F8" w:rsidR="00932E8A" w:rsidRPr="00932E8A" w:rsidRDefault="00932E8A" w:rsidP="00932E8A">
      <w:pPr>
        <w:shd w:val="clear" w:color="auto" w:fill="FFFFFF"/>
        <w:spacing w:after="100"/>
        <w:rPr>
          <w:b/>
          <w:color w:val="212529"/>
        </w:rPr>
      </w:pPr>
      <w:r>
        <w:rPr>
          <w:color w:val="212529"/>
        </w:rPr>
        <w:t>Bailleurs de Fonds : </w:t>
      </w:r>
      <w:r w:rsidRPr="00932E8A">
        <w:rPr>
          <w:b/>
          <w:color w:val="212529"/>
        </w:rPr>
        <w:t>Banque Islamique de Développement (BID)</w:t>
      </w:r>
      <w:r>
        <w:rPr>
          <w:color w:val="212529"/>
        </w:rPr>
        <w:t xml:space="preserve"> et </w:t>
      </w:r>
      <w:r w:rsidRPr="00932E8A">
        <w:rPr>
          <w:b/>
          <w:color w:val="212529"/>
        </w:rPr>
        <w:t>Gouvernement de la République Islamique de Mauritanie.</w:t>
      </w:r>
    </w:p>
    <w:p w14:paraId="48E6C75C" w14:textId="1412F905" w:rsidR="00932E8A" w:rsidRPr="00932E8A" w:rsidRDefault="00932E8A" w:rsidP="00932E8A">
      <w:pPr>
        <w:shd w:val="clear" w:color="auto" w:fill="FFFFFF"/>
        <w:spacing w:after="100"/>
        <w:rPr>
          <w:b/>
          <w:color w:val="212529"/>
        </w:rPr>
      </w:pPr>
      <w:r w:rsidRPr="00932E8A">
        <w:rPr>
          <w:color w:val="212529"/>
        </w:rPr>
        <w:t>Dénomination du Projet</w:t>
      </w:r>
      <w:r w:rsidR="00B42E4B">
        <w:rPr>
          <w:color w:val="212529"/>
        </w:rPr>
        <w:t xml:space="preserve"> </w:t>
      </w:r>
      <w:r w:rsidRPr="00932E8A">
        <w:rPr>
          <w:color w:val="212529"/>
        </w:rPr>
        <w:t>: </w:t>
      </w:r>
      <w:r w:rsidRPr="00932E8A">
        <w:rPr>
          <w:b/>
          <w:color w:val="212529"/>
        </w:rPr>
        <w:t>Projet de Renforcement de l'enseignement et de l'apprentissage des mathématiques, des</w:t>
      </w:r>
      <w:r w:rsidR="00B42E4B">
        <w:rPr>
          <w:b/>
          <w:color w:val="212529"/>
        </w:rPr>
        <w:t xml:space="preserve"> </w:t>
      </w:r>
      <w:r w:rsidRPr="00932E8A">
        <w:rPr>
          <w:b/>
          <w:color w:val="212529"/>
        </w:rPr>
        <w:t>sciences et des technologies (MST)</w:t>
      </w:r>
    </w:p>
    <w:p w14:paraId="73EE3BE3" w14:textId="415C0433" w:rsidR="00932E8A" w:rsidRDefault="00932E8A" w:rsidP="00932E8A">
      <w:pPr>
        <w:shd w:val="clear" w:color="auto" w:fill="FFFFFF"/>
        <w:spacing w:after="100"/>
        <w:rPr>
          <w:color w:val="212529"/>
        </w:rPr>
      </w:pPr>
      <w:r>
        <w:rPr>
          <w:color w:val="212529"/>
        </w:rPr>
        <w:t>Secteur: </w:t>
      </w:r>
      <w:r w:rsidRPr="00932E8A">
        <w:rPr>
          <w:b/>
          <w:color w:val="212529"/>
        </w:rPr>
        <w:t>Education</w:t>
      </w:r>
    </w:p>
    <w:p w14:paraId="0219F48B" w14:textId="11273390" w:rsidR="00D34FBE" w:rsidRPr="00455625" w:rsidRDefault="00D34FBE" w:rsidP="00932E8A">
      <w:pPr>
        <w:shd w:val="clear" w:color="auto" w:fill="FFFFFF"/>
        <w:spacing w:after="100"/>
        <w:rPr>
          <w:color w:val="212529"/>
        </w:rPr>
      </w:pPr>
      <w:r w:rsidRPr="00455625">
        <w:rPr>
          <w:color w:val="212529"/>
        </w:rPr>
        <w:t xml:space="preserve">Mode de Financement : </w:t>
      </w:r>
      <w:r w:rsidRPr="00455625">
        <w:rPr>
          <w:b/>
          <w:bCs/>
          <w:color w:val="212529"/>
        </w:rPr>
        <w:t xml:space="preserve">Prêt </w:t>
      </w:r>
    </w:p>
    <w:p w14:paraId="157C5925" w14:textId="1A014C5D" w:rsidR="00932E8A" w:rsidRPr="00455625" w:rsidRDefault="00B42E4B" w:rsidP="00932E8A">
      <w:pPr>
        <w:shd w:val="clear" w:color="auto" w:fill="FFFFFF"/>
        <w:spacing w:after="100"/>
        <w:rPr>
          <w:b/>
          <w:color w:val="212529"/>
        </w:rPr>
      </w:pPr>
      <w:r w:rsidRPr="00455625">
        <w:rPr>
          <w:color w:val="212529"/>
        </w:rPr>
        <w:t>Identification du</w:t>
      </w:r>
      <w:r w:rsidR="00932E8A" w:rsidRPr="00455625">
        <w:rPr>
          <w:color w:val="212529"/>
        </w:rPr>
        <w:t xml:space="preserve"> Projet N°: </w:t>
      </w:r>
      <w:r w:rsidRPr="00455625">
        <w:rPr>
          <w:b/>
          <w:color w:val="212529"/>
        </w:rPr>
        <w:t>MRT1030</w:t>
      </w:r>
      <w:r w:rsidR="00932E8A" w:rsidRPr="00455625">
        <w:rPr>
          <w:b/>
          <w:color w:val="212529"/>
        </w:rPr>
        <w:t xml:space="preserve"> </w:t>
      </w:r>
    </w:p>
    <w:p w14:paraId="5E74A6A6" w14:textId="77777777" w:rsidR="00932E8A" w:rsidRPr="00455625" w:rsidRDefault="00932E8A" w:rsidP="00932E8A">
      <w:pPr>
        <w:shd w:val="clear" w:color="auto" w:fill="FFFFFF"/>
        <w:spacing w:after="100"/>
        <w:rPr>
          <w:color w:val="212529"/>
        </w:rPr>
      </w:pPr>
      <w:r w:rsidRPr="00455625">
        <w:rPr>
          <w:color w:val="212529"/>
        </w:rPr>
        <w:t> </w:t>
      </w:r>
    </w:p>
    <w:p w14:paraId="227ACCC0" w14:textId="36A4D248" w:rsidR="003C635F" w:rsidRPr="003C635F" w:rsidRDefault="003C635F" w:rsidP="00DC589E">
      <w:pPr>
        <w:jc w:val="both"/>
        <w:rPr>
          <w:rFonts w:asciiTheme="majorBidi" w:hAnsiTheme="majorBidi" w:cstheme="majorBidi"/>
          <w:sz w:val="24"/>
          <w:szCs w:val="24"/>
        </w:rPr>
      </w:pPr>
      <w:r w:rsidRPr="003C635F">
        <w:rPr>
          <w:rFonts w:asciiTheme="majorBidi" w:hAnsiTheme="majorBidi" w:cstheme="majorBidi"/>
          <w:sz w:val="24"/>
          <w:szCs w:val="24"/>
        </w:rPr>
        <w:t xml:space="preserve">Le Gouvernement de la République Islamique de Mauritanie a obtenu un financement d’un montant à hauteur de douze millions (12 000 000) USD sous la forme de </w:t>
      </w:r>
      <w:r w:rsidRPr="00455625">
        <w:rPr>
          <w:rFonts w:asciiTheme="majorBidi" w:hAnsiTheme="majorBidi" w:cstheme="majorBidi"/>
          <w:sz w:val="24"/>
          <w:szCs w:val="24"/>
        </w:rPr>
        <w:t>Prêt</w:t>
      </w:r>
      <w:r w:rsidRPr="003C635F">
        <w:rPr>
          <w:rFonts w:asciiTheme="majorBidi" w:hAnsiTheme="majorBidi" w:cstheme="majorBidi"/>
          <w:sz w:val="24"/>
          <w:szCs w:val="24"/>
        </w:rPr>
        <w:t xml:space="preserve"> de la Banque Islamique de Développement pour financer le </w:t>
      </w:r>
      <w:r w:rsidRPr="00455625">
        <w:rPr>
          <w:rFonts w:asciiTheme="majorBidi" w:hAnsiTheme="majorBidi" w:cstheme="majorBidi"/>
          <w:sz w:val="24"/>
          <w:szCs w:val="24"/>
        </w:rPr>
        <w:t>Projet de Renforcement de l'enseignement et de l'apprentissage des mathématiques, des sciences et des technologies (MST)</w:t>
      </w:r>
      <w:r w:rsidRPr="00455625">
        <w:rPr>
          <w:rFonts w:asciiTheme="majorBidi" w:hAnsiTheme="majorBidi" w:cstheme="majorBidi"/>
          <w:sz w:val="24"/>
          <w:szCs w:val="24"/>
        </w:rPr>
        <w:t xml:space="preserve"> </w:t>
      </w:r>
      <w:r w:rsidRPr="003C635F">
        <w:rPr>
          <w:rFonts w:asciiTheme="majorBidi" w:hAnsiTheme="majorBidi" w:cstheme="majorBidi"/>
          <w:sz w:val="24"/>
          <w:szCs w:val="24"/>
        </w:rPr>
        <w:t xml:space="preserve">et à l’intention d’utiliser une partie de ce financement pour effectuer des paiements pour l’acquisition de biens, travaux et services connexes et de services de consultants nécessaires dans le cadre de ce projet. Ce projet sera financé conjointement par </w:t>
      </w:r>
      <w:r w:rsidR="00CD5C87" w:rsidRPr="00455625">
        <w:rPr>
          <w:rFonts w:asciiTheme="majorBidi" w:hAnsiTheme="majorBidi" w:cstheme="majorBidi"/>
          <w:sz w:val="24"/>
          <w:szCs w:val="24"/>
        </w:rPr>
        <w:t xml:space="preserve">le Gouvernement de la </w:t>
      </w:r>
      <w:r w:rsidR="00DC589E" w:rsidRPr="003C635F">
        <w:rPr>
          <w:rFonts w:asciiTheme="majorBidi" w:hAnsiTheme="majorBidi" w:cstheme="majorBidi"/>
          <w:sz w:val="24"/>
          <w:szCs w:val="24"/>
        </w:rPr>
        <w:t>République Islamique de Mauritanie</w:t>
      </w:r>
      <w:r w:rsidR="00DC589E">
        <w:rPr>
          <w:rFonts w:asciiTheme="majorBidi" w:hAnsiTheme="majorBidi" w:cstheme="majorBidi"/>
          <w:sz w:val="24"/>
          <w:szCs w:val="24"/>
        </w:rPr>
        <w:t xml:space="preserve"> pour un montant de </w:t>
      </w:r>
      <w:r w:rsidR="00346B6D">
        <w:rPr>
          <w:rFonts w:asciiTheme="majorBidi" w:hAnsiTheme="majorBidi" w:cstheme="majorBidi"/>
          <w:sz w:val="24"/>
          <w:szCs w:val="24"/>
        </w:rPr>
        <w:t xml:space="preserve">1 640 000 USD. </w:t>
      </w:r>
    </w:p>
    <w:p w14:paraId="5552CD16" w14:textId="77777777" w:rsidR="003C635F" w:rsidRDefault="003C635F" w:rsidP="00B42E4B">
      <w:pPr>
        <w:jc w:val="both"/>
        <w:rPr>
          <w:rFonts w:asciiTheme="majorBidi" w:hAnsiTheme="majorBidi" w:cstheme="majorBidi"/>
          <w:sz w:val="24"/>
          <w:szCs w:val="24"/>
        </w:rPr>
      </w:pPr>
    </w:p>
    <w:p w14:paraId="1494944D" w14:textId="72A80431" w:rsidR="00B42E4B" w:rsidRDefault="00B42E4B" w:rsidP="00B42E4B">
      <w:pPr>
        <w:jc w:val="both"/>
        <w:rPr>
          <w:rFonts w:asciiTheme="majorBidi" w:hAnsiTheme="majorBidi" w:cstheme="majorBidi"/>
          <w:sz w:val="24"/>
          <w:szCs w:val="24"/>
        </w:rPr>
      </w:pPr>
      <w:r w:rsidRPr="002F7291">
        <w:rPr>
          <w:rFonts w:asciiTheme="majorBidi" w:hAnsiTheme="majorBidi" w:cstheme="majorBidi"/>
          <w:sz w:val="24"/>
          <w:szCs w:val="24"/>
        </w:rPr>
        <w:t>L'objectif de développement du projet est de produire des diplômés de l'enseignement secondaire plus nombreux et mieux qualifiés en promouvant l'innovation et en élargissant l'accès à des services d'enseignement de qualité et à l'expérimentation dans les matières scientifiques.</w:t>
      </w:r>
    </w:p>
    <w:p w14:paraId="32B5C350" w14:textId="5834B19B" w:rsidR="00B42E4B" w:rsidRDefault="00B42E4B" w:rsidP="00B42E4B">
      <w:pPr>
        <w:jc w:val="both"/>
        <w:rPr>
          <w:rFonts w:asciiTheme="majorBidi" w:hAnsiTheme="majorBidi" w:cstheme="majorBidi"/>
          <w:sz w:val="24"/>
          <w:szCs w:val="24"/>
        </w:rPr>
      </w:pPr>
    </w:p>
    <w:p w14:paraId="2B8CBA34" w14:textId="1C8A5881" w:rsidR="00B42E4B" w:rsidRPr="00B42E4B" w:rsidRDefault="00B42E4B" w:rsidP="00B42E4B">
      <w:pPr>
        <w:jc w:val="both"/>
        <w:rPr>
          <w:rFonts w:asciiTheme="majorBidi" w:hAnsiTheme="majorBidi" w:cstheme="majorBidi"/>
          <w:sz w:val="24"/>
          <w:szCs w:val="24"/>
        </w:rPr>
      </w:pPr>
      <w:r w:rsidRPr="00B42E4B">
        <w:rPr>
          <w:rFonts w:asciiTheme="majorBidi" w:hAnsiTheme="majorBidi" w:cstheme="majorBidi"/>
          <w:sz w:val="24"/>
          <w:szCs w:val="24"/>
        </w:rPr>
        <w:t>Le projet s’exécutera sur quatre (04) ans et comporte une gamme variée d’activités reparties dans quatre (04) composantes comme suit :</w:t>
      </w:r>
    </w:p>
    <w:p w14:paraId="66DB2EE8" w14:textId="7DC149E9" w:rsidR="00B42E4B" w:rsidRPr="000714AA" w:rsidRDefault="00B42E4B" w:rsidP="00B42E4B">
      <w:pPr>
        <w:jc w:val="both"/>
        <w:rPr>
          <w:color w:val="212529"/>
        </w:rPr>
      </w:pPr>
      <w:r w:rsidRPr="00B42E4B">
        <w:rPr>
          <w:rFonts w:asciiTheme="majorBidi" w:hAnsiTheme="majorBidi" w:cstheme="majorBidi"/>
          <w:sz w:val="24"/>
          <w:szCs w:val="24"/>
        </w:rPr>
        <w:t xml:space="preserve">       </w:t>
      </w:r>
    </w:p>
    <w:p w14:paraId="53227D23" w14:textId="0205826F" w:rsidR="00B42E4B" w:rsidRPr="00B42E4B" w:rsidRDefault="00B42E4B" w:rsidP="001B0487">
      <w:pPr>
        <w:pStyle w:val="ListParagraph"/>
        <w:numPr>
          <w:ilvl w:val="0"/>
          <w:numId w:val="11"/>
        </w:numPr>
        <w:jc w:val="both"/>
        <w:rPr>
          <w:rFonts w:asciiTheme="majorBidi" w:hAnsiTheme="majorBidi" w:cstheme="majorBidi"/>
          <w:sz w:val="24"/>
          <w:szCs w:val="24"/>
        </w:rPr>
      </w:pPr>
      <w:r w:rsidRPr="002F7291">
        <w:rPr>
          <w:rFonts w:asciiTheme="majorBidi" w:hAnsiTheme="majorBidi" w:cstheme="majorBidi"/>
          <w:b/>
          <w:bCs/>
          <w:sz w:val="24"/>
          <w:szCs w:val="24"/>
        </w:rPr>
        <w:t xml:space="preserve">La Composante 1 : « Améliorer les qualifications des enseignants et des inspecteurs », </w:t>
      </w:r>
    </w:p>
    <w:p w14:paraId="5D4A2CDE" w14:textId="58A095B5" w:rsidR="00B42E4B" w:rsidRPr="00B42E4B" w:rsidRDefault="00B42E4B" w:rsidP="001B0487">
      <w:pPr>
        <w:pStyle w:val="ListParagraph"/>
        <w:numPr>
          <w:ilvl w:val="0"/>
          <w:numId w:val="11"/>
        </w:numPr>
        <w:jc w:val="both"/>
        <w:rPr>
          <w:rFonts w:asciiTheme="majorBidi" w:hAnsiTheme="majorBidi" w:cstheme="majorBidi"/>
          <w:bCs/>
          <w:i/>
          <w:iCs/>
          <w:sz w:val="24"/>
          <w:szCs w:val="24"/>
        </w:rPr>
      </w:pPr>
      <w:r w:rsidRPr="00B42E4B">
        <w:rPr>
          <w:rFonts w:asciiTheme="majorBidi" w:hAnsiTheme="majorBidi" w:cstheme="majorBidi"/>
          <w:b/>
          <w:bCs/>
          <w:sz w:val="24"/>
          <w:szCs w:val="24"/>
        </w:rPr>
        <w:t>La Composante 2 « Renforcement de l'expérimentation de l'enseignement et de l'apprentissage </w:t>
      </w:r>
    </w:p>
    <w:p w14:paraId="63D80237" w14:textId="746018D1" w:rsidR="00B42E4B" w:rsidRPr="00B42E4B" w:rsidRDefault="00B42E4B" w:rsidP="001B0487">
      <w:pPr>
        <w:pStyle w:val="ListParagraph"/>
        <w:numPr>
          <w:ilvl w:val="0"/>
          <w:numId w:val="11"/>
        </w:numPr>
        <w:jc w:val="both"/>
        <w:rPr>
          <w:rFonts w:asciiTheme="majorBidi" w:hAnsiTheme="majorBidi" w:cstheme="majorBidi"/>
          <w:bCs/>
          <w:i/>
          <w:iCs/>
          <w:sz w:val="24"/>
          <w:szCs w:val="24"/>
        </w:rPr>
      </w:pPr>
      <w:r w:rsidRPr="002F7291">
        <w:rPr>
          <w:rFonts w:asciiTheme="majorBidi" w:hAnsiTheme="majorBidi" w:cstheme="majorBidi"/>
          <w:b/>
          <w:bCs/>
          <w:sz w:val="24"/>
          <w:szCs w:val="24"/>
        </w:rPr>
        <w:t>La Composante 3 « Stimuler l'innovation au niveau de l'école »</w:t>
      </w:r>
      <w:r w:rsidRPr="002F7291">
        <w:rPr>
          <w:rFonts w:asciiTheme="majorBidi" w:hAnsiTheme="majorBidi" w:cstheme="majorBidi"/>
          <w:sz w:val="24"/>
          <w:szCs w:val="24"/>
        </w:rPr>
        <w:t xml:space="preserve"> </w:t>
      </w:r>
    </w:p>
    <w:p w14:paraId="6182D2D1" w14:textId="25A50915" w:rsidR="00B42E4B" w:rsidRPr="00B42E4B" w:rsidRDefault="00B42E4B" w:rsidP="00B42E4B">
      <w:pPr>
        <w:pStyle w:val="ListParagraph"/>
        <w:numPr>
          <w:ilvl w:val="0"/>
          <w:numId w:val="11"/>
        </w:numPr>
        <w:jc w:val="both"/>
        <w:rPr>
          <w:rFonts w:ascii="Times New Roman" w:eastAsia="Times New Roman" w:hAnsi="Times New Roman"/>
          <w:color w:val="212529"/>
        </w:rPr>
      </w:pPr>
      <w:r w:rsidRPr="002F7291">
        <w:rPr>
          <w:rFonts w:asciiTheme="majorBidi" w:hAnsiTheme="majorBidi" w:cstheme="majorBidi"/>
          <w:b/>
          <w:bCs/>
          <w:sz w:val="24"/>
          <w:szCs w:val="24"/>
        </w:rPr>
        <w:t xml:space="preserve">Composante 4 « Appui à la </w:t>
      </w:r>
      <w:r w:rsidR="006F3014">
        <w:rPr>
          <w:rFonts w:asciiTheme="majorBidi" w:hAnsiTheme="majorBidi" w:cstheme="majorBidi"/>
          <w:b/>
          <w:bCs/>
          <w:sz w:val="24"/>
          <w:szCs w:val="24"/>
        </w:rPr>
        <w:t>Gestion du Projet</w:t>
      </w:r>
      <w:r w:rsidRPr="002F7291">
        <w:rPr>
          <w:rFonts w:asciiTheme="majorBidi" w:hAnsiTheme="majorBidi" w:cstheme="majorBidi"/>
          <w:b/>
          <w:bCs/>
          <w:sz w:val="24"/>
          <w:szCs w:val="24"/>
        </w:rPr>
        <w:t> » </w:t>
      </w:r>
    </w:p>
    <w:p w14:paraId="11277E42" w14:textId="77777777" w:rsidR="00B42E4B" w:rsidRPr="00B42E4B" w:rsidRDefault="00B42E4B" w:rsidP="00B42E4B">
      <w:pPr>
        <w:pStyle w:val="ListParagraph"/>
        <w:ind w:left="360"/>
        <w:jc w:val="both"/>
        <w:rPr>
          <w:rFonts w:ascii="Times New Roman" w:eastAsia="Times New Roman" w:hAnsi="Times New Roman"/>
          <w:color w:val="212529"/>
        </w:rPr>
      </w:pPr>
    </w:p>
    <w:p w14:paraId="5E0D09F9" w14:textId="5C499FC2" w:rsidR="00B42E4B" w:rsidRPr="00B42E4B" w:rsidRDefault="00B42E4B" w:rsidP="00B42E4B">
      <w:pPr>
        <w:jc w:val="both"/>
        <w:rPr>
          <w:rFonts w:asciiTheme="majorBidi" w:hAnsiTheme="majorBidi" w:cstheme="majorBidi"/>
          <w:sz w:val="24"/>
          <w:szCs w:val="24"/>
        </w:rPr>
      </w:pPr>
      <w:r w:rsidRPr="00B42E4B">
        <w:rPr>
          <w:rFonts w:asciiTheme="majorBidi" w:hAnsiTheme="majorBidi" w:cstheme="majorBidi"/>
          <w:sz w:val="24"/>
          <w:szCs w:val="24"/>
        </w:rPr>
        <w:t xml:space="preserve">Les acquisitions de biens, de services (autres que ceux des consultants) et de travaux seront effectuées conformément aux Directives pour la passation des marchés financés par la Banque Islamique de Développement (édition </w:t>
      </w:r>
      <w:r>
        <w:rPr>
          <w:rFonts w:asciiTheme="majorBidi" w:hAnsiTheme="majorBidi" w:cstheme="majorBidi"/>
          <w:sz w:val="24"/>
          <w:szCs w:val="24"/>
        </w:rPr>
        <w:t>avril</w:t>
      </w:r>
      <w:r w:rsidRPr="00B42E4B">
        <w:rPr>
          <w:rFonts w:asciiTheme="majorBidi" w:hAnsiTheme="majorBidi" w:cstheme="majorBidi"/>
          <w:sz w:val="24"/>
          <w:szCs w:val="24"/>
        </w:rPr>
        <w:t xml:space="preserve"> 20</w:t>
      </w:r>
      <w:r>
        <w:rPr>
          <w:rFonts w:asciiTheme="majorBidi" w:hAnsiTheme="majorBidi" w:cstheme="majorBidi"/>
          <w:sz w:val="24"/>
          <w:szCs w:val="24"/>
        </w:rPr>
        <w:t>1</w:t>
      </w:r>
      <w:r w:rsidRPr="00B42E4B">
        <w:rPr>
          <w:rFonts w:asciiTheme="majorBidi" w:hAnsiTheme="majorBidi" w:cstheme="majorBidi"/>
          <w:sz w:val="24"/>
          <w:szCs w:val="24"/>
        </w:rPr>
        <w:t xml:space="preserve">9). Les marchés de services de consultants </w:t>
      </w:r>
      <w:r w:rsidRPr="00B42E4B">
        <w:rPr>
          <w:rFonts w:asciiTheme="majorBidi" w:hAnsiTheme="majorBidi" w:cstheme="majorBidi"/>
          <w:sz w:val="24"/>
          <w:szCs w:val="24"/>
        </w:rPr>
        <w:lastRenderedPageBreak/>
        <w:t xml:space="preserve">seront passés conformément aux Directives pour l’utilisation des consultants dans le cadre de projets financés par la Banque Islamique de Développement (édition </w:t>
      </w:r>
      <w:r>
        <w:rPr>
          <w:rFonts w:asciiTheme="majorBidi" w:hAnsiTheme="majorBidi" w:cstheme="majorBidi"/>
          <w:sz w:val="24"/>
          <w:szCs w:val="24"/>
        </w:rPr>
        <w:t>avril</w:t>
      </w:r>
      <w:r w:rsidRPr="00B42E4B">
        <w:rPr>
          <w:rFonts w:asciiTheme="majorBidi" w:hAnsiTheme="majorBidi" w:cstheme="majorBidi"/>
          <w:sz w:val="24"/>
          <w:szCs w:val="24"/>
        </w:rPr>
        <w:t xml:space="preserve"> 20</w:t>
      </w:r>
      <w:r>
        <w:rPr>
          <w:rFonts w:asciiTheme="majorBidi" w:hAnsiTheme="majorBidi" w:cstheme="majorBidi"/>
          <w:sz w:val="24"/>
          <w:szCs w:val="24"/>
        </w:rPr>
        <w:t>1</w:t>
      </w:r>
      <w:r w:rsidRPr="00B42E4B">
        <w:rPr>
          <w:rFonts w:asciiTheme="majorBidi" w:hAnsiTheme="majorBidi" w:cstheme="majorBidi"/>
          <w:sz w:val="24"/>
          <w:szCs w:val="24"/>
        </w:rPr>
        <w:t>9) </w:t>
      </w:r>
    </w:p>
    <w:p w14:paraId="35446C73" w14:textId="77777777" w:rsidR="00B42E4B" w:rsidRPr="00B42E4B" w:rsidRDefault="00B42E4B" w:rsidP="00B42E4B">
      <w:pPr>
        <w:jc w:val="both"/>
        <w:rPr>
          <w:rFonts w:asciiTheme="majorBidi" w:hAnsiTheme="majorBidi" w:cstheme="majorBidi"/>
          <w:sz w:val="24"/>
          <w:szCs w:val="24"/>
        </w:rPr>
      </w:pPr>
      <w:r w:rsidRPr="00B42E4B">
        <w:rPr>
          <w:rFonts w:asciiTheme="majorBidi" w:hAnsiTheme="majorBidi" w:cstheme="majorBidi"/>
          <w:sz w:val="24"/>
          <w:szCs w:val="24"/>
        </w:rPr>
        <w:t> </w:t>
      </w:r>
    </w:p>
    <w:p w14:paraId="5EF7C249" w14:textId="67FF6749" w:rsidR="001B0487" w:rsidRPr="00640275" w:rsidRDefault="001B0487" w:rsidP="001B0487">
      <w:pPr>
        <w:jc w:val="both"/>
        <w:rPr>
          <w:sz w:val="24"/>
          <w:szCs w:val="24"/>
        </w:rPr>
      </w:pPr>
      <w:r w:rsidRPr="00640275">
        <w:rPr>
          <w:sz w:val="24"/>
          <w:szCs w:val="24"/>
        </w:rPr>
        <w:t>Les m</w:t>
      </w:r>
      <w:r w:rsidR="00A83F86" w:rsidRPr="00640275">
        <w:rPr>
          <w:sz w:val="24"/>
          <w:szCs w:val="24"/>
        </w:rPr>
        <w:t>éthodes</w:t>
      </w:r>
      <w:r w:rsidRPr="00640275">
        <w:rPr>
          <w:sz w:val="24"/>
          <w:szCs w:val="24"/>
        </w:rPr>
        <w:t xml:space="preserve"> </w:t>
      </w:r>
      <w:r w:rsidR="00A83F86" w:rsidRPr="00640275">
        <w:rPr>
          <w:sz w:val="24"/>
          <w:szCs w:val="24"/>
        </w:rPr>
        <w:t>de passation des marchés pour l</w:t>
      </w:r>
      <w:r w:rsidRPr="00640275">
        <w:rPr>
          <w:sz w:val="24"/>
          <w:szCs w:val="24"/>
        </w:rPr>
        <w:t>es travaux, biens et services de consultants se présentent comme suit :</w:t>
      </w:r>
    </w:p>
    <w:p w14:paraId="61E540AF" w14:textId="77777777" w:rsidR="001B0487" w:rsidRPr="00640275" w:rsidRDefault="001B0487" w:rsidP="001B0487">
      <w:pPr>
        <w:pStyle w:val="ListParagraph"/>
        <w:tabs>
          <w:tab w:val="left" w:pos="447"/>
        </w:tabs>
        <w:spacing w:after="0"/>
        <w:ind w:left="22"/>
        <w:jc w:val="both"/>
        <w:rPr>
          <w:rFonts w:ascii="Times New Roman" w:hAnsi="Times New Roman" w:cs="Times New Roman"/>
          <w:sz w:val="24"/>
          <w:szCs w:val="24"/>
        </w:rPr>
      </w:pPr>
    </w:p>
    <w:p w14:paraId="32EF756F" w14:textId="182B259C" w:rsidR="001B0487" w:rsidRPr="00640275" w:rsidRDefault="00A83F86" w:rsidP="001B0487">
      <w:pPr>
        <w:pStyle w:val="ListParagraph"/>
        <w:tabs>
          <w:tab w:val="left" w:pos="447"/>
        </w:tabs>
        <w:spacing w:after="0"/>
        <w:ind w:left="22"/>
        <w:jc w:val="both"/>
        <w:rPr>
          <w:rFonts w:ascii="Times New Roman" w:hAnsi="Times New Roman" w:cs="Times New Roman"/>
          <w:b/>
          <w:sz w:val="24"/>
          <w:szCs w:val="24"/>
        </w:rPr>
      </w:pPr>
      <w:r w:rsidRPr="00640275">
        <w:rPr>
          <w:rFonts w:ascii="Times New Roman" w:hAnsi="Times New Roman" w:cs="Times New Roman"/>
          <w:b/>
          <w:sz w:val="24"/>
          <w:szCs w:val="24"/>
        </w:rPr>
        <w:t>T</w:t>
      </w:r>
      <w:r w:rsidR="001B0487" w:rsidRPr="00640275">
        <w:rPr>
          <w:rFonts w:ascii="Times New Roman" w:hAnsi="Times New Roman" w:cs="Times New Roman"/>
          <w:b/>
          <w:sz w:val="24"/>
          <w:szCs w:val="24"/>
        </w:rPr>
        <w:t>ravaux</w:t>
      </w:r>
    </w:p>
    <w:tbl>
      <w:tblPr>
        <w:tblW w:w="876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0"/>
        <w:gridCol w:w="2672"/>
      </w:tblGrid>
      <w:tr w:rsidR="00A83F86" w:rsidRPr="00640275" w14:paraId="53C4FFC3" w14:textId="77777777" w:rsidTr="00A83F86">
        <w:tc>
          <w:tcPr>
            <w:tcW w:w="6090" w:type="dxa"/>
            <w:shd w:val="clear" w:color="auto" w:fill="auto"/>
          </w:tcPr>
          <w:p w14:paraId="2778E078" w14:textId="77777777" w:rsidR="00A83F86" w:rsidRPr="00640275" w:rsidRDefault="00A83F86" w:rsidP="00695E6D">
            <w:pPr>
              <w:pStyle w:val="ListParagraph"/>
              <w:tabs>
                <w:tab w:val="left" w:pos="447"/>
              </w:tabs>
              <w:spacing w:after="0"/>
              <w:ind w:left="0"/>
              <w:jc w:val="center"/>
              <w:rPr>
                <w:rFonts w:ascii="Times New Roman" w:hAnsi="Times New Roman" w:cs="Times New Roman"/>
                <w:sz w:val="24"/>
                <w:szCs w:val="24"/>
              </w:rPr>
            </w:pPr>
            <w:r w:rsidRPr="00640275">
              <w:rPr>
                <w:rFonts w:ascii="Times New Roman" w:hAnsi="Times New Roman" w:cs="Times New Roman"/>
                <w:sz w:val="24"/>
                <w:szCs w:val="24"/>
              </w:rPr>
              <w:t>Description du lot</w:t>
            </w:r>
          </w:p>
        </w:tc>
        <w:tc>
          <w:tcPr>
            <w:tcW w:w="2672" w:type="dxa"/>
            <w:shd w:val="clear" w:color="auto" w:fill="auto"/>
          </w:tcPr>
          <w:p w14:paraId="63481776" w14:textId="3C4655C7" w:rsidR="00A83F86" w:rsidRPr="00640275" w:rsidRDefault="00A83F86" w:rsidP="00695E6D">
            <w:pPr>
              <w:pStyle w:val="ListParagraph"/>
              <w:tabs>
                <w:tab w:val="left" w:pos="447"/>
              </w:tabs>
              <w:spacing w:after="0"/>
              <w:ind w:left="0"/>
              <w:jc w:val="center"/>
              <w:rPr>
                <w:rFonts w:ascii="Times New Roman" w:hAnsi="Times New Roman" w:cs="Times New Roman"/>
                <w:sz w:val="24"/>
                <w:szCs w:val="24"/>
              </w:rPr>
            </w:pPr>
            <w:r w:rsidRPr="00640275">
              <w:rPr>
                <w:rFonts w:ascii="Times New Roman" w:hAnsi="Times New Roman" w:cs="Times New Roman"/>
                <w:sz w:val="24"/>
                <w:szCs w:val="24"/>
              </w:rPr>
              <w:t>Méthodes de passation</w:t>
            </w:r>
          </w:p>
        </w:tc>
      </w:tr>
      <w:tr w:rsidR="00A83F86" w:rsidRPr="00640275" w14:paraId="3EF9F81A" w14:textId="77777777" w:rsidTr="00A83F86">
        <w:tc>
          <w:tcPr>
            <w:tcW w:w="6090" w:type="dxa"/>
            <w:shd w:val="clear" w:color="auto" w:fill="auto"/>
          </w:tcPr>
          <w:p w14:paraId="2F1C6631" w14:textId="1AF62D03" w:rsidR="00A83F86" w:rsidRPr="00640275" w:rsidRDefault="00A83F86" w:rsidP="001B0487">
            <w:pPr>
              <w:rPr>
                <w:rFonts w:eastAsia="Arial Unicode MS"/>
                <w:sz w:val="24"/>
                <w:szCs w:val="24"/>
              </w:rPr>
            </w:pPr>
            <w:r w:rsidRPr="00640275">
              <w:rPr>
                <w:rFonts w:eastAsia="Arial Unicode MS"/>
                <w:sz w:val="24"/>
                <w:szCs w:val="24"/>
              </w:rPr>
              <w:t xml:space="preserve">Construction d'une salle multimédia </w:t>
            </w:r>
          </w:p>
        </w:tc>
        <w:tc>
          <w:tcPr>
            <w:tcW w:w="2672" w:type="dxa"/>
            <w:shd w:val="clear" w:color="auto" w:fill="auto"/>
          </w:tcPr>
          <w:p w14:paraId="6F89324D" w14:textId="1B03E285" w:rsidR="00A83F86" w:rsidRPr="00640275" w:rsidRDefault="00A83F86" w:rsidP="00A83F86">
            <w:pPr>
              <w:pStyle w:val="ListParagraph"/>
              <w:tabs>
                <w:tab w:val="left" w:pos="447"/>
              </w:tabs>
              <w:spacing w:after="0"/>
              <w:ind w:left="0"/>
              <w:jc w:val="center"/>
              <w:rPr>
                <w:rFonts w:ascii="Times New Roman" w:eastAsia="Arial Unicode MS" w:hAnsi="Times New Roman" w:cs="Times New Roman"/>
                <w:sz w:val="24"/>
                <w:szCs w:val="24"/>
              </w:rPr>
            </w:pPr>
            <w:r w:rsidRPr="00640275">
              <w:rPr>
                <w:rFonts w:ascii="Times New Roman" w:eastAsia="Arial Unicode MS" w:hAnsi="Times New Roman" w:cs="Times New Roman"/>
                <w:sz w:val="24"/>
                <w:szCs w:val="24"/>
              </w:rPr>
              <w:t>AO</w:t>
            </w:r>
            <w:r w:rsidR="00517E96">
              <w:rPr>
                <w:rFonts w:ascii="Times New Roman" w:eastAsia="Arial Unicode MS" w:hAnsi="Times New Roman" w:cs="Times New Roman"/>
                <w:sz w:val="24"/>
                <w:szCs w:val="24"/>
              </w:rPr>
              <w:t xml:space="preserve"> </w:t>
            </w:r>
            <w:r w:rsidRPr="00640275">
              <w:rPr>
                <w:rFonts w:ascii="Times New Roman" w:eastAsia="Arial Unicode MS" w:hAnsi="Times New Roman" w:cs="Times New Roman"/>
                <w:sz w:val="24"/>
                <w:szCs w:val="24"/>
              </w:rPr>
              <w:t>N</w:t>
            </w:r>
            <w:r w:rsidR="00517E96">
              <w:rPr>
                <w:rFonts w:ascii="Times New Roman" w:eastAsia="Arial Unicode MS" w:hAnsi="Times New Roman" w:cs="Times New Roman"/>
                <w:sz w:val="24"/>
                <w:szCs w:val="24"/>
              </w:rPr>
              <w:t>ational</w:t>
            </w:r>
          </w:p>
        </w:tc>
      </w:tr>
      <w:tr w:rsidR="00A83F86" w:rsidRPr="00640275" w14:paraId="4302340C" w14:textId="77777777" w:rsidTr="00A83F86">
        <w:tc>
          <w:tcPr>
            <w:tcW w:w="6090" w:type="dxa"/>
            <w:shd w:val="clear" w:color="auto" w:fill="auto"/>
          </w:tcPr>
          <w:p w14:paraId="16AFD5CA" w14:textId="6FF33A96" w:rsidR="00A83F86" w:rsidRPr="00640275" w:rsidRDefault="00A83F86" w:rsidP="00A83F86">
            <w:pPr>
              <w:rPr>
                <w:rFonts w:eastAsia="Arial Unicode MS"/>
                <w:sz w:val="24"/>
                <w:szCs w:val="24"/>
              </w:rPr>
            </w:pPr>
            <w:r w:rsidRPr="00640275">
              <w:rPr>
                <w:rFonts w:eastAsia="Arial Unicode MS"/>
                <w:sz w:val="24"/>
                <w:szCs w:val="24"/>
              </w:rPr>
              <w:t xml:space="preserve">Construction des laboratoires scientifiques et des laboratoires de langue </w:t>
            </w:r>
          </w:p>
        </w:tc>
        <w:tc>
          <w:tcPr>
            <w:tcW w:w="2672" w:type="dxa"/>
            <w:shd w:val="clear" w:color="auto" w:fill="auto"/>
          </w:tcPr>
          <w:p w14:paraId="72A95FC6" w14:textId="1E09FA4C" w:rsidR="00A83F86" w:rsidRPr="00640275" w:rsidRDefault="00A83F86" w:rsidP="00A83F86">
            <w:pPr>
              <w:pStyle w:val="ListParagraph"/>
              <w:tabs>
                <w:tab w:val="left" w:pos="447"/>
              </w:tabs>
              <w:spacing w:after="0"/>
              <w:ind w:left="0"/>
              <w:jc w:val="center"/>
              <w:rPr>
                <w:rFonts w:ascii="Times New Roman" w:eastAsia="Arial Unicode MS" w:hAnsi="Times New Roman" w:cs="Times New Roman"/>
                <w:sz w:val="24"/>
                <w:szCs w:val="24"/>
              </w:rPr>
            </w:pPr>
            <w:r w:rsidRPr="00640275">
              <w:rPr>
                <w:rFonts w:ascii="Times New Roman" w:eastAsia="Arial Unicode MS" w:hAnsi="Times New Roman" w:cs="Times New Roman"/>
                <w:sz w:val="24"/>
                <w:szCs w:val="24"/>
              </w:rPr>
              <w:t>AO</w:t>
            </w:r>
            <w:r w:rsidR="00517E96">
              <w:rPr>
                <w:rFonts w:ascii="Times New Roman" w:eastAsia="Arial Unicode MS" w:hAnsi="Times New Roman" w:cs="Times New Roman"/>
                <w:sz w:val="24"/>
                <w:szCs w:val="24"/>
              </w:rPr>
              <w:t xml:space="preserve"> </w:t>
            </w:r>
            <w:r w:rsidRPr="00640275">
              <w:rPr>
                <w:rFonts w:ascii="Times New Roman" w:eastAsia="Arial Unicode MS" w:hAnsi="Times New Roman" w:cs="Times New Roman"/>
                <w:sz w:val="24"/>
                <w:szCs w:val="24"/>
              </w:rPr>
              <w:t>N</w:t>
            </w:r>
            <w:r w:rsidR="00517E96">
              <w:rPr>
                <w:rFonts w:ascii="Times New Roman" w:eastAsia="Arial Unicode MS" w:hAnsi="Times New Roman" w:cs="Times New Roman"/>
                <w:sz w:val="24"/>
                <w:szCs w:val="24"/>
              </w:rPr>
              <w:t>ational</w:t>
            </w:r>
          </w:p>
        </w:tc>
      </w:tr>
      <w:tr w:rsidR="00A83F86" w:rsidRPr="00640275" w14:paraId="78B3B24C" w14:textId="77777777" w:rsidTr="00A83F86">
        <w:tc>
          <w:tcPr>
            <w:tcW w:w="6090" w:type="dxa"/>
            <w:shd w:val="clear" w:color="auto" w:fill="auto"/>
          </w:tcPr>
          <w:p w14:paraId="46937CC9" w14:textId="12D770E4" w:rsidR="00A83F86" w:rsidRPr="00640275" w:rsidRDefault="00A83F86" w:rsidP="00A83F86">
            <w:pPr>
              <w:rPr>
                <w:rFonts w:eastAsia="Arial Unicode MS"/>
                <w:sz w:val="24"/>
                <w:szCs w:val="24"/>
              </w:rPr>
            </w:pPr>
            <w:r w:rsidRPr="00640275">
              <w:rPr>
                <w:rFonts w:eastAsia="Arial Unicode MS"/>
                <w:sz w:val="24"/>
                <w:szCs w:val="24"/>
              </w:rPr>
              <w:t xml:space="preserve">Construction du Centre d’E-Learning et d’innovation pédagogique </w:t>
            </w:r>
          </w:p>
        </w:tc>
        <w:tc>
          <w:tcPr>
            <w:tcW w:w="2672" w:type="dxa"/>
            <w:shd w:val="clear" w:color="auto" w:fill="auto"/>
          </w:tcPr>
          <w:p w14:paraId="23270F5A" w14:textId="11DA4FB1" w:rsidR="00A83F86" w:rsidRPr="00640275" w:rsidRDefault="00A83F86" w:rsidP="00A83F86">
            <w:pPr>
              <w:pStyle w:val="ListParagraph"/>
              <w:tabs>
                <w:tab w:val="left" w:pos="447"/>
              </w:tabs>
              <w:spacing w:after="0"/>
              <w:ind w:left="0"/>
              <w:jc w:val="center"/>
              <w:rPr>
                <w:rFonts w:ascii="Times New Roman" w:eastAsia="Arial Unicode MS" w:hAnsi="Times New Roman" w:cs="Times New Roman"/>
                <w:sz w:val="24"/>
                <w:szCs w:val="24"/>
              </w:rPr>
            </w:pPr>
            <w:r w:rsidRPr="00640275">
              <w:rPr>
                <w:rFonts w:ascii="Times New Roman" w:eastAsia="Arial Unicode MS" w:hAnsi="Times New Roman" w:cs="Times New Roman"/>
                <w:sz w:val="24"/>
                <w:szCs w:val="24"/>
              </w:rPr>
              <w:t>AO</w:t>
            </w:r>
            <w:r w:rsidR="00517E96">
              <w:rPr>
                <w:rFonts w:ascii="Times New Roman" w:eastAsia="Arial Unicode MS" w:hAnsi="Times New Roman" w:cs="Times New Roman"/>
                <w:sz w:val="24"/>
                <w:szCs w:val="24"/>
              </w:rPr>
              <w:t xml:space="preserve"> </w:t>
            </w:r>
            <w:r w:rsidRPr="00640275">
              <w:rPr>
                <w:rFonts w:ascii="Times New Roman" w:eastAsia="Arial Unicode MS" w:hAnsi="Times New Roman" w:cs="Times New Roman"/>
                <w:sz w:val="24"/>
                <w:szCs w:val="24"/>
              </w:rPr>
              <w:t>N</w:t>
            </w:r>
            <w:r w:rsidR="00517E96">
              <w:rPr>
                <w:rFonts w:ascii="Times New Roman" w:eastAsia="Arial Unicode MS" w:hAnsi="Times New Roman" w:cs="Times New Roman"/>
                <w:sz w:val="24"/>
                <w:szCs w:val="24"/>
              </w:rPr>
              <w:t>ational</w:t>
            </w:r>
          </w:p>
        </w:tc>
      </w:tr>
      <w:tr w:rsidR="00A83F86" w:rsidRPr="00640275" w14:paraId="743A575A" w14:textId="77777777" w:rsidTr="00A83F86">
        <w:tc>
          <w:tcPr>
            <w:tcW w:w="6090" w:type="dxa"/>
            <w:shd w:val="clear" w:color="auto" w:fill="auto"/>
          </w:tcPr>
          <w:p w14:paraId="20CC1049" w14:textId="333D4551" w:rsidR="00A83F86" w:rsidRPr="00640275" w:rsidRDefault="00A83F86" w:rsidP="00A83F86">
            <w:pPr>
              <w:rPr>
                <w:rFonts w:eastAsia="Arial Unicode MS"/>
                <w:sz w:val="24"/>
                <w:szCs w:val="24"/>
              </w:rPr>
            </w:pPr>
            <w:r w:rsidRPr="00640275">
              <w:rPr>
                <w:rFonts w:eastAsia="Arial Unicode MS"/>
                <w:sz w:val="24"/>
                <w:szCs w:val="24"/>
              </w:rPr>
              <w:t>Construction de blocs laboratoires</w:t>
            </w:r>
          </w:p>
        </w:tc>
        <w:tc>
          <w:tcPr>
            <w:tcW w:w="2672" w:type="dxa"/>
            <w:shd w:val="clear" w:color="auto" w:fill="auto"/>
          </w:tcPr>
          <w:p w14:paraId="4F9991F7" w14:textId="08C07EDC" w:rsidR="00A83F86" w:rsidRPr="00640275" w:rsidRDefault="00A83F86" w:rsidP="00A83F86">
            <w:pPr>
              <w:pStyle w:val="ListParagraph"/>
              <w:tabs>
                <w:tab w:val="left" w:pos="447"/>
              </w:tabs>
              <w:spacing w:after="0"/>
              <w:ind w:left="0"/>
              <w:jc w:val="center"/>
              <w:rPr>
                <w:rFonts w:ascii="Times New Roman" w:eastAsia="Arial Unicode MS" w:hAnsi="Times New Roman" w:cs="Times New Roman"/>
                <w:sz w:val="24"/>
                <w:szCs w:val="24"/>
              </w:rPr>
            </w:pPr>
            <w:r w:rsidRPr="00640275">
              <w:rPr>
                <w:rFonts w:ascii="Times New Roman" w:eastAsia="Arial Unicode MS" w:hAnsi="Times New Roman" w:cs="Times New Roman"/>
                <w:sz w:val="24"/>
                <w:szCs w:val="24"/>
              </w:rPr>
              <w:t>AO</w:t>
            </w:r>
            <w:r w:rsidR="00517E96">
              <w:rPr>
                <w:rFonts w:ascii="Times New Roman" w:eastAsia="Arial Unicode MS" w:hAnsi="Times New Roman" w:cs="Times New Roman"/>
                <w:sz w:val="24"/>
                <w:szCs w:val="24"/>
              </w:rPr>
              <w:t xml:space="preserve"> </w:t>
            </w:r>
            <w:r w:rsidRPr="00640275">
              <w:rPr>
                <w:rFonts w:ascii="Times New Roman" w:eastAsia="Arial Unicode MS" w:hAnsi="Times New Roman" w:cs="Times New Roman"/>
                <w:sz w:val="24"/>
                <w:szCs w:val="24"/>
              </w:rPr>
              <w:t>N</w:t>
            </w:r>
            <w:r w:rsidR="00517E96">
              <w:rPr>
                <w:rFonts w:ascii="Times New Roman" w:eastAsia="Arial Unicode MS" w:hAnsi="Times New Roman" w:cs="Times New Roman"/>
                <w:sz w:val="24"/>
                <w:szCs w:val="24"/>
              </w:rPr>
              <w:t>ational</w:t>
            </w:r>
          </w:p>
        </w:tc>
      </w:tr>
      <w:tr w:rsidR="00A83F86" w:rsidRPr="00640275" w14:paraId="67F8A9CD" w14:textId="77777777" w:rsidTr="00A83F86">
        <w:tc>
          <w:tcPr>
            <w:tcW w:w="6090" w:type="dxa"/>
            <w:shd w:val="clear" w:color="auto" w:fill="auto"/>
          </w:tcPr>
          <w:p w14:paraId="7D3608AF" w14:textId="061965A1" w:rsidR="00A83F86" w:rsidRPr="00640275" w:rsidRDefault="00A83F86" w:rsidP="00A83F86">
            <w:pPr>
              <w:rPr>
                <w:rFonts w:eastAsia="Arial Unicode MS"/>
                <w:sz w:val="24"/>
                <w:szCs w:val="24"/>
              </w:rPr>
            </w:pPr>
            <w:r w:rsidRPr="00640275">
              <w:rPr>
                <w:rFonts w:eastAsia="Arial Unicode MS"/>
                <w:sz w:val="24"/>
                <w:szCs w:val="24"/>
              </w:rPr>
              <w:t xml:space="preserve">Construction atelier de fabrication des outils didactiques </w:t>
            </w:r>
          </w:p>
        </w:tc>
        <w:tc>
          <w:tcPr>
            <w:tcW w:w="2672" w:type="dxa"/>
            <w:shd w:val="clear" w:color="auto" w:fill="auto"/>
          </w:tcPr>
          <w:p w14:paraId="1CF81E7B" w14:textId="43ACCD0C" w:rsidR="00A83F86" w:rsidRPr="00640275" w:rsidRDefault="00A83F86" w:rsidP="00A83F86">
            <w:pPr>
              <w:pStyle w:val="ListParagraph"/>
              <w:tabs>
                <w:tab w:val="left" w:pos="447"/>
              </w:tabs>
              <w:spacing w:after="0"/>
              <w:ind w:left="0"/>
              <w:jc w:val="center"/>
              <w:rPr>
                <w:rFonts w:ascii="Times New Roman" w:eastAsia="Arial Unicode MS" w:hAnsi="Times New Roman" w:cs="Times New Roman"/>
                <w:sz w:val="24"/>
                <w:szCs w:val="24"/>
              </w:rPr>
            </w:pPr>
            <w:r w:rsidRPr="00640275">
              <w:rPr>
                <w:rFonts w:ascii="Times New Roman" w:eastAsia="Arial Unicode MS" w:hAnsi="Times New Roman" w:cs="Times New Roman"/>
                <w:sz w:val="24"/>
                <w:szCs w:val="24"/>
              </w:rPr>
              <w:t>AO</w:t>
            </w:r>
            <w:r w:rsidR="00517E96">
              <w:rPr>
                <w:rFonts w:ascii="Times New Roman" w:eastAsia="Arial Unicode MS" w:hAnsi="Times New Roman" w:cs="Times New Roman"/>
                <w:sz w:val="24"/>
                <w:szCs w:val="24"/>
              </w:rPr>
              <w:t xml:space="preserve"> </w:t>
            </w:r>
            <w:r w:rsidRPr="00640275">
              <w:rPr>
                <w:rFonts w:ascii="Times New Roman" w:eastAsia="Arial Unicode MS" w:hAnsi="Times New Roman" w:cs="Times New Roman"/>
                <w:sz w:val="24"/>
                <w:szCs w:val="24"/>
              </w:rPr>
              <w:t>N</w:t>
            </w:r>
            <w:r w:rsidR="00517E96">
              <w:rPr>
                <w:rFonts w:ascii="Times New Roman" w:eastAsia="Arial Unicode MS" w:hAnsi="Times New Roman" w:cs="Times New Roman"/>
                <w:sz w:val="24"/>
                <w:szCs w:val="24"/>
              </w:rPr>
              <w:t>ational</w:t>
            </w:r>
          </w:p>
        </w:tc>
      </w:tr>
    </w:tbl>
    <w:p w14:paraId="0D7BB8C1" w14:textId="2D474814" w:rsidR="001B0487" w:rsidRPr="00640275" w:rsidRDefault="001B0487" w:rsidP="001B0487">
      <w:pPr>
        <w:pStyle w:val="ListParagraph"/>
        <w:tabs>
          <w:tab w:val="left" w:pos="447"/>
        </w:tabs>
        <w:spacing w:after="0"/>
        <w:ind w:left="22"/>
        <w:jc w:val="both"/>
        <w:rPr>
          <w:rFonts w:ascii="Times New Roman" w:hAnsi="Times New Roman" w:cs="Times New Roman"/>
          <w:sz w:val="24"/>
          <w:szCs w:val="24"/>
        </w:rPr>
      </w:pPr>
    </w:p>
    <w:p w14:paraId="3597A3DA" w14:textId="5552DC61" w:rsidR="00A83F86" w:rsidRPr="00640275" w:rsidRDefault="00A83F86" w:rsidP="00A83F86">
      <w:pPr>
        <w:pStyle w:val="ListParagraph"/>
        <w:tabs>
          <w:tab w:val="left" w:pos="447"/>
        </w:tabs>
        <w:spacing w:after="0"/>
        <w:ind w:left="22"/>
        <w:jc w:val="both"/>
        <w:rPr>
          <w:rFonts w:ascii="Times New Roman" w:hAnsi="Times New Roman" w:cs="Times New Roman"/>
          <w:b/>
          <w:sz w:val="24"/>
          <w:szCs w:val="24"/>
        </w:rPr>
      </w:pPr>
      <w:r w:rsidRPr="00640275">
        <w:rPr>
          <w:rFonts w:ascii="Times New Roman" w:hAnsi="Times New Roman" w:cs="Times New Roman"/>
          <w:b/>
          <w:sz w:val="24"/>
          <w:szCs w:val="24"/>
        </w:rPr>
        <w:t xml:space="preserve">Biens </w:t>
      </w:r>
    </w:p>
    <w:tbl>
      <w:tblPr>
        <w:tblW w:w="876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0"/>
        <w:gridCol w:w="2672"/>
      </w:tblGrid>
      <w:tr w:rsidR="00A83F86" w:rsidRPr="00640275" w14:paraId="7CEA1F61" w14:textId="77777777" w:rsidTr="00695E6D">
        <w:tc>
          <w:tcPr>
            <w:tcW w:w="6090" w:type="dxa"/>
            <w:shd w:val="clear" w:color="auto" w:fill="auto"/>
          </w:tcPr>
          <w:p w14:paraId="1575C554" w14:textId="77777777" w:rsidR="00A83F86" w:rsidRPr="00640275" w:rsidRDefault="00A83F86" w:rsidP="00695E6D">
            <w:pPr>
              <w:pStyle w:val="ListParagraph"/>
              <w:tabs>
                <w:tab w:val="left" w:pos="447"/>
              </w:tabs>
              <w:spacing w:after="0"/>
              <w:ind w:left="0"/>
              <w:jc w:val="center"/>
              <w:rPr>
                <w:rFonts w:ascii="Times New Roman" w:hAnsi="Times New Roman" w:cs="Times New Roman"/>
                <w:sz w:val="24"/>
                <w:szCs w:val="24"/>
              </w:rPr>
            </w:pPr>
            <w:r w:rsidRPr="00640275">
              <w:rPr>
                <w:rFonts w:ascii="Times New Roman" w:hAnsi="Times New Roman" w:cs="Times New Roman"/>
                <w:sz w:val="24"/>
                <w:szCs w:val="24"/>
              </w:rPr>
              <w:t>Description du lot</w:t>
            </w:r>
          </w:p>
        </w:tc>
        <w:tc>
          <w:tcPr>
            <w:tcW w:w="2672" w:type="dxa"/>
            <w:shd w:val="clear" w:color="auto" w:fill="auto"/>
          </w:tcPr>
          <w:p w14:paraId="621FE6E7" w14:textId="77777777" w:rsidR="00A83F86" w:rsidRPr="00640275" w:rsidRDefault="00A83F86" w:rsidP="00695E6D">
            <w:pPr>
              <w:pStyle w:val="ListParagraph"/>
              <w:tabs>
                <w:tab w:val="left" w:pos="447"/>
              </w:tabs>
              <w:spacing w:after="0"/>
              <w:ind w:left="0"/>
              <w:jc w:val="center"/>
              <w:rPr>
                <w:rFonts w:ascii="Times New Roman" w:hAnsi="Times New Roman" w:cs="Times New Roman"/>
                <w:sz w:val="24"/>
                <w:szCs w:val="24"/>
              </w:rPr>
            </w:pPr>
            <w:r w:rsidRPr="00640275">
              <w:rPr>
                <w:rFonts w:ascii="Times New Roman" w:hAnsi="Times New Roman" w:cs="Times New Roman"/>
                <w:sz w:val="24"/>
                <w:szCs w:val="24"/>
              </w:rPr>
              <w:t>Méthodes de passation</w:t>
            </w:r>
          </w:p>
        </w:tc>
      </w:tr>
      <w:tr w:rsidR="00A83F86" w:rsidRPr="00640275" w14:paraId="5A180DBC" w14:textId="77777777" w:rsidTr="00695E6D">
        <w:tc>
          <w:tcPr>
            <w:tcW w:w="6090" w:type="dxa"/>
            <w:shd w:val="clear" w:color="auto" w:fill="auto"/>
          </w:tcPr>
          <w:p w14:paraId="3CC2C8EB" w14:textId="4831CA00" w:rsidR="00A83F86" w:rsidRPr="00640275" w:rsidRDefault="00A83F86" w:rsidP="00A83F86">
            <w:pPr>
              <w:rPr>
                <w:rFonts w:eastAsia="Arial Unicode MS"/>
                <w:sz w:val="24"/>
                <w:szCs w:val="24"/>
              </w:rPr>
            </w:pPr>
            <w:r w:rsidRPr="00640275">
              <w:rPr>
                <w:rFonts w:eastAsia="Arial Unicode MS"/>
                <w:sz w:val="24"/>
                <w:szCs w:val="24"/>
              </w:rPr>
              <w:t xml:space="preserve">Equipement d'une salle multimédia et des laboratoires de langues </w:t>
            </w:r>
          </w:p>
        </w:tc>
        <w:tc>
          <w:tcPr>
            <w:tcW w:w="2672" w:type="dxa"/>
            <w:shd w:val="clear" w:color="auto" w:fill="auto"/>
          </w:tcPr>
          <w:p w14:paraId="17A2C2CE" w14:textId="2E957DF0" w:rsidR="00A83F86" w:rsidRPr="00640275" w:rsidRDefault="00A83F86" w:rsidP="00695E6D">
            <w:pPr>
              <w:pStyle w:val="ListParagraph"/>
              <w:tabs>
                <w:tab w:val="left" w:pos="447"/>
              </w:tabs>
              <w:spacing w:after="0"/>
              <w:ind w:left="0"/>
              <w:jc w:val="center"/>
              <w:rPr>
                <w:rFonts w:ascii="Times New Roman" w:eastAsia="Arial Unicode MS" w:hAnsi="Times New Roman" w:cs="Times New Roman"/>
                <w:sz w:val="24"/>
                <w:szCs w:val="24"/>
              </w:rPr>
            </w:pPr>
            <w:r w:rsidRPr="00640275">
              <w:rPr>
                <w:rFonts w:ascii="Times New Roman" w:eastAsia="Arial Unicode MS" w:hAnsi="Times New Roman" w:cs="Times New Roman"/>
                <w:sz w:val="24"/>
                <w:szCs w:val="24"/>
              </w:rPr>
              <w:t>AO</w:t>
            </w:r>
            <w:r w:rsidR="00517E96">
              <w:rPr>
                <w:rFonts w:ascii="Times New Roman" w:eastAsia="Arial Unicode MS" w:hAnsi="Times New Roman" w:cs="Times New Roman"/>
                <w:sz w:val="24"/>
                <w:szCs w:val="24"/>
              </w:rPr>
              <w:t xml:space="preserve"> </w:t>
            </w:r>
            <w:r w:rsidRPr="00640275">
              <w:rPr>
                <w:rFonts w:ascii="Times New Roman" w:eastAsia="Arial Unicode MS" w:hAnsi="Times New Roman" w:cs="Times New Roman"/>
                <w:sz w:val="24"/>
                <w:szCs w:val="24"/>
              </w:rPr>
              <w:t>N</w:t>
            </w:r>
            <w:r w:rsidR="00517E96">
              <w:rPr>
                <w:rFonts w:ascii="Times New Roman" w:eastAsia="Arial Unicode MS" w:hAnsi="Times New Roman" w:cs="Times New Roman"/>
                <w:sz w:val="24"/>
                <w:szCs w:val="24"/>
              </w:rPr>
              <w:t>ational</w:t>
            </w:r>
          </w:p>
        </w:tc>
      </w:tr>
      <w:tr w:rsidR="00A83F86" w:rsidRPr="00640275" w14:paraId="06DDED05" w14:textId="77777777" w:rsidTr="00695E6D">
        <w:tc>
          <w:tcPr>
            <w:tcW w:w="6090" w:type="dxa"/>
            <w:shd w:val="clear" w:color="auto" w:fill="auto"/>
          </w:tcPr>
          <w:p w14:paraId="67D3C846" w14:textId="2F2DD975" w:rsidR="00A83F86" w:rsidRPr="00640275" w:rsidRDefault="00A83F86" w:rsidP="00640275">
            <w:pPr>
              <w:rPr>
                <w:rFonts w:eastAsia="Arial Unicode MS"/>
                <w:sz w:val="24"/>
                <w:szCs w:val="24"/>
              </w:rPr>
            </w:pPr>
            <w:r w:rsidRPr="00640275">
              <w:rPr>
                <w:rFonts w:eastAsia="Arial Unicode MS"/>
                <w:sz w:val="24"/>
                <w:szCs w:val="24"/>
              </w:rPr>
              <w:t xml:space="preserve">Equipements scientifiques (Matériels de physiques, Matériels de chimie, Matériels de biologie et Matériels de géologie) et Equipements de blocs de laboratoires (kits lycée, kits collège et kits </w:t>
            </w:r>
            <w:r w:rsidR="00640275" w:rsidRPr="00640275">
              <w:rPr>
                <w:rFonts w:eastAsia="Arial Unicode MS"/>
                <w:sz w:val="24"/>
                <w:szCs w:val="24"/>
              </w:rPr>
              <w:t>formation)</w:t>
            </w:r>
          </w:p>
        </w:tc>
        <w:tc>
          <w:tcPr>
            <w:tcW w:w="2672" w:type="dxa"/>
            <w:shd w:val="clear" w:color="auto" w:fill="auto"/>
          </w:tcPr>
          <w:p w14:paraId="42B7239C" w14:textId="475A278C" w:rsidR="00A83F86" w:rsidRPr="00640275" w:rsidRDefault="00A83F86" w:rsidP="00640275">
            <w:pPr>
              <w:pStyle w:val="ListParagraph"/>
              <w:tabs>
                <w:tab w:val="left" w:pos="447"/>
              </w:tabs>
              <w:spacing w:after="0"/>
              <w:ind w:left="0"/>
              <w:jc w:val="center"/>
              <w:rPr>
                <w:rFonts w:ascii="Times New Roman" w:eastAsia="Arial Unicode MS" w:hAnsi="Times New Roman" w:cs="Times New Roman"/>
                <w:sz w:val="24"/>
                <w:szCs w:val="24"/>
              </w:rPr>
            </w:pPr>
            <w:r w:rsidRPr="00640275">
              <w:rPr>
                <w:rFonts w:ascii="Times New Roman" w:eastAsia="Arial Unicode MS" w:hAnsi="Times New Roman" w:cs="Times New Roman"/>
                <w:sz w:val="24"/>
                <w:szCs w:val="24"/>
              </w:rPr>
              <w:t>AO</w:t>
            </w:r>
            <w:r w:rsidR="00517E96">
              <w:rPr>
                <w:rFonts w:ascii="Times New Roman" w:eastAsia="Arial Unicode MS" w:hAnsi="Times New Roman" w:cs="Times New Roman"/>
                <w:sz w:val="24"/>
                <w:szCs w:val="24"/>
              </w:rPr>
              <w:t xml:space="preserve"> International</w:t>
            </w:r>
          </w:p>
        </w:tc>
      </w:tr>
      <w:tr w:rsidR="00A83F86" w:rsidRPr="00640275" w14:paraId="4A477EFE" w14:textId="77777777" w:rsidTr="00695E6D">
        <w:tc>
          <w:tcPr>
            <w:tcW w:w="6090" w:type="dxa"/>
            <w:shd w:val="clear" w:color="auto" w:fill="auto"/>
          </w:tcPr>
          <w:p w14:paraId="0ADA8806" w14:textId="0C9D535C" w:rsidR="00A83F86" w:rsidRPr="00640275" w:rsidRDefault="00640275" w:rsidP="00695E6D">
            <w:pPr>
              <w:rPr>
                <w:rFonts w:eastAsia="Arial Unicode MS"/>
                <w:sz w:val="24"/>
                <w:szCs w:val="24"/>
              </w:rPr>
            </w:pPr>
            <w:r w:rsidRPr="00640275">
              <w:rPr>
                <w:rFonts w:eastAsia="Arial Unicode MS"/>
                <w:sz w:val="24"/>
                <w:szCs w:val="24"/>
              </w:rPr>
              <w:t>Matériels Centre E-learning, Equipement</w:t>
            </w:r>
            <w:r w:rsidR="00DA10EB">
              <w:rPr>
                <w:rFonts w:eastAsia="Arial Unicode MS"/>
                <w:sz w:val="24"/>
                <w:szCs w:val="24"/>
              </w:rPr>
              <w:t>s</w:t>
            </w:r>
            <w:r w:rsidRPr="00640275">
              <w:rPr>
                <w:rFonts w:eastAsia="Arial Unicode MS"/>
                <w:sz w:val="24"/>
                <w:szCs w:val="24"/>
              </w:rPr>
              <w:t xml:space="preserve"> informatique</w:t>
            </w:r>
            <w:r w:rsidR="00DA10EB">
              <w:rPr>
                <w:rFonts w:eastAsia="Arial Unicode MS"/>
                <w:sz w:val="24"/>
                <w:szCs w:val="24"/>
              </w:rPr>
              <w:t>s</w:t>
            </w:r>
            <w:r w:rsidRPr="00640275">
              <w:rPr>
                <w:rFonts w:eastAsia="Arial Unicode MS"/>
                <w:sz w:val="24"/>
                <w:szCs w:val="24"/>
              </w:rPr>
              <w:t xml:space="preserve"> et multimédia du centre de formation à distance de l'IGESFTP</w:t>
            </w:r>
            <w:r w:rsidR="005E001A">
              <w:rPr>
                <w:rFonts w:eastAsia="Arial Unicode MS"/>
                <w:sz w:val="24"/>
                <w:szCs w:val="24"/>
              </w:rPr>
              <w:t>,</w:t>
            </w:r>
            <w:r w:rsidR="0025497D">
              <w:rPr>
                <w:rFonts w:eastAsia="Arial Unicode MS"/>
                <w:sz w:val="24"/>
                <w:szCs w:val="24"/>
              </w:rPr>
              <w:t xml:space="preserve"> documentation,</w:t>
            </w:r>
            <w:r w:rsidR="005E001A">
              <w:rPr>
                <w:rFonts w:eastAsia="Arial Unicode MS"/>
                <w:sz w:val="24"/>
                <w:szCs w:val="24"/>
              </w:rPr>
              <w:t xml:space="preserve"> Impression de programmes</w:t>
            </w:r>
            <w:r w:rsidR="0025497D">
              <w:rPr>
                <w:rFonts w:eastAsia="Arial Unicode MS"/>
                <w:sz w:val="24"/>
                <w:szCs w:val="24"/>
              </w:rPr>
              <w:t xml:space="preserve"> et manuels</w:t>
            </w:r>
            <w:r w:rsidRPr="00640275">
              <w:rPr>
                <w:rFonts w:eastAsia="Arial Unicode MS"/>
                <w:sz w:val="24"/>
                <w:szCs w:val="24"/>
              </w:rPr>
              <w:t xml:space="preserve"> et autres équipements</w:t>
            </w:r>
          </w:p>
        </w:tc>
        <w:tc>
          <w:tcPr>
            <w:tcW w:w="2672" w:type="dxa"/>
            <w:shd w:val="clear" w:color="auto" w:fill="auto"/>
          </w:tcPr>
          <w:p w14:paraId="7CA11249" w14:textId="0671FCA8" w:rsidR="00A83F86" w:rsidRPr="00640275" w:rsidRDefault="00A83F86" w:rsidP="00695E6D">
            <w:pPr>
              <w:pStyle w:val="ListParagraph"/>
              <w:tabs>
                <w:tab w:val="left" w:pos="447"/>
              </w:tabs>
              <w:spacing w:after="0"/>
              <w:ind w:left="0"/>
              <w:jc w:val="center"/>
              <w:rPr>
                <w:rFonts w:ascii="Times New Roman" w:eastAsia="Arial Unicode MS" w:hAnsi="Times New Roman" w:cs="Times New Roman"/>
                <w:sz w:val="24"/>
                <w:szCs w:val="24"/>
              </w:rPr>
            </w:pPr>
            <w:r w:rsidRPr="00640275">
              <w:rPr>
                <w:rFonts w:ascii="Times New Roman" w:eastAsia="Arial Unicode MS" w:hAnsi="Times New Roman" w:cs="Times New Roman"/>
                <w:sz w:val="24"/>
                <w:szCs w:val="24"/>
              </w:rPr>
              <w:t>AO</w:t>
            </w:r>
            <w:r w:rsidR="00517E96">
              <w:rPr>
                <w:rFonts w:ascii="Times New Roman" w:eastAsia="Arial Unicode MS" w:hAnsi="Times New Roman" w:cs="Times New Roman"/>
                <w:sz w:val="24"/>
                <w:szCs w:val="24"/>
              </w:rPr>
              <w:t xml:space="preserve"> </w:t>
            </w:r>
            <w:r w:rsidRPr="00640275">
              <w:rPr>
                <w:rFonts w:ascii="Times New Roman" w:eastAsia="Arial Unicode MS" w:hAnsi="Times New Roman" w:cs="Times New Roman"/>
                <w:sz w:val="24"/>
                <w:szCs w:val="24"/>
              </w:rPr>
              <w:t>N</w:t>
            </w:r>
            <w:r w:rsidR="00517E96">
              <w:rPr>
                <w:rFonts w:ascii="Times New Roman" w:eastAsia="Arial Unicode MS" w:hAnsi="Times New Roman" w:cs="Times New Roman"/>
                <w:sz w:val="24"/>
                <w:szCs w:val="24"/>
              </w:rPr>
              <w:t>ational</w:t>
            </w:r>
          </w:p>
        </w:tc>
      </w:tr>
      <w:tr w:rsidR="00A83F86" w:rsidRPr="00640275" w14:paraId="2FEC04C6" w14:textId="77777777" w:rsidTr="00695E6D">
        <w:tc>
          <w:tcPr>
            <w:tcW w:w="6090" w:type="dxa"/>
            <w:shd w:val="clear" w:color="auto" w:fill="auto"/>
          </w:tcPr>
          <w:p w14:paraId="33DFB582" w14:textId="6C0AC370" w:rsidR="00A83F86" w:rsidRPr="00640275" w:rsidRDefault="00640275" w:rsidP="00695E6D">
            <w:pPr>
              <w:rPr>
                <w:rFonts w:eastAsia="Arial Unicode MS"/>
                <w:sz w:val="24"/>
                <w:szCs w:val="24"/>
              </w:rPr>
            </w:pPr>
            <w:r w:rsidRPr="00640275">
              <w:rPr>
                <w:rFonts w:eastAsia="Arial Unicode MS"/>
                <w:sz w:val="24"/>
                <w:szCs w:val="24"/>
              </w:rPr>
              <w:t>Bibliothèque scientifique</w:t>
            </w:r>
          </w:p>
        </w:tc>
        <w:tc>
          <w:tcPr>
            <w:tcW w:w="2672" w:type="dxa"/>
            <w:shd w:val="clear" w:color="auto" w:fill="auto"/>
          </w:tcPr>
          <w:p w14:paraId="284310E6" w14:textId="545CCE76" w:rsidR="00A83F86" w:rsidRPr="00640275" w:rsidRDefault="00640275" w:rsidP="00695E6D">
            <w:pPr>
              <w:pStyle w:val="ListParagraph"/>
              <w:tabs>
                <w:tab w:val="left" w:pos="447"/>
              </w:tabs>
              <w:spacing w:after="0"/>
              <w:ind w:left="0"/>
              <w:jc w:val="center"/>
              <w:rPr>
                <w:rFonts w:ascii="Times New Roman" w:eastAsia="Arial Unicode MS" w:hAnsi="Times New Roman" w:cs="Times New Roman"/>
                <w:sz w:val="24"/>
                <w:szCs w:val="24"/>
              </w:rPr>
            </w:pPr>
            <w:r w:rsidRPr="00640275">
              <w:rPr>
                <w:rFonts w:ascii="Times New Roman" w:eastAsia="Arial Unicode MS" w:hAnsi="Times New Roman" w:cs="Times New Roman"/>
                <w:sz w:val="24"/>
                <w:szCs w:val="24"/>
              </w:rPr>
              <w:t>CF</w:t>
            </w:r>
            <w:r w:rsidR="00E73429">
              <w:rPr>
                <w:rFonts w:ascii="Times New Roman" w:eastAsia="Arial Unicode MS" w:hAnsi="Times New Roman" w:cs="Times New Roman"/>
                <w:sz w:val="24"/>
                <w:szCs w:val="24"/>
              </w:rPr>
              <w:t xml:space="preserve"> (International)</w:t>
            </w:r>
          </w:p>
        </w:tc>
      </w:tr>
    </w:tbl>
    <w:p w14:paraId="22A4F45E" w14:textId="77777777" w:rsidR="00A83F86" w:rsidRPr="00640275" w:rsidRDefault="00A83F86" w:rsidP="001B0487">
      <w:pPr>
        <w:pStyle w:val="ListParagraph"/>
        <w:tabs>
          <w:tab w:val="left" w:pos="447"/>
        </w:tabs>
        <w:spacing w:after="0"/>
        <w:ind w:left="22"/>
        <w:jc w:val="both"/>
        <w:rPr>
          <w:rFonts w:ascii="Times New Roman" w:hAnsi="Times New Roman" w:cs="Times New Roman"/>
          <w:sz w:val="24"/>
          <w:szCs w:val="24"/>
        </w:rPr>
      </w:pPr>
    </w:p>
    <w:p w14:paraId="5B7BB1AA" w14:textId="77777777" w:rsidR="001B0487" w:rsidRPr="00640275" w:rsidRDefault="001B0487" w:rsidP="001B0487">
      <w:pPr>
        <w:pStyle w:val="ListParagraph"/>
        <w:tabs>
          <w:tab w:val="left" w:pos="447"/>
        </w:tabs>
        <w:spacing w:after="0"/>
        <w:ind w:left="22"/>
        <w:jc w:val="both"/>
        <w:rPr>
          <w:rFonts w:ascii="Times New Roman" w:hAnsi="Times New Roman" w:cs="Times New Roman"/>
          <w:b/>
          <w:sz w:val="24"/>
          <w:szCs w:val="24"/>
        </w:rPr>
      </w:pPr>
      <w:r w:rsidRPr="00640275">
        <w:rPr>
          <w:rFonts w:ascii="Times New Roman" w:hAnsi="Times New Roman" w:cs="Times New Roman"/>
          <w:b/>
          <w:sz w:val="24"/>
          <w:szCs w:val="24"/>
        </w:rPr>
        <w:t>Services de Consultants</w:t>
      </w:r>
    </w:p>
    <w:tbl>
      <w:tblPr>
        <w:tblW w:w="8762"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0"/>
        <w:gridCol w:w="2672"/>
      </w:tblGrid>
      <w:tr w:rsidR="00640275" w:rsidRPr="00640275" w14:paraId="4857610D" w14:textId="77777777" w:rsidTr="00640275">
        <w:tc>
          <w:tcPr>
            <w:tcW w:w="6090" w:type="dxa"/>
            <w:shd w:val="clear" w:color="auto" w:fill="auto"/>
          </w:tcPr>
          <w:p w14:paraId="5F9F830F" w14:textId="77777777" w:rsidR="00640275" w:rsidRPr="00640275" w:rsidRDefault="00640275" w:rsidP="00695E6D">
            <w:pPr>
              <w:pStyle w:val="ListParagraph"/>
              <w:tabs>
                <w:tab w:val="left" w:pos="447"/>
              </w:tabs>
              <w:spacing w:after="0"/>
              <w:ind w:left="0"/>
              <w:jc w:val="center"/>
              <w:rPr>
                <w:rFonts w:ascii="Times New Roman" w:hAnsi="Times New Roman" w:cs="Times New Roman"/>
                <w:b/>
                <w:sz w:val="24"/>
                <w:szCs w:val="24"/>
              </w:rPr>
            </w:pPr>
            <w:r w:rsidRPr="00640275">
              <w:rPr>
                <w:rFonts w:ascii="Times New Roman" w:hAnsi="Times New Roman" w:cs="Times New Roman"/>
                <w:b/>
                <w:sz w:val="24"/>
                <w:szCs w:val="24"/>
              </w:rPr>
              <w:t xml:space="preserve">Description </w:t>
            </w:r>
          </w:p>
        </w:tc>
        <w:tc>
          <w:tcPr>
            <w:tcW w:w="2672" w:type="dxa"/>
            <w:shd w:val="clear" w:color="auto" w:fill="auto"/>
          </w:tcPr>
          <w:p w14:paraId="0573C62C" w14:textId="4B54DEDE" w:rsidR="00640275" w:rsidRPr="00640275" w:rsidRDefault="00640275" w:rsidP="00695E6D">
            <w:pPr>
              <w:pStyle w:val="ListParagraph"/>
              <w:tabs>
                <w:tab w:val="left" w:pos="447"/>
              </w:tabs>
              <w:spacing w:after="0"/>
              <w:ind w:left="0"/>
              <w:jc w:val="center"/>
              <w:rPr>
                <w:rFonts w:ascii="Times New Roman" w:hAnsi="Times New Roman" w:cs="Times New Roman"/>
                <w:b/>
                <w:sz w:val="24"/>
                <w:szCs w:val="24"/>
              </w:rPr>
            </w:pPr>
            <w:r w:rsidRPr="00640275">
              <w:rPr>
                <w:rFonts w:ascii="Times New Roman" w:hAnsi="Times New Roman" w:cs="Times New Roman"/>
                <w:sz w:val="24"/>
                <w:szCs w:val="24"/>
              </w:rPr>
              <w:t>Méthodes de passation</w:t>
            </w:r>
          </w:p>
        </w:tc>
      </w:tr>
      <w:tr w:rsidR="00640275" w:rsidRPr="00640275" w14:paraId="25788C93" w14:textId="77777777" w:rsidTr="00640275">
        <w:tc>
          <w:tcPr>
            <w:tcW w:w="6090" w:type="dxa"/>
            <w:shd w:val="clear" w:color="auto" w:fill="auto"/>
          </w:tcPr>
          <w:p w14:paraId="5B32F840" w14:textId="4D2D1A5C" w:rsidR="00640275" w:rsidRPr="00640275" w:rsidRDefault="00640275" w:rsidP="00640275">
            <w:pPr>
              <w:tabs>
                <w:tab w:val="left" w:pos="-720"/>
              </w:tabs>
              <w:suppressAutoHyphens/>
              <w:rPr>
                <w:sz w:val="24"/>
                <w:szCs w:val="24"/>
              </w:rPr>
            </w:pPr>
            <w:r w:rsidRPr="00640275">
              <w:rPr>
                <w:sz w:val="24"/>
                <w:szCs w:val="24"/>
              </w:rPr>
              <w:t xml:space="preserve">Etudes techniques et suivi des travaux </w:t>
            </w:r>
          </w:p>
        </w:tc>
        <w:tc>
          <w:tcPr>
            <w:tcW w:w="2672" w:type="dxa"/>
            <w:shd w:val="clear" w:color="auto" w:fill="auto"/>
          </w:tcPr>
          <w:p w14:paraId="4D6AA8DC" w14:textId="38E34792" w:rsidR="00640275" w:rsidRPr="00640275" w:rsidRDefault="00640275" w:rsidP="00640275">
            <w:pPr>
              <w:tabs>
                <w:tab w:val="left" w:pos="-720"/>
              </w:tabs>
              <w:suppressAutoHyphens/>
              <w:jc w:val="center"/>
              <w:rPr>
                <w:sz w:val="24"/>
                <w:szCs w:val="24"/>
              </w:rPr>
            </w:pPr>
            <w:r w:rsidRPr="00640275">
              <w:rPr>
                <w:sz w:val="24"/>
                <w:szCs w:val="24"/>
              </w:rPr>
              <w:t>SFQC</w:t>
            </w:r>
            <w:r w:rsidR="00DF38E7">
              <w:rPr>
                <w:sz w:val="24"/>
                <w:szCs w:val="24"/>
              </w:rPr>
              <w:t xml:space="preserve"> / Pays Membres</w:t>
            </w:r>
          </w:p>
        </w:tc>
      </w:tr>
      <w:tr w:rsidR="00640275" w:rsidRPr="00640275" w14:paraId="31EE5CFC" w14:textId="77777777" w:rsidTr="00640275">
        <w:tc>
          <w:tcPr>
            <w:tcW w:w="6090" w:type="dxa"/>
            <w:shd w:val="clear" w:color="auto" w:fill="auto"/>
          </w:tcPr>
          <w:p w14:paraId="1CB5B706" w14:textId="48E4C5FC" w:rsidR="00640275" w:rsidRPr="00640275" w:rsidRDefault="00640275" w:rsidP="00640275">
            <w:pPr>
              <w:tabs>
                <w:tab w:val="left" w:pos="-720"/>
              </w:tabs>
              <w:suppressAutoHyphens/>
              <w:rPr>
                <w:sz w:val="24"/>
                <w:szCs w:val="24"/>
              </w:rPr>
            </w:pPr>
            <w:r w:rsidRPr="00640275">
              <w:rPr>
                <w:sz w:val="24"/>
                <w:szCs w:val="24"/>
              </w:rPr>
              <w:t>Assistance technique à la rénovation-mise à jour des cursus et programmes de la formation initiale des professeurs et laborantins à l’ENS et en appui méthodologique à la rénovation et l'adaptation des curricula à l'aspect expérimental.</w:t>
            </w:r>
          </w:p>
        </w:tc>
        <w:tc>
          <w:tcPr>
            <w:tcW w:w="2672" w:type="dxa"/>
            <w:shd w:val="clear" w:color="auto" w:fill="auto"/>
          </w:tcPr>
          <w:p w14:paraId="023B2FEF" w14:textId="30EAA499" w:rsidR="00640275" w:rsidRPr="00640275" w:rsidRDefault="00640275" w:rsidP="00640275">
            <w:pPr>
              <w:tabs>
                <w:tab w:val="left" w:pos="-720"/>
              </w:tabs>
              <w:suppressAutoHyphens/>
              <w:jc w:val="center"/>
              <w:rPr>
                <w:sz w:val="24"/>
                <w:szCs w:val="24"/>
              </w:rPr>
            </w:pPr>
            <w:r w:rsidRPr="00640275">
              <w:rPr>
                <w:sz w:val="24"/>
                <w:szCs w:val="24"/>
              </w:rPr>
              <w:t>SFQC</w:t>
            </w:r>
            <w:r w:rsidR="00DF38E7">
              <w:rPr>
                <w:sz w:val="24"/>
                <w:szCs w:val="24"/>
              </w:rPr>
              <w:t xml:space="preserve"> / Pays Membres</w:t>
            </w:r>
          </w:p>
        </w:tc>
      </w:tr>
      <w:tr w:rsidR="00640275" w:rsidRPr="00640275" w14:paraId="75ADF31F" w14:textId="77777777" w:rsidTr="00640275">
        <w:tc>
          <w:tcPr>
            <w:tcW w:w="6090" w:type="dxa"/>
            <w:shd w:val="clear" w:color="auto" w:fill="auto"/>
          </w:tcPr>
          <w:p w14:paraId="207203B2" w14:textId="462318CD" w:rsidR="00640275" w:rsidRPr="00640275" w:rsidRDefault="00640275" w:rsidP="00640275">
            <w:pPr>
              <w:tabs>
                <w:tab w:val="left" w:pos="-720"/>
              </w:tabs>
              <w:suppressAutoHyphens/>
              <w:rPr>
                <w:sz w:val="24"/>
                <w:szCs w:val="24"/>
              </w:rPr>
            </w:pPr>
            <w:r w:rsidRPr="00640275">
              <w:rPr>
                <w:sz w:val="24"/>
                <w:szCs w:val="24"/>
              </w:rPr>
              <w:t>Assistance technique à l'introduction de l'approche des projets d'établissement dans l'enseignement secondaire</w:t>
            </w:r>
          </w:p>
        </w:tc>
        <w:tc>
          <w:tcPr>
            <w:tcW w:w="2672" w:type="dxa"/>
            <w:shd w:val="clear" w:color="auto" w:fill="auto"/>
          </w:tcPr>
          <w:p w14:paraId="51047677" w14:textId="502DF3CF" w:rsidR="00640275" w:rsidRPr="00640275" w:rsidRDefault="00640275" w:rsidP="00640275">
            <w:pPr>
              <w:tabs>
                <w:tab w:val="left" w:pos="-720"/>
              </w:tabs>
              <w:suppressAutoHyphens/>
              <w:jc w:val="center"/>
              <w:rPr>
                <w:sz w:val="24"/>
                <w:szCs w:val="24"/>
              </w:rPr>
            </w:pPr>
            <w:r w:rsidRPr="00640275">
              <w:rPr>
                <w:sz w:val="24"/>
                <w:szCs w:val="24"/>
              </w:rPr>
              <w:t>SFQC</w:t>
            </w:r>
            <w:r w:rsidR="000937EE">
              <w:rPr>
                <w:sz w:val="24"/>
                <w:szCs w:val="24"/>
              </w:rPr>
              <w:t>/ Pays Membres</w:t>
            </w:r>
          </w:p>
        </w:tc>
      </w:tr>
      <w:tr w:rsidR="00640275" w:rsidRPr="00640275" w14:paraId="7A6116F8" w14:textId="77777777" w:rsidTr="00640275">
        <w:tc>
          <w:tcPr>
            <w:tcW w:w="6090" w:type="dxa"/>
            <w:shd w:val="clear" w:color="auto" w:fill="auto"/>
          </w:tcPr>
          <w:p w14:paraId="78D3089E" w14:textId="553C9634" w:rsidR="00640275" w:rsidRPr="00640275" w:rsidRDefault="00640275" w:rsidP="00640275">
            <w:pPr>
              <w:tabs>
                <w:tab w:val="left" w:pos="-720"/>
              </w:tabs>
              <w:suppressAutoHyphens/>
              <w:rPr>
                <w:sz w:val="24"/>
                <w:szCs w:val="24"/>
              </w:rPr>
            </w:pPr>
            <w:r w:rsidRPr="00640275">
              <w:rPr>
                <w:sz w:val="24"/>
                <w:szCs w:val="24"/>
              </w:rPr>
              <w:t>Audit financier du Projet</w:t>
            </w:r>
          </w:p>
        </w:tc>
        <w:tc>
          <w:tcPr>
            <w:tcW w:w="2672" w:type="dxa"/>
            <w:shd w:val="clear" w:color="auto" w:fill="auto"/>
          </w:tcPr>
          <w:p w14:paraId="52FE997F" w14:textId="482328BB" w:rsidR="00640275" w:rsidRPr="00640275" w:rsidRDefault="00640275" w:rsidP="00640275">
            <w:pPr>
              <w:tabs>
                <w:tab w:val="left" w:pos="-720"/>
              </w:tabs>
              <w:suppressAutoHyphens/>
              <w:jc w:val="center"/>
              <w:rPr>
                <w:sz w:val="24"/>
                <w:szCs w:val="24"/>
              </w:rPr>
            </w:pPr>
            <w:r w:rsidRPr="00640275">
              <w:rPr>
                <w:sz w:val="24"/>
                <w:szCs w:val="24"/>
              </w:rPr>
              <w:t>SMC</w:t>
            </w:r>
            <w:r w:rsidR="00517E96">
              <w:rPr>
                <w:sz w:val="24"/>
                <w:szCs w:val="24"/>
              </w:rPr>
              <w:t xml:space="preserve"> / National</w:t>
            </w:r>
          </w:p>
        </w:tc>
      </w:tr>
      <w:tr w:rsidR="00640275" w:rsidRPr="00640275" w14:paraId="482558FC" w14:textId="77777777" w:rsidTr="00640275">
        <w:tc>
          <w:tcPr>
            <w:tcW w:w="6090" w:type="dxa"/>
            <w:shd w:val="clear" w:color="auto" w:fill="auto"/>
          </w:tcPr>
          <w:p w14:paraId="79BB2C0A" w14:textId="1B332C48" w:rsidR="00640275" w:rsidRPr="00640275" w:rsidRDefault="00640275" w:rsidP="00640275">
            <w:pPr>
              <w:tabs>
                <w:tab w:val="left" w:pos="-720"/>
              </w:tabs>
              <w:suppressAutoHyphens/>
              <w:rPr>
                <w:sz w:val="24"/>
                <w:szCs w:val="24"/>
              </w:rPr>
            </w:pPr>
            <w:r w:rsidRPr="00640275">
              <w:rPr>
                <w:sz w:val="24"/>
                <w:szCs w:val="24"/>
              </w:rPr>
              <w:t>Conception, édition des contenus de formation et formation de l'équipe nationale des entraineurs</w:t>
            </w:r>
          </w:p>
        </w:tc>
        <w:tc>
          <w:tcPr>
            <w:tcW w:w="2672" w:type="dxa"/>
            <w:shd w:val="clear" w:color="auto" w:fill="auto"/>
          </w:tcPr>
          <w:p w14:paraId="1C9576E4" w14:textId="298B5788" w:rsidR="00640275" w:rsidRPr="00640275" w:rsidRDefault="00640275" w:rsidP="00640275">
            <w:pPr>
              <w:tabs>
                <w:tab w:val="left" w:pos="-720"/>
              </w:tabs>
              <w:suppressAutoHyphens/>
              <w:jc w:val="center"/>
              <w:rPr>
                <w:sz w:val="24"/>
                <w:szCs w:val="24"/>
              </w:rPr>
            </w:pPr>
            <w:r w:rsidRPr="00640275">
              <w:rPr>
                <w:sz w:val="24"/>
                <w:szCs w:val="24"/>
              </w:rPr>
              <w:t>CI</w:t>
            </w:r>
            <w:r w:rsidR="004B2334">
              <w:rPr>
                <w:sz w:val="24"/>
                <w:szCs w:val="24"/>
              </w:rPr>
              <w:t xml:space="preserve"> / International</w:t>
            </w:r>
          </w:p>
        </w:tc>
      </w:tr>
      <w:tr w:rsidR="00640275" w:rsidRPr="00640275" w14:paraId="5644B8DB" w14:textId="77777777" w:rsidTr="00640275">
        <w:tc>
          <w:tcPr>
            <w:tcW w:w="6090" w:type="dxa"/>
            <w:shd w:val="clear" w:color="auto" w:fill="auto"/>
          </w:tcPr>
          <w:p w14:paraId="5BD39349" w14:textId="59167007" w:rsidR="00640275" w:rsidRPr="00640275" w:rsidRDefault="00640275" w:rsidP="00640275">
            <w:pPr>
              <w:tabs>
                <w:tab w:val="left" w:pos="-720"/>
              </w:tabs>
              <w:suppressAutoHyphens/>
              <w:rPr>
                <w:sz w:val="24"/>
                <w:szCs w:val="24"/>
              </w:rPr>
            </w:pPr>
            <w:r w:rsidRPr="00640275">
              <w:rPr>
                <w:sz w:val="24"/>
                <w:szCs w:val="24"/>
              </w:rPr>
              <w:t>Recrutement d'un expert en évaluation TIMSS</w:t>
            </w:r>
          </w:p>
        </w:tc>
        <w:tc>
          <w:tcPr>
            <w:tcW w:w="2672" w:type="dxa"/>
            <w:shd w:val="clear" w:color="auto" w:fill="auto"/>
          </w:tcPr>
          <w:p w14:paraId="5EC64C42" w14:textId="23C35DEB" w:rsidR="00640275" w:rsidRPr="00640275" w:rsidRDefault="00640275" w:rsidP="00640275">
            <w:pPr>
              <w:tabs>
                <w:tab w:val="left" w:pos="-720"/>
              </w:tabs>
              <w:suppressAutoHyphens/>
              <w:jc w:val="center"/>
              <w:rPr>
                <w:sz w:val="24"/>
                <w:szCs w:val="24"/>
              </w:rPr>
            </w:pPr>
            <w:r w:rsidRPr="00640275">
              <w:rPr>
                <w:sz w:val="24"/>
                <w:szCs w:val="24"/>
              </w:rPr>
              <w:t>CI</w:t>
            </w:r>
            <w:r w:rsidR="004B2334">
              <w:rPr>
                <w:sz w:val="24"/>
                <w:szCs w:val="24"/>
              </w:rPr>
              <w:t xml:space="preserve"> / International</w:t>
            </w:r>
          </w:p>
        </w:tc>
      </w:tr>
      <w:tr w:rsidR="00640275" w:rsidRPr="00640275" w14:paraId="042E11B0" w14:textId="77777777" w:rsidTr="00640275">
        <w:tc>
          <w:tcPr>
            <w:tcW w:w="6090" w:type="dxa"/>
            <w:shd w:val="clear" w:color="auto" w:fill="auto"/>
          </w:tcPr>
          <w:p w14:paraId="25748B31" w14:textId="5BA9E072" w:rsidR="00640275" w:rsidRPr="00640275" w:rsidRDefault="00640275" w:rsidP="00640275">
            <w:pPr>
              <w:tabs>
                <w:tab w:val="left" w:pos="-720"/>
              </w:tabs>
              <w:suppressAutoHyphens/>
              <w:rPr>
                <w:sz w:val="24"/>
                <w:szCs w:val="24"/>
              </w:rPr>
            </w:pPr>
            <w:r w:rsidRPr="00640275">
              <w:rPr>
                <w:sz w:val="24"/>
                <w:szCs w:val="24"/>
              </w:rPr>
              <w:t>Recrutement du personnel de l’Unité de Coordination du Projet</w:t>
            </w:r>
          </w:p>
        </w:tc>
        <w:tc>
          <w:tcPr>
            <w:tcW w:w="2672" w:type="dxa"/>
            <w:shd w:val="clear" w:color="auto" w:fill="auto"/>
          </w:tcPr>
          <w:p w14:paraId="030CA448" w14:textId="6D75409B" w:rsidR="00640275" w:rsidRPr="00640275" w:rsidRDefault="00640275" w:rsidP="00640275">
            <w:pPr>
              <w:tabs>
                <w:tab w:val="left" w:pos="-720"/>
              </w:tabs>
              <w:suppressAutoHyphens/>
              <w:jc w:val="center"/>
              <w:rPr>
                <w:sz w:val="24"/>
                <w:szCs w:val="24"/>
              </w:rPr>
            </w:pPr>
            <w:r w:rsidRPr="00640275">
              <w:rPr>
                <w:sz w:val="24"/>
                <w:szCs w:val="24"/>
              </w:rPr>
              <w:t>CI</w:t>
            </w:r>
            <w:r w:rsidR="00F60044">
              <w:rPr>
                <w:sz w:val="24"/>
                <w:szCs w:val="24"/>
              </w:rPr>
              <w:t xml:space="preserve"> / National</w:t>
            </w:r>
          </w:p>
        </w:tc>
      </w:tr>
      <w:tr w:rsidR="004B2334" w:rsidRPr="00640275" w14:paraId="7E1E264F" w14:textId="77777777" w:rsidTr="00640275">
        <w:tc>
          <w:tcPr>
            <w:tcW w:w="6090" w:type="dxa"/>
            <w:shd w:val="clear" w:color="auto" w:fill="auto"/>
          </w:tcPr>
          <w:p w14:paraId="22D558E5" w14:textId="68ABF32F" w:rsidR="004B2334" w:rsidRPr="00640275" w:rsidRDefault="004B2334" w:rsidP="00640275">
            <w:pPr>
              <w:tabs>
                <w:tab w:val="left" w:pos="-720"/>
              </w:tabs>
              <w:suppressAutoHyphens/>
              <w:rPr>
                <w:sz w:val="24"/>
                <w:szCs w:val="24"/>
              </w:rPr>
            </w:pPr>
            <w:r>
              <w:rPr>
                <w:sz w:val="24"/>
                <w:szCs w:val="24"/>
              </w:rPr>
              <w:t>Evaluation de</w:t>
            </w:r>
            <w:r w:rsidR="00DA10EB">
              <w:rPr>
                <w:sz w:val="24"/>
                <w:szCs w:val="24"/>
              </w:rPr>
              <w:t>s élèves de</w:t>
            </w:r>
            <w:r w:rsidR="004A1B37">
              <w:rPr>
                <w:sz w:val="24"/>
                <w:szCs w:val="24"/>
              </w:rPr>
              <w:t xml:space="preserve"> l’ENS</w:t>
            </w:r>
          </w:p>
        </w:tc>
        <w:tc>
          <w:tcPr>
            <w:tcW w:w="2672" w:type="dxa"/>
            <w:shd w:val="clear" w:color="auto" w:fill="auto"/>
          </w:tcPr>
          <w:p w14:paraId="6DC01CCF" w14:textId="279D3D4C" w:rsidR="004B2334" w:rsidRPr="00640275" w:rsidRDefault="00F60044" w:rsidP="00640275">
            <w:pPr>
              <w:tabs>
                <w:tab w:val="left" w:pos="-720"/>
              </w:tabs>
              <w:suppressAutoHyphens/>
              <w:jc w:val="center"/>
              <w:rPr>
                <w:sz w:val="24"/>
                <w:szCs w:val="24"/>
              </w:rPr>
            </w:pPr>
            <w:r>
              <w:rPr>
                <w:sz w:val="24"/>
                <w:szCs w:val="24"/>
              </w:rPr>
              <w:t>Entente</w:t>
            </w:r>
            <w:r w:rsidR="004A1B37">
              <w:rPr>
                <w:sz w:val="24"/>
                <w:szCs w:val="24"/>
              </w:rPr>
              <w:t xml:space="preserve"> directe </w:t>
            </w:r>
          </w:p>
        </w:tc>
      </w:tr>
    </w:tbl>
    <w:p w14:paraId="36204484" w14:textId="2BF15FC9" w:rsidR="00FC6D65" w:rsidRPr="0066071D" w:rsidRDefault="00FC6D65" w:rsidP="0066071D">
      <w:pPr>
        <w:jc w:val="both"/>
        <w:rPr>
          <w:rFonts w:asciiTheme="majorBidi" w:hAnsiTheme="majorBidi" w:cstheme="majorBidi"/>
          <w:sz w:val="24"/>
          <w:szCs w:val="24"/>
        </w:rPr>
      </w:pPr>
      <w:r w:rsidRPr="00FC6D65">
        <w:rPr>
          <w:rFonts w:asciiTheme="majorBidi" w:hAnsiTheme="majorBidi" w:cstheme="majorBidi"/>
          <w:sz w:val="24"/>
          <w:szCs w:val="24"/>
        </w:rPr>
        <w:lastRenderedPageBreak/>
        <w:t xml:space="preserve">Les </w:t>
      </w:r>
      <w:r>
        <w:rPr>
          <w:rFonts w:asciiTheme="majorBidi" w:hAnsiTheme="majorBidi" w:cstheme="majorBidi"/>
          <w:sz w:val="24"/>
          <w:szCs w:val="24"/>
        </w:rPr>
        <w:t>avis spécifiques de passation des marchés</w:t>
      </w:r>
      <w:r w:rsidRPr="00FC6D65">
        <w:rPr>
          <w:rFonts w:asciiTheme="majorBidi" w:hAnsiTheme="majorBidi" w:cstheme="majorBidi"/>
          <w:sz w:val="24"/>
          <w:szCs w:val="24"/>
        </w:rPr>
        <w:t xml:space="preserve"> dans le cadre des procédures d'appel d'offres international (AOI) ou d'appel d'offres international - pays membres de la Banque islamique de </w:t>
      </w:r>
      <w:r w:rsidR="000714AA">
        <w:rPr>
          <w:rFonts w:asciiTheme="majorBidi" w:hAnsiTheme="majorBidi" w:cstheme="majorBidi"/>
          <w:sz w:val="24"/>
          <w:szCs w:val="24"/>
        </w:rPr>
        <w:t>D</w:t>
      </w:r>
      <w:r w:rsidRPr="00FC6D65">
        <w:rPr>
          <w:rFonts w:asciiTheme="majorBidi" w:hAnsiTheme="majorBidi" w:cstheme="majorBidi"/>
          <w:sz w:val="24"/>
          <w:szCs w:val="24"/>
        </w:rPr>
        <w:t xml:space="preserve">éveloppement et pour les </w:t>
      </w:r>
      <w:r>
        <w:rPr>
          <w:rFonts w:asciiTheme="majorBidi" w:hAnsiTheme="majorBidi" w:cstheme="majorBidi"/>
          <w:sz w:val="24"/>
          <w:szCs w:val="24"/>
        </w:rPr>
        <w:t>marchés</w:t>
      </w:r>
      <w:r w:rsidRPr="00FC6D65">
        <w:rPr>
          <w:rFonts w:asciiTheme="majorBidi" w:hAnsiTheme="majorBidi" w:cstheme="majorBidi"/>
          <w:sz w:val="24"/>
          <w:szCs w:val="24"/>
        </w:rPr>
        <w:t xml:space="preserve"> de</w:t>
      </w:r>
      <w:r>
        <w:rPr>
          <w:rFonts w:asciiTheme="majorBidi" w:hAnsiTheme="majorBidi" w:cstheme="majorBidi"/>
          <w:sz w:val="24"/>
          <w:szCs w:val="24"/>
        </w:rPr>
        <w:t>s consultants</w:t>
      </w:r>
      <w:r w:rsidRPr="00FC6D65">
        <w:rPr>
          <w:rFonts w:asciiTheme="majorBidi" w:hAnsiTheme="majorBidi" w:cstheme="majorBidi"/>
          <w:sz w:val="24"/>
          <w:szCs w:val="24"/>
        </w:rPr>
        <w:t xml:space="preserve"> </w:t>
      </w:r>
      <w:r>
        <w:rPr>
          <w:rFonts w:asciiTheme="majorBidi" w:hAnsiTheme="majorBidi" w:cstheme="majorBidi"/>
          <w:sz w:val="24"/>
          <w:szCs w:val="24"/>
        </w:rPr>
        <w:t>internationaux,</w:t>
      </w:r>
      <w:r w:rsidRPr="00FC6D65">
        <w:rPr>
          <w:rFonts w:asciiTheme="majorBidi" w:hAnsiTheme="majorBidi" w:cstheme="majorBidi"/>
          <w:sz w:val="24"/>
          <w:szCs w:val="24"/>
        </w:rPr>
        <w:t xml:space="preserve"> seront annoncés dès</w:t>
      </w:r>
      <w:r>
        <w:rPr>
          <w:rFonts w:asciiTheme="majorBidi" w:hAnsiTheme="majorBidi" w:cstheme="majorBidi"/>
          <w:sz w:val="24"/>
          <w:szCs w:val="24"/>
        </w:rPr>
        <w:t xml:space="preserve"> qu'ils seront disponibles sur le site de la </w:t>
      </w:r>
      <w:r w:rsidRPr="00FC6D65">
        <w:rPr>
          <w:rFonts w:asciiTheme="majorBidi" w:hAnsiTheme="majorBidi" w:cstheme="majorBidi"/>
          <w:sz w:val="24"/>
          <w:szCs w:val="24"/>
        </w:rPr>
        <w:t>Banque islamique de développement</w:t>
      </w:r>
      <w:r>
        <w:rPr>
          <w:rFonts w:asciiTheme="majorBidi" w:hAnsiTheme="majorBidi" w:cstheme="majorBidi"/>
          <w:sz w:val="24"/>
          <w:szCs w:val="24"/>
        </w:rPr>
        <w:t xml:space="preserve"> (</w:t>
      </w:r>
      <w:hyperlink r:id="rId8" w:history="1">
        <w:r w:rsidRPr="0066071D">
          <w:rPr>
            <w:rFonts w:asciiTheme="majorBidi" w:hAnsiTheme="majorBidi" w:cstheme="majorBidi"/>
            <w:sz w:val="24"/>
            <w:szCs w:val="24"/>
          </w:rPr>
          <w:t>IsDB Website</w:t>
        </w:r>
      </w:hyperlink>
      <w:r w:rsidRPr="0066071D">
        <w:rPr>
          <w:rFonts w:asciiTheme="majorBidi" w:hAnsiTheme="majorBidi" w:cstheme="majorBidi"/>
          <w:sz w:val="24"/>
          <w:szCs w:val="24"/>
        </w:rPr>
        <w:t>) et sur le site de</w:t>
      </w:r>
      <w:r w:rsidR="0066071D" w:rsidRPr="0066071D">
        <w:rPr>
          <w:rFonts w:asciiTheme="majorBidi" w:hAnsiTheme="majorBidi" w:cstheme="majorBidi"/>
          <w:sz w:val="24"/>
          <w:szCs w:val="24"/>
        </w:rPr>
        <w:t xml:space="preserve"> l’Autorité de</w:t>
      </w:r>
      <w:r w:rsidRPr="0066071D">
        <w:rPr>
          <w:rFonts w:asciiTheme="majorBidi" w:hAnsiTheme="majorBidi" w:cstheme="majorBidi"/>
          <w:sz w:val="24"/>
          <w:szCs w:val="24"/>
        </w:rPr>
        <w:t xml:space="preserve"> </w:t>
      </w:r>
      <w:r w:rsidR="0066071D" w:rsidRPr="0066071D">
        <w:rPr>
          <w:rFonts w:asciiTheme="majorBidi" w:hAnsiTheme="majorBidi" w:cstheme="majorBidi"/>
          <w:sz w:val="24"/>
          <w:szCs w:val="24"/>
        </w:rPr>
        <w:t> régulation des marchés publics</w:t>
      </w:r>
      <w:r w:rsidR="000714AA">
        <w:rPr>
          <w:rFonts w:asciiTheme="majorBidi" w:hAnsiTheme="majorBidi" w:cstheme="majorBidi"/>
          <w:sz w:val="24"/>
          <w:szCs w:val="24"/>
        </w:rPr>
        <w:t xml:space="preserve"> de la Mauritanie</w:t>
      </w:r>
      <w:r w:rsidR="0066071D" w:rsidRPr="0066071D">
        <w:rPr>
          <w:rFonts w:asciiTheme="majorBidi" w:hAnsiTheme="majorBidi" w:cstheme="majorBidi"/>
          <w:sz w:val="24"/>
          <w:szCs w:val="24"/>
        </w:rPr>
        <w:t xml:space="preserve"> </w:t>
      </w:r>
      <w:r w:rsidRPr="0066071D">
        <w:rPr>
          <w:rFonts w:asciiTheme="majorBidi" w:hAnsiTheme="majorBidi" w:cstheme="majorBidi"/>
          <w:sz w:val="24"/>
          <w:szCs w:val="24"/>
        </w:rPr>
        <w:t>(</w:t>
      </w:r>
      <w:hyperlink r:id="rId9" w:history="1">
        <w:r w:rsidR="0066071D" w:rsidRPr="009217B7">
          <w:rPr>
            <w:rStyle w:val="Hyperlink"/>
            <w:sz w:val="24"/>
          </w:rPr>
          <w:t>www.armp.mr</w:t>
        </w:r>
      </w:hyperlink>
      <w:r w:rsidR="0066071D" w:rsidRPr="0066071D">
        <w:rPr>
          <w:rFonts w:asciiTheme="majorBidi" w:hAnsiTheme="majorBidi" w:cstheme="majorBidi"/>
          <w:sz w:val="24"/>
          <w:szCs w:val="24"/>
        </w:rPr>
        <w:t>)</w:t>
      </w:r>
    </w:p>
    <w:p w14:paraId="1D165685" w14:textId="634AEC26" w:rsidR="00BD1558" w:rsidRPr="00FC6D65" w:rsidRDefault="00BD1558" w:rsidP="00BD1558">
      <w:pPr>
        <w:rPr>
          <w:rFonts w:asciiTheme="majorBidi" w:hAnsiTheme="majorBidi" w:cstheme="majorBidi"/>
          <w:b/>
          <w:bCs/>
          <w:sz w:val="24"/>
          <w:szCs w:val="24"/>
          <w:highlight w:val="yellow"/>
        </w:rPr>
      </w:pPr>
    </w:p>
    <w:p w14:paraId="4C52562E" w14:textId="222D0406" w:rsidR="00940D2F" w:rsidRPr="0066071D" w:rsidRDefault="00940D2F" w:rsidP="0066071D">
      <w:pPr>
        <w:jc w:val="both"/>
        <w:rPr>
          <w:rFonts w:asciiTheme="majorBidi" w:hAnsiTheme="majorBidi" w:cstheme="majorBidi"/>
          <w:sz w:val="24"/>
          <w:szCs w:val="24"/>
        </w:rPr>
      </w:pPr>
    </w:p>
    <w:p w14:paraId="15CD050D" w14:textId="77777777" w:rsidR="00940D2F" w:rsidRPr="0066071D" w:rsidRDefault="00940D2F" w:rsidP="0066071D">
      <w:pPr>
        <w:jc w:val="both"/>
        <w:rPr>
          <w:rFonts w:asciiTheme="majorBidi" w:hAnsiTheme="majorBidi" w:cstheme="majorBidi"/>
          <w:sz w:val="24"/>
          <w:szCs w:val="24"/>
        </w:rPr>
      </w:pPr>
      <w:r w:rsidRPr="0066071D">
        <w:rPr>
          <w:rFonts w:asciiTheme="majorBidi" w:hAnsiTheme="majorBidi" w:cstheme="majorBidi"/>
          <w:sz w:val="24"/>
          <w:szCs w:val="24"/>
        </w:rPr>
        <w:t xml:space="preserve">Les soumissionnaires intéressés peuvent obtenir des informations complémentaires et devraient confirmer leur intention, à l’adresse suivante : </w:t>
      </w:r>
    </w:p>
    <w:p w14:paraId="75479398" w14:textId="44CD196E" w:rsidR="00940D2F" w:rsidRDefault="00940D2F" w:rsidP="0066071D">
      <w:pPr>
        <w:jc w:val="both"/>
        <w:rPr>
          <w:rFonts w:asciiTheme="majorBidi" w:hAnsiTheme="majorBidi" w:cstheme="majorBidi"/>
          <w:sz w:val="24"/>
          <w:szCs w:val="24"/>
        </w:rPr>
      </w:pPr>
    </w:p>
    <w:p w14:paraId="56614897" w14:textId="77777777" w:rsidR="0066071D" w:rsidRPr="00CF7A94" w:rsidRDefault="0066071D" w:rsidP="00CF7A94">
      <w:pPr>
        <w:ind w:left="708"/>
        <w:jc w:val="both"/>
        <w:rPr>
          <w:rFonts w:asciiTheme="majorBidi" w:hAnsiTheme="majorBidi" w:cstheme="majorBidi"/>
          <w:b/>
          <w:sz w:val="24"/>
          <w:szCs w:val="24"/>
        </w:rPr>
      </w:pPr>
      <w:r w:rsidRPr="00CF7A94">
        <w:rPr>
          <w:rFonts w:asciiTheme="majorBidi" w:hAnsiTheme="majorBidi" w:cstheme="majorBidi"/>
          <w:b/>
          <w:sz w:val="24"/>
          <w:szCs w:val="24"/>
        </w:rPr>
        <w:t xml:space="preserve">Direction des Projet Education-Formation ; </w:t>
      </w:r>
    </w:p>
    <w:p w14:paraId="1DDA7063" w14:textId="77777777" w:rsidR="0066071D" w:rsidRPr="00CF7A94" w:rsidRDefault="0066071D" w:rsidP="00CF7A94">
      <w:pPr>
        <w:ind w:left="708"/>
        <w:jc w:val="both"/>
        <w:rPr>
          <w:rFonts w:asciiTheme="majorBidi" w:hAnsiTheme="majorBidi" w:cstheme="majorBidi"/>
          <w:b/>
          <w:sz w:val="24"/>
          <w:szCs w:val="24"/>
        </w:rPr>
      </w:pPr>
      <w:r w:rsidRPr="00CF7A94">
        <w:rPr>
          <w:rFonts w:asciiTheme="majorBidi" w:hAnsiTheme="majorBidi" w:cstheme="majorBidi"/>
          <w:b/>
          <w:sz w:val="24"/>
          <w:szCs w:val="24"/>
        </w:rPr>
        <w:t xml:space="preserve">Immeuble de la DPEF, </w:t>
      </w:r>
    </w:p>
    <w:p w14:paraId="4CEF9375" w14:textId="34E6905E" w:rsidR="00CF7A94" w:rsidRPr="00CF7A94" w:rsidRDefault="0066071D" w:rsidP="00CF7A94">
      <w:pPr>
        <w:ind w:left="708"/>
        <w:jc w:val="both"/>
        <w:rPr>
          <w:rFonts w:asciiTheme="majorBidi" w:hAnsiTheme="majorBidi" w:cstheme="majorBidi"/>
          <w:b/>
          <w:sz w:val="24"/>
          <w:szCs w:val="24"/>
        </w:rPr>
      </w:pPr>
      <w:r w:rsidRPr="00CF7A94">
        <w:rPr>
          <w:rFonts w:asciiTheme="majorBidi" w:hAnsiTheme="majorBidi" w:cstheme="majorBidi"/>
          <w:b/>
          <w:sz w:val="24"/>
          <w:szCs w:val="24"/>
        </w:rPr>
        <w:t>rue 42-037, Tevragh Zeina Nouakchott (Contiguë à l’école KHAYAR ; ilot</w:t>
      </w:r>
      <w:r w:rsidR="00CF7A94" w:rsidRPr="00CF7A94">
        <w:rPr>
          <w:rFonts w:asciiTheme="majorBidi" w:hAnsiTheme="majorBidi" w:cstheme="majorBidi"/>
          <w:b/>
          <w:sz w:val="24"/>
          <w:szCs w:val="24"/>
        </w:rPr>
        <w:t xml:space="preserve"> </w:t>
      </w:r>
      <w:r w:rsidRPr="00CF7A94">
        <w:rPr>
          <w:rFonts w:asciiTheme="majorBidi" w:hAnsiTheme="majorBidi" w:cstheme="majorBidi"/>
          <w:b/>
          <w:sz w:val="24"/>
          <w:szCs w:val="24"/>
        </w:rPr>
        <w:t xml:space="preserve">V). </w:t>
      </w:r>
    </w:p>
    <w:p w14:paraId="4B5247A9" w14:textId="162AAD95" w:rsidR="00BD1558" w:rsidRDefault="0066071D" w:rsidP="00CF7A94">
      <w:pPr>
        <w:ind w:left="708"/>
        <w:jc w:val="both"/>
        <w:rPr>
          <w:rFonts w:asciiTheme="majorBidi" w:hAnsiTheme="majorBidi" w:cstheme="majorBidi"/>
          <w:b/>
          <w:sz w:val="24"/>
          <w:szCs w:val="24"/>
        </w:rPr>
      </w:pPr>
      <w:r w:rsidRPr="00CF7A94">
        <w:rPr>
          <w:rFonts w:asciiTheme="majorBidi" w:hAnsiTheme="majorBidi" w:cstheme="majorBidi"/>
          <w:b/>
          <w:sz w:val="24"/>
          <w:szCs w:val="24"/>
        </w:rPr>
        <w:t>Tel+222 45 25 20 63.</w:t>
      </w:r>
    </w:p>
    <w:p w14:paraId="2E8D0945" w14:textId="1841BF28" w:rsidR="00CF7A94" w:rsidRDefault="00CF7A94" w:rsidP="00CF7A94">
      <w:pPr>
        <w:ind w:left="708"/>
        <w:jc w:val="both"/>
        <w:rPr>
          <w:rFonts w:asciiTheme="majorBidi" w:hAnsiTheme="majorBidi" w:cstheme="majorBidi"/>
          <w:b/>
          <w:sz w:val="24"/>
          <w:szCs w:val="24"/>
        </w:rPr>
      </w:pPr>
      <w:r w:rsidRPr="00750182">
        <w:rPr>
          <w:rFonts w:asciiTheme="majorBidi" w:hAnsiTheme="majorBidi" w:cstheme="majorBidi"/>
          <w:b/>
          <w:sz w:val="24"/>
          <w:szCs w:val="24"/>
        </w:rPr>
        <w:t>Email :</w:t>
      </w:r>
      <w:r w:rsidR="00937584" w:rsidRPr="00750182">
        <w:rPr>
          <w:rFonts w:asciiTheme="majorBidi" w:hAnsiTheme="majorBidi" w:cstheme="majorBidi"/>
          <w:b/>
          <w:sz w:val="24"/>
          <w:szCs w:val="24"/>
        </w:rPr>
        <w:t xml:space="preserve"> </w:t>
      </w:r>
      <w:hyperlink r:id="rId10" w:history="1">
        <w:r w:rsidR="00937584" w:rsidRPr="00750182">
          <w:rPr>
            <w:rStyle w:val="Hyperlink"/>
            <w:sz w:val="22"/>
            <w:szCs w:val="22"/>
          </w:rPr>
          <w:t>mosm@dpef.mr</w:t>
        </w:r>
      </w:hyperlink>
      <w:r w:rsidR="00937584" w:rsidRPr="00A16CCC">
        <w:rPr>
          <w:sz w:val="22"/>
          <w:szCs w:val="22"/>
        </w:rPr>
        <w:t xml:space="preserve">  </w:t>
      </w:r>
      <w:r w:rsidR="00750182">
        <w:rPr>
          <w:sz w:val="22"/>
          <w:szCs w:val="22"/>
        </w:rPr>
        <w:t xml:space="preserve">et </w:t>
      </w:r>
      <w:hyperlink r:id="rId11" w:history="1">
        <w:r w:rsidR="00937584" w:rsidRPr="00A16CCC">
          <w:rPr>
            <w:rStyle w:val="Hyperlink"/>
            <w:sz w:val="22"/>
            <w:szCs w:val="22"/>
          </w:rPr>
          <w:t>ba@dpef.mr</w:t>
        </w:r>
      </w:hyperlink>
    </w:p>
    <w:p w14:paraId="0A5FA9C3" w14:textId="77777777" w:rsidR="00CF7A94" w:rsidRDefault="00CF7A94" w:rsidP="00CF7A94">
      <w:pPr>
        <w:ind w:left="708"/>
        <w:jc w:val="both"/>
        <w:rPr>
          <w:rFonts w:asciiTheme="majorBidi" w:hAnsiTheme="majorBidi" w:cstheme="majorBidi"/>
          <w:b/>
          <w:sz w:val="24"/>
          <w:szCs w:val="24"/>
        </w:rPr>
      </w:pPr>
    </w:p>
    <w:p w14:paraId="14D9391D" w14:textId="77777777" w:rsidR="00CF7A94" w:rsidRDefault="00CF7A94" w:rsidP="00CF7A94">
      <w:pPr>
        <w:ind w:left="708"/>
        <w:jc w:val="both"/>
        <w:rPr>
          <w:rFonts w:asciiTheme="majorBidi" w:hAnsiTheme="majorBidi" w:cstheme="majorBidi"/>
          <w:b/>
          <w:sz w:val="24"/>
          <w:szCs w:val="24"/>
        </w:rPr>
      </w:pPr>
    </w:p>
    <w:p w14:paraId="27F2BB00" w14:textId="77777777" w:rsidR="00CF7A94" w:rsidRDefault="00CF7A94" w:rsidP="000714AA">
      <w:pPr>
        <w:ind w:left="4248"/>
        <w:jc w:val="both"/>
        <w:rPr>
          <w:rFonts w:asciiTheme="majorBidi" w:hAnsiTheme="majorBidi" w:cstheme="majorBidi"/>
          <w:b/>
          <w:sz w:val="24"/>
          <w:szCs w:val="24"/>
        </w:rPr>
      </w:pPr>
      <w:r>
        <w:rPr>
          <w:rFonts w:asciiTheme="majorBidi" w:hAnsiTheme="majorBidi" w:cstheme="majorBidi"/>
          <w:b/>
          <w:sz w:val="24"/>
          <w:szCs w:val="24"/>
        </w:rPr>
        <w:t xml:space="preserve">Le Directeur des Projets Education Formation </w:t>
      </w:r>
    </w:p>
    <w:p w14:paraId="7E51EE63" w14:textId="704BD336" w:rsidR="00CF7A94" w:rsidRPr="00CF7A94" w:rsidRDefault="00CF7A94" w:rsidP="00CF7A94">
      <w:pPr>
        <w:ind w:left="708"/>
        <w:jc w:val="both"/>
        <w:rPr>
          <w:rFonts w:asciiTheme="majorBidi" w:hAnsiTheme="majorBidi" w:cstheme="majorBidi"/>
          <w:b/>
          <w:sz w:val="24"/>
          <w:szCs w:val="24"/>
        </w:rPr>
      </w:pPr>
      <w:r>
        <w:rPr>
          <w:rFonts w:asciiTheme="majorBidi" w:hAnsiTheme="majorBidi" w:cstheme="majorBidi"/>
          <w:b/>
          <w:sz w:val="24"/>
          <w:szCs w:val="24"/>
        </w:rPr>
        <w:t xml:space="preserve"> </w:t>
      </w:r>
    </w:p>
    <w:sectPr w:rsidR="00CF7A94" w:rsidRPr="00CF7A94" w:rsidSect="00094A9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F0E4E" w14:textId="77777777" w:rsidR="001E0CCB" w:rsidRDefault="001E0CCB" w:rsidP="00094A92">
      <w:r>
        <w:separator/>
      </w:r>
    </w:p>
  </w:endnote>
  <w:endnote w:type="continuationSeparator" w:id="0">
    <w:p w14:paraId="282A89F2" w14:textId="77777777" w:rsidR="001E0CCB" w:rsidRDefault="001E0CCB" w:rsidP="0009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4B059" w14:textId="77777777" w:rsidR="00863961" w:rsidRDefault="00863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955761"/>
      <w:docPartObj>
        <w:docPartGallery w:val="Page Numbers (Bottom of Page)"/>
        <w:docPartUnique/>
      </w:docPartObj>
    </w:sdtPr>
    <w:sdtEndPr/>
    <w:sdtContent>
      <w:p w14:paraId="50CB30F8" w14:textId="743A28FE" w:rsidR="00094A92" w:rsidRDefault="003A13F9">
        <w:pPr>
          <w:pStyle w:val="Footer"/>
          <w:jc w:val="center"/>
        </w:pPr>
        <w:r>
          <w:fldChar w:fldCharType="begin"/>
        </w:r>
        <w:r w:rsidR="00094A92">
          <w:instrText>PAGE   \* MERGEFORMAT</w:instrText>
        </w:r>
        <w:r>
          <w:fldChar w:fldCharType="separate"/>
        </w:r>
        <w:r w:rsidR="008877A4">
          <w:rPr>
            <w:noProof/>
          </w:rPr>
          <w:t>3</w:t>
        </w:r>
        <w:r>
          <w:fldChar w:fldCharType="end"/>
        </w:r>
      </w:p>
    </w:sdtContent>
  </w:sdt>
  <w:p w14:paraId="1E228CA9" w14:textId="77777777" w:rsidR="00094A92" w:rsidRDefault="00094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BD95" w14:textId="77777777" w:rsidR="00863961" w:rsidRDefault="00863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06F1C" w14:textId="77777777" w:rsidR="001E0CCB" w:rsidRDefault="001E0CCB" w:rsidP="00094A92">
      <w:r>
        <w:separator/>
      </w:r>
    </w:p>
  </w:footnote>
  <w:footnote w:type="continuationSeparator" w:id="0">
    <w:p w14:paraId="5004495F" w14:textId="77777777" w:rsidR="001E0CCB" w:rsidRDefault="001E0CCB" w:rsidP="00094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DF167" w14:textId="77777777" w:rsidR="00863961" w:rsidRDefault="00863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CFA60" w14:textId="77777777" w:rsidR="00863961" w:rsidRDefault="00863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E8672" w14:textId="77777777" w:rsidR="00863961" w:rsidRDefault="00863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4D26048A"/>
    <w:lvl w:ilvl="0">
      <w:start w:val="1"/>
      <w:numFmt w:val="decimal"/>
      <w:lvlText w:val="%1."/>
      <w:lvlJc w:val="left"/>
      <w:pPr>
        <w:tabs>
          <w:tab w:val="num" w:pos="0"/>
        </w:tabs>
        <w:ind w:left="709" w:hanging="708"/>
      </w:pPr>
      <w:rPr>
        <w:rFonts w:hint="default"/>
      </w:rPr>
    </w:lvl>
    <w:lvl w:ilvl="1">
      <w:start w:val="1"/>
      <w:numFmt w:val="decimal"/>
      <w:lvlText w:val="%1.%2."/>
      <w:lvlJc w:val="left"/>
      <w:pPr>
        <w:tabs>
          <w:tab w:val="num" w:pos="708"/>
        </w:tabs>
        <w:ind w:left="708" w:hanging="708"/>
      </w:pPr>
      <w:rPr>
        <w:rFonts w:ascii="Times New Roman" w:hAnsi="Times New Roman" w:hint="default"/>
        <w:b w:val="0"/>
        <w:i w:val="0"/>
        <w:sz w:val="24"/>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12D3FE6"/>
    <w:multiLevelType w:val="hybridMultilevel"/>
    <w:tmpl w:val="4E9870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51637"/>
    <w:multiLevelType w:val="hybridMultilevel"/>
    <w:tmpl w:val="DB88AA50"/>
    <w:lvl w:ilvl="0" w:tplc="763434B8">
      <w:start w:val="1"/>
      <w:numFmt w:val="upperRoman"/>
      <w:lvlText w:val="%1."/>
      <w:lvlJc w:val="left"/>
      <w:pPr>
        <w:ind w:left="1287" w:hanging="720"/>
      </w:pPr>
      <w:rPr>
        <w:rFonts w:ascii="Times New Roman" w:eastAsia="Times New Roman" w:hAnsi="Times New Roman" w:cs="Times New Roman" w:hint="default"/>
        <w:b/>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048877E3"/>
    <w:multiLevelType w:val="multilevel"/>
    <w:tmpl w:val="107245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A32437F"/>
    <w:multiLevelType w:val="multilevel"/>
    <w:tmpl w:val="4EF0B0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A7258DD"/>
    <w:multiLevelType w:val="hybridMultilevel"/>
    <w:tmpl w:val="DFC89140"/>
    <w:lvl w:ilvl="0" w:tplc="C7BE4F3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A868EE"/>
    <w:multiLevelType w:val="hybridMultilevel"/>
    <w:tmpl w:val="9FEEE0AC"/>
    <w:lvl w:ilvl="0" w:tplc="040C0005">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tabs>
          <w:tab w:val="num" w:pos="397"/>
        </w:tabs>
        <w:ind w:left="397" w:hanging="397"/>
      </w:pPr>
    </w:lvl>
    <w:lvl w:ilvl="2" w:tplc="FFFFFFFF">
      <w:start w:val="1"/>
      <w:numFmt w:val="bullet"/>
      <w:lvlText w:val=""/>
      <w:lvlJc w:val="left"/>
      <w:pPr>
        <w:tabs>
          <w:tab w:val="num" w:pos="1080"/>
        </w:tabs>
        <w:ind w:left="108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E8F1B58"/>
    <w:multiLevelType w:val="hybridMultilevel"/>
    <w:tmpl w:val="8322557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CC62978"/>
    <w:multiLevelType w:val="hybridMultilevel"/>
    <w:tmpl w:val="10669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F8059D"/>
    <w:multiLevelType w:val="multilevel"/>
    <w:tmpl w:val="F4D40244"/>
    <w:lvl w:ilvl="0">
      <w:start w:val="1"/>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10" w15:restartNumberingAfterBreak="0">
    <w:nsid w:val="3EDE14AE"/>
    <w:multiLevelType w:val="hybridMultilevel"/>
    <w:tmpl w:val="DB88AA50"/>
    <w:lvl w:ilvl="0" w:tplc="FFFFFFFF">
      <w:start w:val="1"/>
      <w:numFmt w:val="upperRoman"/>
      <w:lvlText w:val="%1."/>
      <w:lvlJc w:val="left"/>
      <w:pPr>
        <w:ind w:left="1287" w:hanging="720"/>
      </w:pPr>
      <w:rPr>
        <w:rFonts w:ascii="Times New Roman" w:eastAsia="Times New Roman" w:hAnsi="Times New Roman" w:cs="Times New Roman" w:hint="default"/>
        <w:b/>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4E3B69F7"/>
    <w:multiLevelType w:val="hybridMultilevel"/>
    <w:tmpl w:val="106082C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BAB6C71"/>
    <w:multiLevelType w:val="hybridMultilevel"/>
    <w:tmpl w:val="FB14E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0FC7829"/>
    <w:multiLevelType w:val="hybridMultilevel"/>
    <w:tmpl w:val="0D7CC8DC"/>
    <w:lvl w:ilvl="0" w:tplc="FFFFFFFF">
      <w:start w:val="1"/>
      <w:numFmt w:val="upperRoman"/>
      <w:lvlText w:val="%1."/>
      <w:lvlJc w:val="left"/>
      <w:pPr>
        <w:ind w:left="1287" w:hanging="720"/>
      </w:pPr>
      <w:rPr>
        <w:rFonts w:ascii="Times New Roman" w:eastAsia="Times New Roman" w:hAnsi="Times New Roman" w:cs="Times New Roman" w:hint="default"/>
        <w:b/>
      </w:rPr>
    </w:lvl>
    <w:lvl w:ilvl="1" w:tplc="040C0011">
      <w:start w:val="1"/>
      <w:numFmt w:val="decimal"/>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719B284E"/>
    <w:multiLevelType w:val="hybridMultilevel"/>
    <w:tmpl w:val="6958EADA"/>
    <w:lvl w:ilvl="0" w:tplc="B4C09E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647555F"/>
    <w:multiLevelType w:val="multilevel"/>
    <w:tmpl w:val="BD4484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77553F68"/>
    <w:multiLevelType w:val="hybridMultilevel"/>
    <w:tmpl w:val="52F01A58"/>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6"/>
  </w:num>
  <w:num w:numId="6">
    <w:abstractNumId w:val="6"/>
  </w:num>
  <w:num w:numId="7">
    <w:abstractNumId w:val="8"/>
  </w:num>
  <w:num w:numId="8">
    <w:abstractNumId w:val="2"/>
  </w:num>
  <w:num w:numId="9">
    <w:abstractNumId w:val="12"/>
  </w:num>
  <w:num w:numId="10">
    <w:abstractNumId w:val="14"/>
  </w:num>
  <w:num w:numId="11">
    <w:abstractNumId w:val="7"/>
  </w:num>
  <w:num w:numId="12">
    <w:abstractNumId w:val="11"/>
  </w:num>
  <w:num w:numId="13">
    <w:abstractNumId w:val="0"/>
  </w:num>
  <w:num w:numId="14">
    <w:abstractNumId w:val="13"/>
  </w:num>
  <w:num w:numId="15">
    <w:abstractNumId w:val="10"/>
  </w:num>
  <w:num w:numId="16">
    <w:abstractNumId w:val="3"/>
  </w:num>
  <w:num w:numId="17">
    <w:abstractNumId w:val="15"/>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5A"/>
    <w:rsid w:val="000126A3"/>
    <w:rsid w:val="00013978"/>
    <w:rsid w:val="00034BF3"/>
    <w:rsid w:val="00034FC6"/>
    <w:rsid w:val="0005128B"/>
    <w:rsid w:val="00054B59"/>
    <w:rsid w:val="000714AA"/>
    <w:rsid w:val="000937EE"/>
    <w:rsid w:val="00094A92"/>
    <w:rsid w:val="00095AB9"/>
    <w:rsid w:val="000B6456"/>
    <w:rsid w:val="000C00B3"/>
    <w:rsid w:val="000C3552"/>
    <w:rsid w:val="000C7715"/>
    <w:rsid w:val="000D5D5A"/>
    <w:rsid w:val="001013C7"/>
    <w:rsid w:val="00185FBE"/>
    <w:rsid w:val="001B0487"/>
    <w:rsid w:val="001D50CA"/>
    <w:rsid w:val="001E0CCB"/>
    <w:rsid w:val="00222905"/>
    <w:rsid w:val="0025497D"/>
    <w:rsid w:val="0027174A"/>
    <w:rsid w:val="002E6621"/>
    <w:rsid w:val="002F7291"/>
    <w:rsid w:val="00304486"/>
    <w:rsid w:val="00313BD7"/>
    <w:rsid w:val="003401FD"/>
    <w:rsid w:val="00346B6D"/>
    <w:rsid w:val="0035541F"/>
    <w:rsid w:val="00355605"/>
    <w:rsid w:val="00355B18"/>
    <w:rsid w:val="00363725"/>
    <w:rsid w:val="00393A62"/>
    <w:rsid w:val="003A137E"/>
    <w:rsid w:val="003A13F9"/>
    <w:rsid w:val="003C635F"/>
    <w:rsid w:val="004254CE"/>
    <w:rsid w:val="00433455"/>
    <w:rsid w:val="00452219"/>
    <w:rsid w:val="00452D06"/>
    <w:rsid w:val="00454F4B"/>
    <w:rsid w:val="00455625"/>
    <w:rsid w:val="00462632"/>
    <w:rsid w:val="004636CC"/>
    <w:rsid w:val="004831E3"/>
    <w:rsid w:val="004A1B37"/>
    <w:rsid w:val="004B2334"/>
    <w:rsid w:val="00517E96"/>
    <w:rsid w:val="00550A31"/>
    <w:rsid w:val="0056418A"/>
    <w:rsid w:val="00574620"/>
    <w:rsid w:val="00582E1F"/>
    <w:rsid w:val="005D29B5"/>
    <w:rsid w:val="005E001A"/>
    <w:rsid w:val="005E3D22"/>
    <w:rsid w:val="005E5355"/>
    <w:rsid w:val="005F0B52"/>
    <w:rsid w:val="005F68DF"/>
    <w:rsid w:val="0060322E"/>
    <w:rsid w:val="00604B9B"/>
    <w:rsid w:val="006051E3"/>
    <w:rsid w:val="00622AF7"/>
    <w:rsid w:val="00626BC6"/>
    <w:rsid w:val="00630C6E"/>
    <w:rsid w:val="00631051"/>
    <w:rsid w:val="00640275"/>
    <w:rsid w:val="00640B81"/>
    <w:rsid w:val="0066071D"/>
    <w:rsid w:val="00665F06"/>
    <w:rsid w:val="006D47E5"/>
    <w:rsid w:val="006F3014"/>
    <w:rsid w:val="00750182"/>
    <w:rsid w:val="00774457"/>
    <w:rsid w:val="007A22DC"/>
    <w:rsid w:val="007D12B7"/>
    <w:rsid w:val="007D22F5"/>
    <w:rsid w:val="007E022F"/>
    <w:rsid w:val="00816048"/>
    <w:rsid w:val="00827205"/>
    <w:rsid w:val="00863961"/>
    <w:rsid w:val="008877A4"/>
    <w:rsid w:val="008D0BFB"/>
    <w:rsid w:val="008D60D3"/>
    <w:rsid w:val="008D7E30"/>
    <w:rsid w:val="008E39CB"/>
    <w:rsid w:val="00920B57"/>
    <w:rsid w:val="00932E8A"/>
    <w:rsid w:val="00937584"/>
    <w:rsid w:val="00940D2F"/>
    <w:rsid w:val="0094673F"/>
    <w:rsid w:val="009528A3"/>
    <w:rsid w:val="009B215C"/>
    <w:rsid w:val="009D3224"/>
    <w:rsid w:val="009E5545"/>
    <w:rsid w:val="00A00498"/>
    <w:rsid w:val="00A00FEB"/>
    <w:rsid w:val="00A14DB9"/>
    <w:rsid w:val="00A65564"/>
    <w:rsid w:val="00A83F86"/>
    <w:rsid w:val="00AC78E7"/>
    <w:rsid w:val="00AD1292"/>
    <w:rsid w:val="00AE2906"/>
    <w:rsid w:val="00AF4CCB"/>
    <w:rsid w:val="00B15307"/>
    <w:rsid w:val="00B237E8"/>
    <w:rsid w:val="00B42E4B"/>
    <w:rsid w:val="00B63BB7"/>
    <w:rsid w:val="00B849FF"/>
    <w:rsid w:val="00BD1558"/>
    <w:rsid w:val="00BD2F05"/>
    <w:rsid w:val="00BD33BE"/>
    <w:rsid w:val="00C40074"/>
    <w:rsid w:val="00C455CF"/>
    <w:rsid w:val="00C55C5F"/>
    <w:rsid w:val="00C61BFF"/>
    <w:rsid w:val="00CD5C87"/>
    <w:rsid w:val="00CE5EEF"/>
    <w:rsid w:val="00CE7952"/>
    <w:rsid w:val="00CF7A94"/>
    <w:rsid w:val="00D12BD1"/>
    <w:rsid w:val="00D153A8"/>
    <w:rsid w:val="00D25652"/>
    <w:rsid w:val="00D34FBE"/>
    <w:rsid w:val="00D9177C"/>
    <w:rsid w:val="00D92D2C"/>
    <w:rsid w:val="00D933DD"/>
    <w:rsid w:val="00DA10EB"/>
    <w:rsid w:val="00DB1EEC"/>
    <w:rsid w:val="00DC589E"/>
    <w:rsid w:val="00DF38E7"/>
    <w:rsid w:val="00E13E6A"/>
    <w:rsid w:val="00E56F6C"/>
    <w:rsid w:val="00E57F73"/>
    <w:rsid w:val="00E73429"/>
    <w:rsid w:val="00EA7DDD"/>
    <w:rsid w:val="00ED1B00"/>
    <w:rsid w:val="00F14F3B"/>
    <w:rsid w:val="00F20137"/>
    <w:rsid w:val="00F24939"/>
    <w:rsid w:val="00F331EE"/>
    <w:rsid w:val="00F46A0C"/>
    <w:rsid w:val="00F60044"/>
    <w:rsid w:val="00FA4423"/>
    <w:rsid w:val="00FC6D65"/>
    <w:rsid w:val="00FD480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E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5A"/>
    <w:pPr>
      <w:spacing w:after="0" w:line="240" w:lineRule="auto"/>
    </w:pPr>
    <w:rPr>
      <w:rFonts w:ascii="Times New Roman" w:eastAsia="Times New Roman" w:hAnsi="Times New Roman" w:cs="Times New Roman"/>
      <w:sz w:val="20"/>
      <w:szCs w:val="20"/>
      <w:lang w:eastAsia="fr-FR"/>
    </w:rPr>
  </w:style>
  <w:style w:type="paragraph" w:styleId="Heading1">
    <w:name w:val="heading 1"/>
    <w:basedOn w:val="Normal"/>
    <w:next w:val="Normal"/>
    <w:link w:val="Heading1Char"/>
    <w:uiPriority w:val="9"/>
    <w:qFormat/>
    <w:rsid w:val="00BD15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BD155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5D5A"/>
    <w:pPr>
      <w:tabs>
        <w:tab w:val="center" w:pos="4536"/>
        <w:tab w:val="right" w:pos="9072"/>
      </w:tabs>
    </w:pPr>
  </w:style>
  <w:style w:type="character" w:customStyle="1" w:styleId="FooterChar">
    <w:name w:val="Footer Char"/>
    <w:basedOn w:val="DefaultParagraphFont"/>
    <w:link w:val="Footer"/>
    <w:uiPriority w:val="99"/>
    <w:rsid w:val="000D5D5A"/>
    <w:rPr>
      <w:rFonts w:ascii="Times New Roman" w:eastAsia="Times New Roman" w:hAnsi="Times New Roman" w:cs="Times New Roman"/>
      <w:sz w:val="20"/>
      <w:szCs w:val="20"/>
      <w:lang w:eastAsia="fr-FR"/>
    </w:rPr>
  </w:style>
  <w:style w:type="paragraph" w:styleId="Title">
    <w:name w:val="Title"/>
    <w:basedOn w:val="Normal"/>
    <w:link w:val="TitleChar"/>
    <w:qFormat/>
    <w:rsid w:val="000D5D5A"/>
    <w:pPr>
      <w:jc w:val="center"/>
    </w:pPr>
    <w:rPr>
      <w:sz w:val="26"/>
      <w:lang w:eastAsia="en-US"/>
    </w:rPr>
  </w:style>
  <w:style w:type="character" w:customStyle="1" w:styleId="TitleChar">
    <w:name w:val="Title Char"/>
    <w:basedOn w:val="DefaultParagraphFont"/>
    <w:link w:val="Title"/>
    <w:rsid w:val="000D5D5A"/>
    <w:rPr>
      <w:rFonts w:ascii="Times New Roman" w:eastAsia="Times New Roman" w:hAnsi="Times New Roman" w:cs="Times New Roman"/>
      <w:sz w:val="26"/>
      <w:szCs w:val="20"/>
    </w:rPr>
  </w:style>
  <w:style w:type="paragraph" w:styleId="BodyText">
    <w:name w:val="Body Text"/>
    <w:basedOn w:val="Normal"/>
    <w:link w:val="BodyTextChar"/>
    <w:semiHidden/>
    <w:unhideWhenUsed/>
    <w:rsid w:val="000D5D5A"/>
    <w:rPr>
      <w:sz w:val="22"/>
      <w:szCs w:val="22"/>
    </w:rPr>
  </w:style>
  <w:style w:type="character" w:customStyle="1" w:styleId="BodyTextChar">
    <w:name w:val="Body Text Char"/>
    <w:basedOn w:val="DefaultParagraphFont"/>
    <w:link w:val="BodyText"/>
    <w:semiHidden/>
    <w:rsid w:val="000D5D5A"/>
    <w:rPr>
      <w:rFonts w:ascii="Times New Roman" w:eastAsia="Times New Roman" w:hAnsi="Times New Roman" w:cs="Times New Roman"/>
      <w:lang w:eastAsia="fr-FR"/>
    </w:rPr>
  </w:style>
  <w:style w:type="paragraph" w:styleId="ListParagraph">
    <w:name w:val="List Paragraph"/>
    <w:aliases w:val="Numbered List Paragraph,Bullets,Medium Grid 1 - Accent 21,References,List Paragraph (numbered (a)),Liste 1,ReferencesCxSpLast,List Paragraph nowy,Colorful List - Accent 11,titre 222,Paragraphe  revu,Paragraphe de liste1,Bullet L1,r2"/>
    <w:basedOn w:val="Normal"/>
    <w:link w:val="ListParagraphChar"/>
    <w:uiPriority w:val="34"/>
    <w:qFormat/>
    <w:rsid w:val="000D5D5A"/>
    <w:pPr>
      <w:spacing w:after="200" w:line="276" w:lineRule="auto"/>
      <w:ind w:left="720"/>
      <w:contextualSpacing/>
    </w:pPr>
    <w:rPr>
      <w:rFonts w:ascii="Calibri" w:eastAsia="Calibri" w:hAnsi="Calibri" w:cs="Arial"/>
      <w:sz w:val="22"/>
      <w:szCs w:val="22"/>
      <w:lang w:eastAsia="en-US"/>
    </w:rPr>
  </w:style>
  <w:style w:type="character" w:customStyle="1" w:styleId="Heading1Char">
    <w:name w:val="Heading 1 Char"/>
    <w:basedOn w:val="DefaultParagraphFont"/>
    <w:link w:val="Heading1"/>
    <w:uiPriority w:val="9"/>
    <w:rsid w:val="00BD1558"/>
    <w:rPr>
      <w:rFonts w:asciiTheme="majorHAnsi" w:eastAsiaTheme="majorEastAsia" w:hAnsiTheme="majorHAnsi" w:cstheme="majorBidi"/>
      <w:b/>
      <w:bCs/>
      <w:color w:val="365F91" w:themeColor="accent1" w:themeShade="BF"/>
      <w:sz w:val="28"/>
      <w:szCs w:val="28"/>
      <w:lang w:eastAsia="fr-FR"/>
    </w:rPr>
  </w:style>
  <w:style w:type="character" w:customStyle="1" w:styleId="Heading4Char">
    <w:name w:val="Heading 4 Char"/>
    <w:basedOn w:val="DefaultParagraphFont"/>
    <w:link w:val="Heading4"/>
    <w:uiPriority w:val="9"/>
    <w:semiHidden/>
    <w:rsid w:val="00BD1558"/>
    <w:rPr>
      <w:rFonts w:asciiTheme="majorHAnsi" w:eastAsiaTheme="majorEastAsia" w:hAnsiTheme="majorHAnsi" w:cstheme="majorBidi"/>
      <w:b/>
      <w:bCs/>
      <w:i/>
      <w:iCs/>
      <w:color w:val="4F81BD" w:themeColor="accent1"/>
      <w:lang w:val="en-US"/>
    </w:rPr>
  </w:style>
  <w:style w:type="character" w:customStyle="1" w:styleId="NoSpacingChar">
    <w:name w:val="No Spacing Char"/>
    <w:link w:val="NoSpacing"/>
    <w:uiPriority w:val="1"/>
    <w:locked/>
    <w:rsid w:val="00BD1558"/>
    <w:rPr>
      <w:rFonts w:ascii="Calibri" w:eastAsia="Times New Roman" w:hAnsi="Calibri" w:cs="Times New Roman"/>
    </w:rPr>
  </w:style>
  <w:style w:type="paragraph" w:styleId="NoSpacing">
    <w:name w:val="No Spacing"/>
    <w:link w:val="NoSpacingChar"/>
    <w:uiPriority w:val="1"/>
    <w:qFormat/>
    <w:rsid w:val="00BD1558"/>
    <w:pPr>
      <w:spacing w:after="0" w:line="240" w:lineRule="auto"/>
    </w:pPr>
    <w:rPr>
      <w:rFonts w:ascii="Calibri" w:eastAsia="Times New Roman" w:hAnsi="Calibri" w:cs="Times New Roman"/>
    </w:rPr>
  </w:style>
  <w:style w:type="character" w:customStyle="1" w:styleId="ListParagraphChar">
    <w:name w:val="List Paragraph Char"/>
    <w:aliases w:val="Numbered List Paragraph Char,Bullets Char,Medium Grid 1 - Accent 21 Char,References Char,List Paragraph (numbered (a)) Char,Liste 1 Char,ReferencesCxSpLast Char,List Paragraph nowy Char,Colorful List - Accent 11 Char,titre 222 Char"/>
    <w:basedOn w:val="DefaultParagraphFont"/>
    <w:link w:val="ListParagraph"/>
    <w:uiPriority w:val="34"/>
    <w:qFormat/>
    <w:locked/>
    <w:rsid w:val="00BD1558"/>
    <w:rPr>
      <w:rFonts w:ascii="Calibri" w:eastAsia="Calibri" w:hAnsi="Calibri" w:cs="Arial"/>
    </w:rPr>
  </w:style>
  <w:style w:type="paragraph" w:customStyle="1" w:styleId="Default">
    <w:name w:val="Default"/>
    <w:rsid w:val="0036372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94A92"/>
    <w:pPr>
      <w:tabs>
        <w:tab w:val="center" w:pos="4536"/>
        <w:tab w:val="right" w:pos="9072"/>
      </w:tabs>
    </w:pPr>
  </w:style>
  <w:style w:type="character" w:customStyle="1" w:styleId="HeaderChar">
    <w:name w:val="Header Char"/>
    <w:basedOn w:val="DefaultParagraphFont"/>
    <w:link w:val="Header"/>
    <w:uiPriority w:val="99"/>
    <w:rsid w:val="00094A92"/>
    <w:rPr>
      <w:rFonts w:ascii="Times New Roman" w:eastAsia="Times New Roman" w:hAnsi="Times New Roman" w:cs="Times New Roman"/>
      <w:sz w:val="20"/>
      <w:szCs w:val="20"/>
      <w:lang w:eastAsia="fr-FR"/>
    </w:rPr>
  </w:style>
  <w:style w:type="table" w:styleId="TableGrid">
    <w:name w:val="Table Grid"/>
    <w:basedOn w:val="TableNormal"/>
    <w:uiPriority w:val="59"/>
    <w:rsid w:val="00774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6A0C"/>
    <w:rPr>
      <w:rFonts w:ascii="Tahoma" w:hAnsi="Tahoma" w:cs="Tahoma"/>
      <w:sz w:val="16"/>
      <w:szCs w:val="16"/>
    </w:rPr>
  </w:style>
  <w:style w:type="character" w:customStyle="1" w:styleId="BalloonTextChar">
    <w:name w:val="Balloon Text Char"/>
    <w:basedOn w:val="DefaultParagraphFont"/>
    <w:link w:val="BalloonText"/>
    <w:uiPriority w:val="99"/>
    <w:semiHidden/>
    <w:rsid w:val="00F46A0C"/>
    <w:rPr>
      <w:rFonts w:ascii="Tahoma" w:eastAsia="Times New Roman" w:hAnsi="Tahoma" w:cs="Tahoma"/>
      <w:sz w:val="16"/>
      <w:szCs w:val="16"/>
      <w:lang w:eastAsia="fr-FR"/>
    </w:rPr>
  </w:style>
  <w:style w:type="character" w:styleId="FootnoteReference">
    <w:name w:val="footnote reference"/>
    <w:semiHidden/>
    <w:rsid w:val="00940D2F"/>
    <w:rPr>
      <w:rFonts w:ascii="CG Times" w:hAnsi="CG Times"/>
      <w:noProof w:val="0"/>
      <w:sz w:val="22"/>
      <w:vertAlign w:val="superscript"/>
      <w:lang w:val="en-US"/>
    </w:rPr>
  </w:style>
  <w:style w:type="paragraph" w:styleId="FootnoteText">
    <w:name w:val="footnote text"/>
    <w:basedOn w:val="Normal"/>
    <w:link w:val="FootnoteTextChar"/>
    <w:semiHidden/>
    <w:rsid w:val="00940D2F"/>
    <w:pPr>
      <w:tabs>
        <w:tab w:val="left" w:pos="-720"/>
      </w:tabs>
      <w:suppressAutoHyphens/>
    </w:pPr>
    <w:rPr>
      <w:lang w:val="en-US" w:eastAsia="en-US"/>
    </w:rPr>
  </w:style>
  <w:style w:type="character" w:customStyle="1" w:styleId="FootnoteTextChar">
    <w:name w:val="Footnote Text Char"/>
    <w:basedOn w:val="DefaultParagraphFont"/>
    <w:link w:val="FootnoteText"/>
    <w:semiHidden/>
    <w:rsid w:val="00940D2F"/>
    <w:rPr>
      <w:rFonts w:ascii="Times New Roman" w:eastAsia="Times New Roman" w:hAnsi="Times New Roman" w:cs="Times New Roman"/>
      <w:sz w:val="20"/>
      <w:szCs w:val="20"/>
      <w:lang w:val="en-US"/>
    </w:rPr>
  </w:style>
  <w:style w:type="character" w:styleId="Hyperlink">
    <w:name w:val="Hyperlink"/>
    <w:uiPriority w:val="99"/>
    <w:rsid w:val="00940D2F"/>
    <w:rPr>
      <w:color w:val="0000FF"/>
      <w:u w:val="single"/>
    </w:rPr>
  </w:style>
  <w:style w:type="paragraph" w:styleId="HTMLPreformatted">
    <w:name w:val="HTML Preformatted"/>
    <w:basedOn w:val="Normal"/>
    <w:link w:val="HTMLPreformattedChar"/>
    <w:uiPriority w:val="99"/>
    <w:semiHidden/>
    <w:unhideWhenUsed/>
    <w:rsid w:val="00FC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semiHidden/>
    <w:rsid w:val="00FC6D65"/>
    <w:rPr>
      <w:rFonts w:ascii="Courier New" w:eastAsia="Times New Roman" w:hAnsi="Courier New" w:cs="Courier New"/>
      <w:sz w:val="20"/>
      <w:szCs w:val="20"/>
      <w:lang w:val="en-US"/>
    </w:rPr>
  </w:style>
  <w:style w:type="character" w:customStyle="1" w:styleId="y2iqfc">
    <w:name w:val="y2iqfc"/>
    <w:basedOn w:val="DefaultParagraphFont"/>
    <w:rsid w:val="00FC6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657754">
      <w:bodyDiv w:val="1"/>
      <w:marLeft w:val="0"/>
      <w:marRight w:val="0"/>
      <w:marTop w:val="0"/>
      <w:marBottom w:val="0"/>
      <w:divBdr>
        <w:top w:val="none" w:sz="0" w:space="0" w:color="auto"/>
        <w:left w:val="none" w:sz="0" w:space="0" w:color="auto"/>
        <w:bottom w:val="none" w:sz="0" w:space="0" w:color="auto"/>
        <w:right w:val="none" w:sz="0" w:space="0" w:color="auto"/>
      </w:divBdr>
    </w:div>
    <w:div w:id="942767537">
      <w:bodyDiv w:val="1"/>
      <w:marLeft w:val="0"/>
      <w:marRight w:val="0"/>
      <w:marTop w:val="0"/>
      <w:marBottom w:val="0"/>
      <w:divBdr>
        <w:top w:val="none" w:sz="0" w:space="0" w:color="auto"/>
        <w:left w:val="none" w:sz="0" w:space="0" w:color="auto"/>
        <w:bottom w:val="none" w:sz="0" w:space="0" w:color="auto"/>
        <w:right w:val="none" w:sz="0" w:space="0" w:color="auto"/>
      </w:divBdr>
      <w:divsChild>
        <w:div w:id="805048922">
          <w:marLeft w:val="0"/>
          <w:marRight w:val="0"/>
          <w:marTop w:val="0"/>
          <w:marBottom w:val="0"/>
          <w:divBdr>
            <w:top w:val="none" w:sz="0" w:space="0" w:color="auto"/>
            <w:left w:val="none" w:sz="0" w:space="0" w:color="auto"/>
            <w:bottom w:val="none" w:sz="0" w:space="0" w:color="auto"/>
            <w:right w:val="none" w:sz="0" w:space="0" w:color="auto"/>
          </w:divBdr>
        </w:div>
        <w:div w:id="140510204">
          <w:marLeft w:val="0"/>
          <w:marRight w:val="0"/>
          <w:marTop w:val="0"/>
          <w:marBottom w:val="0"/>
          <w:divBdr>
            <w:top w:val="none" w:sz="0" w:space="0" w:color="auto"/>
            <w:left w:val="none" w:sz="0" w:space="0" w:color="auto"/>
            <w:bottom w:val="none" w:sz="0" w:space="0" w:color="auto"/>
            <w:right w:val="none" w:sz="0" w:space="0" w:color="auto"/>
          </w:divBdr>
        </w:div>
        <w:div w:id="1795951512">
          <w:marLeft w:val="0"/>
          <w:marRight w:val="0"/>
          <w:marTop w:val="0"/>
          <w:marBottom w:val="0"/>
          <w:divBdr>
            <w:top w:val="none" w:sz="0" w:space="0" w:color="auto"/>
            <w:left w:val="none" w:sz="0" w:space="0" w:color="auto"/>
            <w:bottom w:val="none" w:sz="0" w:space="0" w:color="auto"/>
            <w:right w:val="none" w:sz="0" w:space="0" w:color="auto"/>
          </w:divBdr>
        </w:div>
        <w:div w:id="1174103433">
          <w:marLeft w:val="0"/>
          <w:marRight w:val="0"/>
          <w:marTop w:val="0"/>
          <w:marBottom w:val="0"/>
          <w:divBdr>
            <w:top w:val="none" w:sz="0" w:space="0" w:color="auto"/>
            <w:left w:val="none" w:sz="0" w:space="0" w:color="auto"/>
            <w:bottom w:val="none" w:sz="0" w:space="0" w:color="auto"/>
            <w:right w:val="none" w:sz="0" w:space="0" w:color="auto"/>
          </w:divBdr>
        </w:div>
        <w:div w:id="1819884997">
          <w:marLeft w:val="0"/>
          <w:marRight w:val="0"/>
          <w:marTop w:val="0"/>
          <w:marBottom w:val="0"/>
          <w:divBdr>
            <w:top w:val="none" w:sz="0" w:space="0" w:color="auto"/>
            <w:left w:val="none" w:sz="0" w:space="0" w:color="auto"/>
            <w:bottom w:val="none" w:sz="0" w:space="0" w:color="auto"/>
            <w:right w:val="none" w:sz="0" w:space="0" w:color="auto"/>
          </w:divBdr>
        </w:div>
        <w:div w:id="1243293289">
          <w:marLeft w:val="0"/>
          <w:marRight w:val="0"/>
          <w:marTop w:val="0"/>
          <w:marBottom w:val="0"/>
          <w:divBdr>
            <w:top w:val="none" w:sz="0" w:space="0" w:color="auto"/>
            <w:left w:val="none" w:sz="0" w:space="0" w:color="auto"/>
            <w:bottom w:val="none" w:sz="0" w:space="0" w:color="auto"/>
            <w:right w:val="none" w:sz="0" w:space="0" w:color="auto"/>
          </w:divBdr>
        </w:div>
        <w:div w:id="324093831">
          <w:marLeft w:val="0"/>
          <w:marRight w:val="0"/>
          <w:marTop w:val="0"/>
          <w:marBottom w:val="0"/>
          <w:divBdr>
            <w:top w:val="none" w:sz="0" w:space="0" w:color="auto"/>
            <w:left w:val="none" w:sz="0" w:space="0" w:color="auto"/>
            <w:bottom w:val="none" w:sz="0" w:space="0" w:color="auto"/>
            <w:right w:val="none" w:sz="0" w:space="0" w:color="auto"/>
          </w:divBdr>
        </w:div>
        <w:div w:id="369501441">
          <w:marLeft w:val="0"/>
          <w:marRight w:val="0"/>
          <w:marTop w:val="0"/>
          <w:marBottom w:val="0"/>
          <w:divBdr>
            <w:top w:val="none" w:sz="0" w:space="0" w:color="auto"/>
            <w:left w:val="none" w:sz="0" w:space="0" w:color="auto"/>
            <w:bottom w:val="none" w:sz="0" w:space="0" w:color="auto"/>
            <w:right w:val="none" w:sz="0" w:space="0" w:color="auto"/>
          </w:divBdr>
        </w:div>
        <w:div w:id="771240895">
          <w:marLeft w:val="0"/>
          <w:marRight w:val="0"/>
          <w:marTop w:val="0"/>
          <w:marBottom w:val="0"/>
          <w:divBdr>
            <w:top w:val="none" w:sz="0" w:space="0" w:color="auto"/>
            <w:left w:val="none" w:sz="0" w:space="0" w:color="auto"/>
            <w:bottom w:val="none" w:sz="0" w:space="0" w:color="auto"/>
            <w:right w:val="none" w:sz="0" w:space="0" w:color="auto"/>
          </w:divBdr>
        </w:div>
        <w:div w:id="1145270441">
          <w:marLeft w:val="0"/>
          <w:marRight w:val="0"/>
          <w:marTop w:val="0"/>
          <w:marBottom w:val="0"/>
          <w:divBdr>
            <w:top w:val="none" w:sz="0" w:space="0" w:color="auto"/>
            <w:left w:val="none" w:sz="0" w:space="0" w:color="auto"/>
            <w:bottom w:val="none" w:sz="0" w:space="0" w:color="auto"/>
            <w:right w:val="none" w:sz="0" w:space="0" w:color="auto"/>
          </w:divBdr>
        </w:div>
      </w:divsChild>
    </w:div>
    <w:div w:id="1050961643">
      <w:bodyDiv w:val="1"/>
      <w:marLeft w:val="0"/>
      <w:marRight w:val="0"/>
      <w:marTop w:val="0"/>
      <w:marBottom w:val="0"/>
      <w:divBdr>
        <w:top w:val="none" w:sz="0" w:space="0" w:color="auto"/>
        <w:left w:val="none" w:sz="0" w:space="0" w:color="auto"/>
        <w:bottom w:val="none" w:sz="0" w:space="0" w:color="auto"/>
        <w:right w:val="none" w:sz="0" w:space="0" w:color="auto"/>
      </w:divBdr>
    </w:div>
    <w:div w:id="1629580442">
      <w:bodyDiv w:val="1"/>
      <w:marLeft w:val="0"/>
      <w:marRight w:val="0"/>
      <w:marTop w:val="0"/>
      <w:marBottom w:val="0"/>
      <w:divBdr>
        <w:top w:val="none" w:sz="0" w:space="0" w:color="auto"/>
        <w:left w:val="none" w:sz="0" w:space="0" w:color="auto"/>
        <w:bottom w:val="none" w:sz="0" w:space="0" w:color="auto"/>
        <w:right w:val="none" w:sz="0" w:space="0" w:color="auto"/>
      </w:divBdr>
      <w:divsChild>
        <w:div w:id="898248628">
          <w:marLeft w:val="0"/>
          <w:marRight w:val="0"/>
          <w:marTop w:val="0"/>
          <w:marBottom w:val="0"/>
          <w:divBdr>
            <w:top w:val="none" w:sz="0" w:space="0" w:color="auto"/>
            <w:left w:val="none" w:sz="0" w:space="0" w:color="auto"/>
            <w:bottom w:val="none" w:sz="0" w:space="0" w:color="auto"/>
            <w:right w:val="none" w:sz="0" w:space="0" w:color="auto"/>
          </w:divBdr>
        </w:div>
        <w:div w:id="826365206">
          <w:marLeft w:val="0"/>
          <w:marRight w:val="0"/>
          <w:marTop w:val="0"/>
          <w:marBottom w:val="0"/>
          <w:divBdr>
            <w:top w:val="none" w:sz="0" w:space="0" w:color="auto"/>
            <w:left w:val="none" w:sz="0" w:space="0" w:color="auto"/>
            <w:bottom w:val="none" w:sz="0" w:space="0" w:color="auto"/>
            <w:right w:val="none" w:sz="0" w:space="0" w:color="auto"/>
          </w:divBdr>
        </w:div>
      </w:divsChild>
    </w:div>
    <w:div w:id="1872767913">
      <w:bodyDiv w:val="1"/>
      <w:marLeft w:val="0"/>
      <w:marRight w:val="0"/>
      <w:marTop w:val="0"/>
      <w:marBottom w:val="0"/>
      <w:divBdr>
        <w:top w:val="none" w:sz="0" w:space="0" w:color="auto"/>
        <w:left w:val="none" w:sz="0" w:space="0" w:color="auto"/>
        <w:bottom w:val="none" w:sz="0" w:space="0" w:color="auto"/>
        <w:right w:val="none" w:sz="0" w:space="0" w:color="auto"/>
      </w:divBdr>
    </w:div>
    <w:div w:id="1892883523">
      <w:bodyDiv w:val="1"/>
      <w:marLeft w:val="0"/>
      <w:marRight w:val="0"/>
      <w:marTop w:val="0"/>
      <w:marBottom w:val="0"/>
      <w:divBdr>
        <w:top w:val="none" w:sz="0" w:space="0" w:color="auto"/>
        <w:left w:val="none" w:sz="0" w:space="0" w:color="auto"/>
        <w:bottom w:val="none" w:sz="0" w:space="0" w:color="auto"/>
        <w:right w:val="none" w:sz="0" w:space="0" w:color="auto"/>
      </w:divBdr>
    </w:div>
    <w:div w:id="210823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db.org/irj/portal/anonymous?NavigationTarget=navurl://76e1dfd61777849cc88228c9bfe818e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dpef.m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sm@dpef.m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p.m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FBFE3-01BF-4E56-97DD-142ABFFA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4615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2022-03-16T08:52:00Z</dcterms:created>
  <dcterms:modified xsi:type="dcterms:W3CDTF">2022-03-16T08:53:00Z</dcterms:modified>
</cp:coreProperties>
</file>